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36"/>
        </w:rPr>
        <w:t>UNITED STATES</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36"/>
        </w:rPr>
        <w:t>SECURITIES AND EXCHANGE COMMISSION</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20"/>
        </w:rPr>
        <w:t>Washington, D.C. 20549</w:t>
      </w:r>
      <w:r>
        <w:rPr>
          <w:color w:val="000000"/>
        </w:rPr>
        <w:t>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r>
        <w:rPr>
          <w:rFonts w:ascii="Times New Roman;serif" w:hAnsi="Times New Roman;serif"/>
          <w:b w:val="false"/>
          <w:color w:val="000000"/>
          <w:sz w:val="20"/>
        </w:rPr>
        <w:br/>
        <w:br/>
      </w:r>
      <w:r>
        <w:rPr>
          <w:rFonts w:ascii="Times New Roman;serif" w:hAnsi="Times New Roman;serif"/>
          <w:b/>
          <w:color w:val="000000"/>
          <w:sz w:val="24"/>
        </w:rPr>
        <w:t xml:space="preserve">Current Report </w:t>
      </w:r>
      <w:r>
        <w:rPr>
          <w:rFonts w:ascii="Times New Roman;serif" w:hAnsi="Times New Roman;serif"/>
          <w:b w:val="false"/>
          <w:color w:val="000000"/>
          <w:sz w:val="20"/>
        </w:rPr>
        <w:br/>
        <w:br/>
      </w:r>
      <w:r>
        <w:rPr>
          <w:rFonts w:ascii="Times New Roman;serif" w:hAnsi="Times New Roman;serif"/>
          <w:b/>
          <w:color w:val="000000"/>
          <w:sz w:val="22"/>
        </w:rPr>
        <w:t>Pursuant to Section 13 or 15(d) of the Securities</w:t>
      </w:r>
      <w:r>
        <w:rPr>
          <w:color w:val="000000"/>
        </w:rPr>
        <w:t xml:space="preserve"> </w:t>
      </w:r>
      <w:r>
        <w:rPr>
          <w:rFonts w:ascii="Times New Roman;serif" w:hAnsi="Times New Roman;serif"/>
          <w:b w:val="false"/>
          <w:color w:val="000000"/>
          <w:sz w:val="22"/>
        </w:rPr>
        <w:br/>
      </w:r>
      <w:r>
        <w:rPr>
          <w:rFonts w:ascii="Times New Roman;serif" w:hAnsi="Times New Roman;serif"/>
          <w:b/>
          <w:color w:val="000000"/>
          <w:sz w:val="22"/>
        </w:rPr>
        <w:t>Exchange Act of 1934</w:t>
      </w:r>
    </w:p>
    <w:p>
      <w:pPr>
        <w:pStyle w:val="TextBody"/>
        <w:bidi w:val="0"/>
        <w:spacing w:lineRule="auto" w:line="288" w:before="0" w:after="0"/>
        <w:jc w:val="center"/>
        <w:rPr/>
      </w:pPr>
      <w:r>
        <w:rPr>
          <w:rFonts w:ascii="Times New Roman;serif" w:hAnsi="Times New Roman;serif"/>
          <w:b w:val="false"/>
          <w:color w:val="000000"/>
          <w:sz w:val="20"/>
        </w:rPr>
        <w:br/>
        <w:t>July 21, 2026</w:t>
      </w:r>
      <w:r>
        <w:rPr>
          <w:rFonts w:ascii="Times New Roman;serif" w:hAnsi="Times New Roman;serif"/>
          <w:b/>
          <w:color w:val="000000"/>
          <w:sz w:val="22"/>
        </w:rPr>
        <w:br/>
      </w:r>
      <w:r>
        <w:rPr>
          <w:rFonts w:ascii="Times New Roman;serif" w:hAnsi="Times New Roman;serif"/>
          <w:b w:val="false"/>
          <w:color w:val="000000"/>
          <w:sz w:val="20"/>
        </w:rPr>
        <w:t xml:space="preserve">Date of Report (Date of earliest event reported) </w:t>
        <w:br/>
        <w:br/>
      </w:r>
      <w:r>
        <w:rPr>
          <w:rFonts w:ascii="Times New Roman;serif" w:hAnsi="Times New Roman;serif"/>
          <w:b/>
          <w:color w:val="000000"/>
          <w:sz w:val="36"/>
        </w:rPr>
        <w:t>Pitney Bowes Inc.</w:t>
      </w:r>
      <w:r>
        <w:rPr>
          <w:color w:val="000000"/>
        </w:rPr>
        <w:t xml:space="preserve"> </w:t>
      </w:r>
      <w:r>
        <w:rPr>
          <w:rFonts w:ascii="Times New Roman;serif" w:hAnsi="Times New Roman;serif"/>
          <w:b w:val="false"/>
          <w:color w:val="000000"/>
          <w:sz w:val="20"/>
        </w:rPr>
        <w:br/>
        <w:t>(Exact name of registrant as specified in its charter)</w:t>
      </w:r>
    </w:p>
    <w:tbl>
      <w:tblPr>
        <w:tblW w:w="7828" w:type="dxa"/>
        <w:jc w:val="center"/>
        <w:tblInd w:w="0" w:type="dxa"/>
        <w:tblLayout w:type="fixed"/>
        <w:tblCellMar>
          <w:top w:w="28" w:type="dxa"/>
          <w:left w:w="28" w:type="dxa"/>
          <w:bottom w:w="28" w:type="dxa"/>
          <w:right w:w="28" w:type="dxa"/>
        </w:tblCellMar>
      </w:tblPr>
      <w:tblGrid>
        <w:gridCol w:w="933"/>
        <w:gridCol w:w="819"/>
        <w:gridCol w:w="828"/>
        <w:gridCol w:w="737"/>
        <w:gridCol w:w="737"/>
        <w:gridCol w:w="745"/>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1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1-3579</w:t>
            </w:r>
          </w:p>
        </w:tc>
        <w:tc>
          <w:tcPr>
            <w:tcW w:w="302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06-0495050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6488" w:type="dxa"/>
        <w:jc w:val="center"/>
        <w:tblInd w:w="0" w:type="dxa"/>
        <w:tblLayout w:type="fixed"/>
        <w:tblCellMar>
          <w:top w:w="28" w:type="dxa"/>
          <w:left w:w="28" w:type="dxa"/>
          <w:bottom w:w="28" w:type="dxa"/>
          <w:right w:w="28" w:type="dxa"/>
        </w:tblCellMar>
      </w:tblPr>
      <w:tblGrid>
        <w:gridCol w:w="628"/>
        <w:gridCol w:w="553"/>
        <w:gridCol w:w="558"/>
        <w:gridCol w:w="308"/>
        <w:gridCol w:w="308"/>
        <w:gridCol w:w="308"/>
        <w:gridCol w:w="308"/>
        <w:gridCol w:w="308"/>
        <w:gridCol w:w="316"/>
        <w:gridCol w:w="259"/>
        <w:gridCol w:w="259"/>
        <w:gridCol w:w="261"/>
        <w:gridCol w:w="370"/>
        <w:gridCol w:w="370"/>
        <w:gridCol w:w="371"/>
        <w:gridCol w:w="210"/>
        <w:gridCol w:w="210"/>
        <w:gridCol w:w="211"/>
        <w:gridCol w:w="109"/>
        <w:gridCol w:w="109"/>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w:t>
            </w:r>
          </w:p>
        </w:tc>
        <w:tc>
          <w:tcPr>
            <w:tcW w:w="1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27 Waterview Drive,</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Shelton,</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06484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 Number:</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(203)</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922-4000</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pPr>
      <w:r>
        <w:rPr>
          <w:rFonts w:ascii="Times New Roman;serif" w:hAnsi="Times New Roman;serif"/>
          <w:b w:val="false"/>
          <w:color w:val="000000"/>
          <w:sz w:val="20"/>
        </w:rPr>
        <w:br/>
      </w:r>
      <w:r>
        <w:rPr>
          <w:rFonts w:ascii="Times New Roman;serif" w:hAnsi="Times New Roman;serif"/>
          <w:b/>
          <w:color w:val="000000"/>
          <w:sz w:val="20"/>
        </w:rPr>
        <w:t>Not Applicable</w:t>
      </w:r>
      <w:r>
        <w:rPr>
          <w:color w:val="000000"/>
        </w:rPr>
        <w:t xml:space="preserve"> </w:t>
      </w:r>
      <w:r>
        <w:rPr>
          <w:rFonts w:ascii="Times New Roman;serif" w:hAnsi="Times New Roman;serif"/>
          <w:b w:val="false"/>
          <w:color w:val="000000"/>
          <w:sz w:val="20"/>
        </w:rPr>
        <w:b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16" w:before="200" w:after="283"/>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br/>
      </w: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br/>
      </w: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br/>
      </w: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97" w:type="dxa"/>
        <w:jc w:val="left"/>
        <w:tblInd w:w="0" w:type="dxa"/>
        <w:tblLayout w:type="fixed"/>
        <w:tblCellMar>
          <w:top w:w="28" w:type="dxa"/>
          <w:left w:w="28" w:type="dxa"/>
          <w:bottom w:w="28" w:type="dxa"/>
          <w:right w:w="28" w:type="dxa"/>
        </w:tblCellMar>
      </w:tblPr>
      <w:tblGrid>
        <w:gridCol w:w="1171"/>
        <w:gridCol w:w="1031"/>
        <w:gridCol w:w="1037"/>
        <w:gridCol w:w="109"/>
        <w:gridCol w:w="109"/>
        <w:gridCol w:w="109"/>
        <w:gridCol w:w="539"/>
        <w:gridCol w:w="539"/>
        <w:gridCol w:w="541"/>
        <w:gridCol w:w="109"/>
        <w:gridCol w:w="109"/>
        <w:gridCol w:w="109"/>
        <w:gridCol w:w="1138"/>
        <w:gridCol w:w="1138"/>
        <w:gridCol w:w="1609"/>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6.70% Notes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br/>
        <w:t xml:space="preserve">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80"/>
        <w:jc w:val="both"/>
        <w:rPr>
          <w:rFonts w:ascii="Times New Roman;serif" w:hAnsi="Times New Roman;serif"/>
          <w:b/>
          <w:color w:val="000000"/>
          <w:sz w:val="24"/>
        </w:rPr>
      </w:pPr>
      <w:r>
        <w:rPr>
          <w:rFonts w:ascii="Times New Roman;serif" w:hAnsi="Times New Roman;serif"/>
          <w:b/>
          <w:color w:val="000000"/>
          <w:sz w:val="24"/>
        </w:rPr>
        <w:t xml:space="preserve">ITEM 5.02 DEPARTURE OF DIRECTORS OR CERTAIN OFFICERS; ELECTION OF DIRECTORS; APPOINTMENT OF CERTAIN OFFICERS; COMPENSATORY ARRANGEMENTS OF CERTAIN OFFICERS </w:t>
      </w:r>
    </w:p>
    <w:p>
      <w:pPr>
        <w:pStyle w:val="TextBody"/>
        <w:bidi w:val="0"/>
        <w:spacing w:lineRule="auto" w:line="288" w:before="0" w:after="120"/>
        <w:jc w:val="both"/>
        <w:rPr>
          <w:rFonts w:ascii="Times New Roman;serif" w:hAnsi="Times New Roman;serif"/>
          <w:b w:val="false"/>
          <w:i/>
          <w:color w:val="000000"/>
          <w:sz w:val="24"/>
        </w:rPr>
      </w:pPr>
      <w:r>
        <w:rPr>
          <w:rFonts w:ascii="Times New Roman;serif" w:hAnsi="Times New Roman;serif"/>
          <w:b w:val="false"/>
          <w:i/>
          <w:color w:val="000000"/>
          <w:sz w:val="24"/>
        </w:rPr>
        <w:t>Appointment of Director</w:t>
      </w:r>
    </w:p>
    <w:p>
      <w:pPr>
        <w:pStyle w:val="TextBody"/>
        <w:bidi w:val="0"/>
        <w:spacing w:lineRule="auto" w:line="288" w:before="0" w:after="60"/>
        <w:jc w:val="both"/>
        <w:rPr>
          <w:rFonts w:ascii="Times New Roman;serif" w:hAnsi="Times New Roman;serif"/>
          <w:b w:val="false"/>
          <w:color w:val="000000"/>
          <w:sz w:val="24"/>
        </w:rPr>
      </w:pPr>
      <w:r>
        <w:rPr>
          <w:rFonts w:ascii="Times New Roman;serif" w:hAnsi="Times New Roman;serif"/>
          <w:b w:val="false"/>
          <w:color w:val="000000"/>
          <w:sz w:val="24"/>
        </w:rPr>
        <w:t xml:space="preserve">On July 21, 2026, Pitney Bowes Inc. (the “Company”) appointed La Vonda Williams to its Board of Directors (“the Board”). Ms. Williams has been named to the Audit Committee, the Governance Committee and the Strategic Review Committee and will participate in the Company’s standard non-management director compensation arrangements as currently in effect, pursuant to which she will be eligible to receive: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4"/>
        </w:rPr>
        <w:t>an annual cash retainer of $200,000;</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4"/>
        </w:rPr>
        <w:t>an additional annual cash retainer of $20,000 for service on the Audit Committee and $12,000 for service on the Governance Committee;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4"/>
        </w:rPr>
        <w:t>an annual equity grant in the form of restricted stock units, the number of which will be calculated by dividing $100,000 ($81,095 as prorated to reflect Ms. Williams’ mid-year start date) by the fair market value of a share of the Company’s common stock, $1 par value (a “</w:t>
      </w:r>
      <w:r>
        <w:rPr>
          <w:rFonts w:ascii="Times New Roman;serif" w:hAnsi="Times New Roman;serif"/>
          <w:b w:val="false"/>
          <w:color w:val="000000"/>
          <w:sz w:val="24"/>
          <w:u w:val="single"/>
        </w:rPr>
        <w:t>Share</w:t>
      </w:r>
      <w:r>
        <w:rPr>
          <w:color w:val="000000"/>
        </w:rPr>
        <w:t>”</w:t>
      </w:r>
      <w:r>
        <w:rPr>
          <w:rFonts w:ascii="Times New Roman;serif" w:hAnsi="Times New Roman;serif"/>
          <w:b w:val="false"/>
          <w:color w:val="000000"/>
          <w:sz w:val="24"/>
        </w:rPr>
        <w:t>), as of the award date, which will fully vest one year later;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 xml:space="preserve">for service on the Strategic Review Committee that was formed in connection with the Company’s previously announced strategic review process, an additional equity grant in the form of restricted stock units, the number of which will be calculated by dividing $278,000 ($225,446 as prorated to reflect Ms. Williams’ mid-year start date) by the fair market value of a Share as of the award date, which will fully vest one year later.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Ms. Williams will also be eligible to participate in the Directors’ Deferred Incentive Savings Plan and be reimbursed for out-of-pocket expenses incurred in attending Board and Committee meetings, as described in the Company’s proxy statement.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Ms. Williams is the former Chief Financial Officer of Onegevity Health, a health intelligence company with a precision health and wellness platform, where she served from 2019 until its acquisition by Thorne HealthTech, Inc. in 2021. Prior to joining Onegevity, she served as Vice President of Equity Derivatives Operations at Goldman Sachs from 2014 to 2019. Before that, she served as Chief Operating Officer of Solaire Generation, Inc., a solar energy equipment company. Ms. Williams has nearly 20 years of leadership experience across finance and operations, including executive leadership roles at early-stage companies and operations, sales and underwriting positions at leading investment banks. She previously served as an Independent Director of Altra Industrial Motion Corporation (NASDAQ: AIMC) from 2021 to 2023, where she was a member of the Audit Committee. Ms. Williams earned an M.B.A. from Stanford University and a B.S. in Mechanical Engineering from Harvard University.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There are no arrangements or understandings between Ms. Williams and any other persons pursuant to which Ms. Williams was appointed to the Board. Ms. Williams is not a party to any transaction, or series of transactions, required to be disclosed pursuant to Item 404(a) of Regulation S-K.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180"/>
        <w:jc w:val="both"/>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On July 27, 2026, the Company issued a press release announcing Ms. William’s appointment. A copy of the press release is furnished hereto as Exhibit 99.1 and incorporated into this Item 7.01 by reference.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information in this Item 7.01 of Form 8-K, including the accompanying Exhibit 99.1, shall not be deemed “filed” for purposes of Section 18 of the Securities Exchange Act of 1934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 Exhibits</w:t>
      </w:r>
    </w:p>
    <w:tbl>
      <w:tblPr>
        <w:tblW w:w="9600" w:type="dxa"/>
        <w:jc w:val="left"/>
        <w:tblInd w:w="0" w:type="dxa"/>
        <w:tblLayout w:type="fixed"/>
        <w:tblCellMar>
          <w:top w:w="28" w:type="dxa"/>
          <w:left w:w="28" w:type="dxa"/>
          <w:bottom w:w="28" w:type="dxa"/>
          <w:right w:w="28" w:type="dxa"/>
        </w:tblCellMar>
      </w:tblPr>
      <w:tblGrid>
        <w:gridCol w:w="196"/>
        <w:gridCol w:w="172"/>
        <w:gridCol w:w="173"/>
        <w:gridCol w:w="2651"/>
        <w:gridCol w:w="2651"/>
        <w:gridCol w:w="375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nal-pitneybowes_williams.htm">
              <w:r>
                <w:rPr>
                  <w:rStyle w:val="InternetLink"/>
                  <w:rFonts w:ascii="Times New Roman;serif" w:hAnsi="Times New Roman;serif"/>
                  <w:b w:val="false"/>
                  <w:color w:val="0000FF"/>
                  <w:sz w:val="22"/>
                  <w:u w:val="single"/>
                </w:rPr>
                <w:t>Press release of Pitney Bowes Inc. dated July 27, 2026.</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cover page of Pitney Bowes Inc.'s Current Report on Form 8-K, formatted in Inline XBRL.</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4"/>
        </w:rPr>
        <w:t>SIGNATURES</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240" w:after="283"/>
        <w:ind w:left="0" w:right="0" w:firstLine="720"/>
        <w:jc w:val="both"/>
        <w:rPr>
          <w:color w:val="000000"/>
        </w:rPr>
      </w:pPr>
      <w:r>
        <w:rPr>
          <w:color w:val="000000"/>
        </w:rPr>
        <w:t> </w:t>
      </w:r>
    </w:p>
    <w:tbl>
      <w:tblPr>
        <w:tblW w:w="9133" w:type="dxa"/>
        <w:jc w:val="left"/>
        <w:tblInd w:w="0" w:type="dxa"/>
        <w:tblLayout w:type="fixed"/>
        <w:tblCellMar>
          <w:top w:w="28" w:type="dxa"/>
          <w:left w:w="28" w:type="dxa"/>
          <w:bottom w:w="28" w:type="dxa"/>
          <w:right w:w="28" w:type="dxa"/>
        </w:tblCellMar>
      </w:tblPr>
      <w:tblGrid>
        <w:gridCol w:w="715"/>
        <w:gridCol w:w="631"/>
        <w:gridCol w:w="634"/>
        <w:gridCol w:w="542"/>
        <w:gridCol w:w="542"/>
        <w:gridCol w:w="542"/>
        <w:gridCol w:w="1607"/>
        <w:gridCol w:w="1607"/>
        <w:gridCol w:w="2313"/>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Pitney Bowes Inc.</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Lauren Freeman-Bosworth</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Lauren Freeman-Bosworth</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July 27, 2026</w:t>
            </w:r>
          </w:p>
        </w:tc>
        <w:tc>
          <w:tcPr>
            <w:tcW w:w="7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General Counsel and Corporate Secretary</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40"/>
        </w:rPr>
      </w:pPr>
      <w:r>
        <w:rPr>
          <w:rFonts w:ascii="Times New Roman;serif" w:hAnsi="Times New Roman;serif"/>
          <w:b w:val="false"/>
          <w:color w:val="000000"/>
          <w:sz w:val="40"/>
        </w:rPr>
        <w:t>Pitney Bowes Strengthens Board of Directors with Appointment of La Vonda Williams</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SHELTON, Conn.--(BUSINESS WIRE)--Pitney Bowes Inc. (NYSE: PBI) (“Pitney Bowes” or the “Company”), a technology-driven company that provides digital shipping solutions, mailing innovation, and financial services to clients around the world, today announced the appointment of La Vonda Williams to its Board of Directors (the “Board”), effective immediately. This stems from the Board’s Governance Committee continually focusing on identifying and evaluating highly qualified, independent director candidates as they become available. </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Ms. Williams has significant financial and operational leadership experience based on her past service as a senior executive and director at both public and private companies. Her background includes deep involvement in corporate assessments of strategic alternatives and transaction opportunities, including during her tenure as a director of Altra Industrial Motion Corporation (formerly NASDAQ: AIMC) prior to the business entering into a merger agreement with Regal Rexnord (NYSE: RRX) in 2023. Ms. Williams also possesses valuable capital markets insight and relationships based on her time at several investment banks, including Goldman Sachs. Given her additive perspectives, she will serve as a member of the Board’s recently established Strategic Review Committee.</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Brent Rosenthal, Chair of the Board, commented:</w:t>
      </w:r>
    </w:p>
    <w:p>
      <w:pPr>
        <w:pStyle w:val="TextBody"/>
        <w:bidi w:val="0"/>
        <w:spacing w:lineRule="auto" w:line="288" w:before="100" w:after="100"/>
        <w:jc w:val="both"/>
        <w:rPr>
          <w:color w:val="000000"/>
        </w:rPr>
      </w:pPr>
      <w:r>
        <w:rPr>
          <w:color w:val="000000"/>
        </w:rPr>
        <w:t>“</w:t>
      </w:r>
      <w:r>
        <w:rPr>
          <w:rFonts w:ascii="Times New Roman;serif" w:hAnsi="Times New Roman;serif"/>
          <w:b w:val="false"/>
          <w:color w:val="000000"/>
          <w:sz w:val="22"/>
        </w:rPr>
        <w:t>We are delighted to welcome someone with La Vonda’s relevant expertise to our Board at this exciting inflection point for Pitney Bowes. As we look to sustain our momentum, the Board will benefit from her extensive experience in banking, the capital markets, corporate finance and transactions. She also possesses important perspectives pertaining to operational excellence and process improvements across corporate functions. Looking ahead, we will remain committed to ensuring the Board has the right skills to support our value creation plans.”</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Additional details around today’s announcement will be filed with the Securities and Exchange Commission on a Form 8-K.</w:t>
      </w:r>
    </w:p>
    <w:p>
      <w:pPr>
        <w:pStyle w:val="TextBody"/>
        <w:bidi w:val="0"/>
        <w:spacing w:lineRule="auto" w:line="288" w:before="100" w:after="100"/>
        <w:jc w:val="left"/>
        <w:rPr>
          <w:rFonts w:ascii="Times New Roman;serif" w:hAnsi="Times New Roman;serif"/>
          <w:b/>
          <w:color w:val="000000"/>
          <w:sz w:val="22"/>
          <w:u w:val="single"/>
        </w:rPr>
      </w:pPr>
      <w:r>
        <w:rPr>
          <w:rFonts w:ascii="Times New Roman;serif" w:hAnsi="Times New Roman;serif"/>
          <w:b/>
          <w:color w:val="000000"/>
          <w:sz w:val="22"/>
          <w:u w:val="single"/>
        </w:rPr>
        <w:t>La Vonda Williams Biography</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Ms. Williams is the former Chief Financial Officer of Onegevity Health, a health intelligence company with a precision health and wellness platform, where she served from 2019 until its acquisition by Thorne HealthTech, Inc. in 2021. Prior to joining Onegevity, she served as Vice President of Equity Derivatives Operations at Goldman Sachs from 2014 to 2019. Before that, she served as Chief Operating Officer of Solaire Generation, Inc., a solar energy equipment company. Ms. Williams has nearly 20 years of leadership experience across finance and operations, including executive leadership roles at early-stage companies and operations, sales and underwriting positions at leading investment banks. She previously served as an Independent Director of Altra Industrial Motion Corporation (formerly NASDAQ: AIMC) from 2021 to 2023, where she was a member of the Audit Committee. Ms. Williams earned an M.B.A. from Stanford University and a B.S. in Mechanical Engineering from Harvard University.</w:t>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About Pitney Bowes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Pitney Bowes (NYSE: PBI) is a technology-driven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 For the latest news, corporate announcements, and financial results, visit www.pitneybowes.com/us/newsroom. For additional information, visit Pitney Bowes at www.pitneybowes.com.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document contains “forward-looking statements” about the Company’s expected or potential future business and financial performance, including, but not limited to, statements about our expectations and intentions regarding the Company’s financial planning and deleveraging activities. Forward-looking statements are not guarantees of future performance and involve risks and uncertainties that could cause actual results to differ materially from those projected. Factors which could cause future financial performance to differ materially from expectations include, without limitation, changes in postal regulations or the operations and financial health of posts in the U.S. or other major markets or changes to the broader postal or shipping markets; accelerated or sudden decline in physical mail volumes; inability to compete effectively with our Sending Technology Solutions competitors; changes in trade policies, tariffs and regulations; the loss of some of Pitney Bowes’ larger clients in the Presort Services segment; global supply chain issues adversely impacting our third party suppliers’ ability to provide us products and services; periods of difficult economic conditions, the impacts of inflation and rising prices, higher interest rates and a slow-down in economic activity, including a global recession, or a U.S. government shutdown, to the Company and our clients; changes in foreign currency exchange rates; changes in labor and transportation availability and costs; inability to successfully execute on our strategic initiatives; and other factors as more fully outlined in the Company's 2025 Form 10-K/A Annual Report and other reports filed with the Securities and Exchange Commission during 2026. Pitney Bowes assumes no obligation to update any forward-looking statements contained in this document as a result of new information, events, or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Contacts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Investors and Press: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Alex Brown</w:t>
      </w:r>
    </w:p>
    <w:p>
      <w:pPr>
        <w:pStyle w:val="TextBody"/>
        <w:bidi w:val="0"/>
        <w:spacing w:lineRule="auto" w:line="288" w:before="0" w:after="0"/>
        <w:jc w:val="both"/>
        <w:rPr>
          <w:rFonts w:ascii="Times New Roman;serif" w:hAnsi="Times New Roman;serif"/>
          <w:b w:val="false"/>
          <w:color w:val="467886"/>
          <w:sz w:val="22"/>
        </w:rPr>
      </w:pPr>
      <w:r>
        <w:rPr>
          <w:rFonts w:ascii="Times New Roman;serif" w:hAnsi="Times New Roman;serif"/>
          <w:b w:val="false"/>
          <w:color w:val="467886"/>
          <w:sz w:val="22"/>
        </w:rPr>
        <w:t>investorrelations@pb.com</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1804</Words>
  <Characters>10319</Characters>
  <CharactersWithSpaces>12074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