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Wolf Kurt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 WATERVIEW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SHELTON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06484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PITNEY BOWES INC /DE/</w:t>
              </w:r>
            </w:hyperlink>
            <w:r>
              <w:rPr/>
              <w:t xml:space="preserve"> [ </w:t>
            </w:r>
            <w:r>
              <w:rPr>
                <w:rFonts w:ascii="Times;serif" w:hAnsi="Times;serif"/>
                <w:color w:val="0000FF"/>
                <w:sz w:val="24"/>
                <w:shd w:fill="FFFFFF" w:val="clear"/>
              </w:rPr>
              <w:t>PBI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80"/>
        <w:gridCol w:w="909"/>
        <w:gridCol w:w="780"/>
        <w:gridCol w:w="603"/>
        <w:gridCol w:w="337"/>
        <w:gridCol w:w="1045"/>
        <w:gridCol w:w="417"/>
        <w:gridCol w:w="788"/>
        <w:gridCol w:w="1237"/>
        <w:gridCol w:w="956"/>
        <w:gridCol w:w="115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478,475</w:t>
            </w:r>
            <w:r>
              <w:rPr>
                <w:rFonts w:ascii="Times;serif" w:hAnsi="Times;serif"/>
                <w:color w:val="008000"/>
                <w:position w:val="7"/>
                <w:sz w:val="16"/>
                <w:sz w:val="20"/>
                <w:shd w:fill="FFFFFF" w:val="clear"/>
              </w:rPr>
              <w:t>(2)</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17.53</w:t>
            </w:r>
            <w:r>
              <w:rPr>
                <w:rFonts w:ascii="Times;serif" w:hAnsi="Times;serif"/>
                <w:color w:val="008000"/>
                <w:position w:val="7"/>
                <w:sz w:val="16"/>
                <w:sz w:val="20"/>
                <w:shd w:fill="FFFFFF" w:val="clear"/>
              </w:rPr>
              <w:t>(2)</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1,611,056</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500,000</w:t>
            </w:r>
            <w:r>
              <w:rPr>
                <w:rFonts w:ascii="Times;serif" w:hAnsi="Times;serif"/>
                <w:color w:val="008000"/>
                <w:position w:val="7"/>
                <w:sz w:val="16"/>
                <w:sz w:val="20"/>
                <w:shd w:fill="FFFFFF" w:val="clear"/>
              </w:rPr>
              <w:t>(2)</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17.53</w:t>
            </w:r>
            <w:r>
              <w:rPr>
                <w:rFonts w:ascii="Times;serif" w:hAnsi="Times;serif"/>
                <w:color w:val="008000"/>
                <w:position w:val="7"/>
                <w:sz w:val="16"/>
                <w:sz w:val="20"/>
                <w:shd w:fill="FFFFFF" w:val="clear"/>
              </w:rPr>
              <w:t>(2)</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1,203,124</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Hestia Capital Partners, LP</w:t>
            </w:r>
            <w:r>
              <w:rPr>
                <w:rFonts w:ascii="Times;serif" w:hAnsi="Times;serif"/>
                <w:color w:val="008000"/>
                <w:position w:val="7"/>
                <w:sz w:val="16"/>
                <w:sz w:val="20"/>
                <w:shd w:fill="FFFFFF" w:val="clear"/>
              </w:rPr>
              <w:t>(3)</w:t>
            </w:r>
          </w:p>
        </w:tc>
      </w:tr>
      <w:tr>
        <w:trPr/>
        <w:tc>
          <w:tcPr>
            <w:tcW w:w="1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122,963</w:t>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Separately Managed Accounts</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transactions reflect (i) the Reporting Person's in-kind direct receipt of 478,475 shares distributed by Hestia Capital Partners, LP (collectively with its affiliates, "Hestia" or the "Funds") based on a reduction of the Funds' aggregate position in the Issuer's Common Stock and (ii) the in-kind distribution of shares held indirectly by the Reporting Person, consisting of 478,475 shares that were distributed in-kind to the Reporting Person and 21,525 shares that were distributed in-kind to other participating limited partners. The Reporting Person's personal holdings of the Issuer's Common Stock remain unchanged, as the reported transactions reflect a change in the Reporting Person's form of beneficial ownership rather than a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number of shares received by the Reporting Person was determined based on Hestia's pro rata distribution of shares to each limited partner participating in the distribution event and the closing price of the Issuer's Common Stock as of the close of trading on July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the managing member of (a) Hestia Partners GP, the general partner of Hestia Capital Partners, LP (Hestia Capital), and (b) Hestia LLC, the investment manager of Hestia Capital and certain separately managed accounts (the SMAs). As the managing member of each of Hestia Partners GP and Hestia LLC, the reporting person may be deemed the beneficial owner of the shares directly owned by Hestia Capital and shares held in the SMAs. The reporting person disclaims beneficial ownership of these securities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Elisabeth Weinberg, as attorney-in-fact for Kurt James Wolf</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3906" TargetMode="External"/><Relationship Id="rId5" Type="http://schemas.openxmlformats.org/officeDocument/2006/relationships/hyperlink" Target="http://www.sec.gov/cgi-bin/browse-edgar?action=getcompany&amp;CIK=00000788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848</Words>
  <Characters>4626</Characters>
  <CharactersWithSpaces>5391</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