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70"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61"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22"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17"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42"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224"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20"/>
          <w:szCs w:val="20"/>
          <w:b w:val="1"/>
          <w:bCs w:val="1"/>
          <w:color w:val="auto"/>
        </w:rPr>
        <w:t>Pursuant to Section 13 or 15(d) of the Securities</w:t>
      </w:r>
    </w:p>
    <w:p>
      <w:pPr>
        <w:spacing w:after="0" w:line="2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Exchange Act of 1934</w:t>
      </w:r>
    </w:p>
    <w:p>
      <w:pPr>
        <w:spacing w:after="0" w:line="21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May 12, 2026</w:t>
      </w:r>
    </w:p>
    <w:p>
      <w:pPr>
        <w:spacing w:after="0" w:line="27"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Date of Report (Date of earliest event reported)</w:t>
      </w:r>
    </w:p>
    <w:p>
      <w:pPr>
        <w:spacing w:after="0" w:line="191"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32"/>
          <w:szCs w:val="32"/>
          <w:b w:val="1"/>
          <w:bCs w:val="1"/>
          <w:color w:val="auto"/>
        </w:rPr>
        <w:t>Pitney Bowes Inc.</w:t>
      </w:r>
    </w:p>
    <w:p>
      <w:pPr>
        <w:spacing w:after="0" w:line="5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ectPr>
          <w:pgSz w:w="11900" w:h="16838" w:orient="portrait"/>
          <w:cols w:equalWidth="0" w:num="1">
            <w:col w:w="11240"/>
          </w:cols>
          <w:pgMar w:left="320" w:top="1440" w:right="339" w:bottom="1440" w:gutter="0" w:footer="0" w:header="0"/>
        </w:sectPr>
      </w:pPr>
    </w:p>
    <w:p>
      <w:pPr>
        <w:spacing w:after="0" w:line="309" w:lineRule="exact"/>
        <w:rPr>
          <w:sz w:val="24"/>
          <w:szCs w:val="24"/>
          <w:color w:val="auto"/>
        </w:rPr>
      </w:pPr>
    </w:p>
    <w:p>
      <w:pPr>
        <w:jc w:val="center"/>
        <w:ind w:left="14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40" w:lineRule="exact"/>
        <w:rPr>
          <w:sz w:val="24"/>
          <w:szCs w:val="24"/>
          <w:color w:val="auto"/>
        </w:rPr>
      </w:pPr>
    </w:p>
    <w:p>
      <w:pPr>
        <w:jc w:val="both"/>
        <w:ind w:left="780" w:right="660" w:firstLine="16"/>
        <w:spacing w:after="0" w:line="250" w:lineRule="auto"/>
        <w:rPr>
          <w:sz w:val="20"/>
          <w:szCs w:val="20"/>
          <w:color w:val="auto"/>
        </w:rPr>
      </w:pPr>
      <w:r>
        <w:rPr>
          <w:rFonts w:ascii="Times New Roman" w:cs="Times New Roman" w:eastAsia="Times New Roman" w:hAnsi="Times New Roman"/>
          <w:sz w:val="18"/>
          <w:szCs w:val="18"/>
          <w:color w:val="auto"/>
        </w:rPr>
        <w:t>(State or other jurisdiction of incorporation or organization)</w:t>
      </w:r>
    </w:p>
    <w:p>
      <w:pPr>
        <w:spacing w:after="0" w:line="200" w:lineRule="exact"/>
        <w:rPr>
          <w:sz w:val="24"/>
          <w:szCs w:val="24"/>
          <w:color w:val="auto"/>
        </w:rPr>
      </w:pPr>
    </w:p>
    <w:p>
      <w:pPr>
        <w:spacing w:after="0" w:line="215" w:lineRule="exact"/>
        <w:rPr>
          <w:sz w:val="24"/>
          <w:szCs w:val="24"/>
          <w:color w:val="auto"/>
        </w:rPr>
      </w:pPr>
    </w:p>
    <w:p>
      <w:pPr>
        <w:ind w:left="20"/>
        <w:spacing w:after="0"/>
        <w:tabs>
          <w:tab w:leader="none" w:pos="2020" w:val="left"/>
        </w:tabs>
        <w:rPr>
          <w:sz w:val="20"/>
          <w:szCs w:val="20"/>
          <w:color w:val="auto"/>
        </w:rPr>
      </w:pPr>
      <w:r>
        <w:rPr>
          <w:rFonts w:ascii="Times New Roman" w:cs="Times New Roman" w:eastAsia="Times New Roman" w:hAnsi="Times New Roman"/>
          <w:sz w:val="17"/>
          <w:szCs w:val="17"/>
          <w:color w:val="auto"/>
        </w:rPr>
        <w:t>Address:</w:t>
      </w:r>
      <w:r>
        <w:rPr>
          <w:sz w:val="20"/>
          <w:szCs w:val="20"/>
          <w:color w:val="auto"/>
        </w:rPr>
        <w:tab/>
      </w:r>
      <w:r>
        <w:rPr>
          <w:rFonts w:ascii="Times New Roman" w:cs="Times New Roman" w:eastAsia="Times New Roman" w:hAnsi="Times New Roman"/>
          <w:sz w:val="17"/>
          <w:szCs w:val="17"/>
          <w:b w:val="1"/>
          <w:bCs w:val="1"/>
          <w:color w:val="auto"/>
        </w:rPr>
        <w:t>27 Waterview Drive,</w:t>
      </w:r>
    </w:p>
    <w:p>
      <w:pPr>
        <w:spacing w:after="0" w:line="43" w:lineRule="exact"/>
        <w:rPr>
          <w:sz w:val="24"/>
          <w:szCs w:val="24"/>
          <w:color w:val="auto"/>
        </w:rPr>
      </w:pPr>
    </w:p>
    <w:p>
      <w:pPr>
        <w:ind w:left="20"/>
        <w:spacing w:after="0"/>
        <w:tabs>
          <w:tab w:leader="none" w:pos="2020" w:val="left"/>
          <w:tab w:leader="none" w:pos="2640" w:val="left"/>
        </w:tabs>
        <w:rPr>
          <w:sz w:val="20"/>
          <w:szCs w:val="20"/>
          <w:color w:val="auto"/>
        </w:rPr>
      </w:pPr>
      <w:r>
        <w:rPr>
          <w:rFonts w:ascii="Times New Roman" w:cs="Times New Roman" w:eastAsia="Times New Roman" w:hAnsi="Times New Roman"/>
          <w:sz w:val="18"/>
          <w:szCs w:val="18"/>
          <w:color w:val="auto"/>
        </w:rPr>
        <w:t>Telephone Number:</w:t>
      </w:r>
      <w:r>
        <w:rPr>
          <w:sz w:val="20"/>
          <w:szCs w:val="20"/>
          <w:color w:val="auto"/>
        </w:rPr>
        <w:tab/>
      </w:r>
      <w:r>
        <w:rPr>
          <w:rFonts w:ascii="Times New Roman" w:cs="Times New Roman" w:eastAsia="Times New Roman" w:hAnsi="Times New Roman"/>
          <w:sz w:val="18"/>
          <w:szCs w:val="18"/>
          <w:b w:val="1"/>
          <w:bCs w:val="1"/>
          <w:color w:val="auto"/>
        </w:rPr>
        <w:t>(203)</w:t>
      </w:r>
      <w:r>
        <w:rPr>
          <w:sz w:val="20"/>
          <w:szCs w:val="20"/>
          <w:color w:val="auto"/>
        </w:rPr>
        <w:tab/>
      </w:r>
      <w:r>
        <w:rPr>
          <w:rFonts w:ascii="Times New Roman" w:cs="Times New Roman" w:eastAsia="Times New Roman" w:hAnsi="Times New Roman"/>
          <w:sz w:val="17"/>
          <w:szCs w:val="17"/>
          <w:b w:val="1"/>
          <w:bCs w:val="1"/>
          <w:color w:val="auto"/>
        </w:rPr>
        <w:t>922-4000</w:t>
      </w:r>
    </w:p>
    <w:p>
      <w:pPr>
        <w:spacing w:after="0" w:line="20" w:lineRule="exact"/>
        <w:rPr>
          <w:sz w:val="24"/>
          <w:szCs w:val="24"/>
          <w:color w:val="auto"/>
        </w:rPr>
      </w:pPr>
      <w:r>
        <w:rPr>
          <w:sz w:val="24"/>
          <w:szCs w:val="24"/>
          <w:color w:val="auto"/>
        </w:rPr>
        <w:br w:type="column"/>
      </w:r>
    </w:p>
    <w:p>
      <w:pPr>
        <w:spacing w:after="0" w:line="28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8"/>
        </w:trPr>
        <w:tc>
          <w:tcPr>
            <w:tcW w:w="880" w:type="dxa"/>
            <w:vAlign w:val="bottom"/>
          </w:tcPr>
          <w:p>
            <w:pPr>
              <w:spacing w:after="0"/>
              <w:rPr>
                <w:sz w:val="20"/>
                <w:szCs w:val="20"/>
                <w:color w:val="auto"/>
              </w:rPr>
            </w:pPr>
          </w:p>
        </w:tc>
        <w:tc>
          <w:tcPr>
            <w:tcW w:w="1560" w:type="dxa"/>
            <w:vAlign w:val="bottom"/>
          </w:tcPr>
          <w:p>
            <w:pPr>
              <w:jc w:val="right"/>
              <w:ind w:right="670"/>
              <w:spacing w:after="0"/>
              <w:rPr>
                <w:sz w:val="20"/>
                <w:szCs w:val="20"/>
                <w:color w:val="auto"/>
              </w:rPr>
            </w:pPr>
            <w:r>
              <w:rPr>
                <w:rFonts w:ascii="Times New Roman" w:cs="Times New Roman" w:eastAsia="Times New Roman" w:hAnsi="Times New Roman"/>
                <w:sz w:val="18"/>
                <w:szCs w:val="18"/>
                <w:b w:val="1"/>
                <w:bCs w:val="1"/>
                <w:color w:val="auto"/>
              </w:rPr>
              <w:t>1-3579</w:t>
            </w:r>
          </w:p>
        </w:tc>
        <w:tc>
          <w:tcPr>
            <w:tcW w:w="4040" w:type="dxa"/>
            <w:vAlign w:val="bottom"/>
          </w:tcPr>
          <w:p>
            <w:pPr>
              <w:jc w:val="right"/>
              <w:ind w:right="790"/>
              <w:spacing w:after="0"/>
              <w:rPr>
                <w:sz w:val="20"/>
                <w:szCs w:val="20"/>
                <w:color w:val="auto"/>
              </w:rPr>
            </w:pPr>
            <w:r>
              <w:rPr>
                <w:rFonts w:ascii="Times New Roman" w:cs="Times New Roman" w:eastAsia="Times New Roman" w:hAnsi="Times New Roman"/>
                <w:sz w:val="18"/>
                <w:szCs w:val="18"/>
                <w:b w:val="1"/>
                <w:bCs w:val="1"/>
                <w:color w:val="auto"/>
              </w:rPr>
              <w:t>06-0495050</w:t>
            </w:r>
          </w:p>
        </w:tc>
      </w:tr>
      <w:tr>
        <w:trPr>
          <w:trHeight w:val="337"/>
        </w:trPr>
        <w:tc>
          <w:tcPr>
            <w:tcW w:w="2440" w:type="dxa"/>
            <w:vAlign w:val="bottom"/>
            <w:gridSpan w:val="2"/>
          </w:tcPr>
          <w:p>
            <w:pPr>
              <w:jc w:val="center"/>
              <w:ind w:left="310"/>
              <w:spacing w:after="0"/>
              <w:rPr>
                <w:sz w:val="20"/>
                <w:szCs w:val="20"/>
                <w:color w:val="auto"/>
              </w:rPr>
            </w:pPr>
            <w:r>
              <w:rPr>
                <w:rFonts w:ascii="Times New Roman" w:cs="Times New Roman" w:eastAsia="Times New Roman" w:hAnsi="Times New Roman"/>
                <w:sz w:val="18"/>
                <w:szCs w:val="18"/>
                <w:color w:val="auto"/>
              </w:rPr>
              <w:t>(Commission file number)</w:t>
            </w:r>
          </w:p>
        </w:tc>
        <w:tc>
          <w:tcPr>
            <w:tcW w:w="4040" w:type="dxa"/>
            <w:vAlign w:val="bottom"/>
          </w:tcPr>
          <w:p>
            <w:pPr>
              <w:jc w:val="center"/>
              <w:ind w:left="1330"/>
              <w:spacing w:after="0"/>
              <w:rPr>
                <w:sz w:val="20"/>
                <w:szCs w:val="20"/>
                <w:color w:val="auto"/>
              </w:rPr>
            </w:pPr>
            <w:r>
              <w:rPr>
                <w:rFonts w:ascii="Times New Roman" w:cs="Times New Roman" w:eastAsia="Times New Roman" w:hAnsi="Times New Roman"/>
                <w:sz w:val="18"/>
                <w:szCs w:val="18"/>
                <w:color w:val="auto"/>
              </w:rPr>
              <w:t>(I.R.S. Employer Identification No.)</w:t>
            </w:r>
          </w:p>
        </w:tc>
      </w:tr>
      <w:tr>
        <w:trPr>
          <w:trHeight w:val="756"/>
        </w:trPr>
        <w:tc>
          <w:tcPr>
            <w:tcW w:w="8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Shelton,</w:t>
            </w:r>
          </w:p>
        </w:tc>
        <w:tc>
          <w:tcPr>
            <w:tcW w:w="1560" w:type="dxa"/>
            <w:vAlign w:val="bottom"/>
          </w:tcPr>
          <w:p>
            <w:pPr>
              <w:ind w:left="240"/>
              <w:spacing w:after="0"/>
              <w:rPr>
                <w:sz w:val="20"/>
                <w:szCs w:val="20"/>
                <w:color w:val="auto"/>
              </w:rPr>
            </w:pPr>
            <w:r>
              <w:rPr>
                <w:rFonts w:ascii="Times New Roman" w:cs="Times New Roman" w:eastAsia="Times New Roman" w:hAnsi="Times New Roman"/>
                <w:sz w:val="18"/>
                <w:szCs w:val="18"/>
                <w:b w:val="1"/>
                <w:bCs w:val="1"/>
                <w:color w:val="auto"/>
              </w:rPr>
              <w:t>Connecticut</w:t>
            </w:r>
          </w:p>
        </w:tc>
        <w:tc>
          <w:tcPr>
            <w:tcW w:w="4040" w:type="dxa"/>
            <w:vAlign w:val="bottom"/>
          </w:tcPr>
          <w:p>
            <w:pPr>
              <w:jc w:val="right"/>
              <w:ind w:right="3410"/>
              <w:spacing w:after="0"/>
              <w:rPr>
                <w:sz w:val="20"/>
                <w:szCs w:val="20"/>
                <w:color w:val="auto"/>
              </w:rPr>
            </w:pPr>
            <w:r>
              <w:rPr>
                <w:rFonts w:ascii="Times New Roman" w:cs="Times New Roman" w:eastAsia="Times New Roman" w:hAnsi="Times New Roman"/>
                <w:sz w:val="18"/>
                <w:szCs w:val="18"/>
                <w:b w:val="1"/>
                <w:bCs w:val="1"/>
                <w:color w:val="auto"/>
              </w:rPr>
              <w:t>06484</w:t>
            </w:r>
          </w:p>
        </w:tc>
      </w:tr>
    </w:tbl>
    <w:p>
      <w:pPr>
        <w:spacing w:after="0" w:line="406" w:lineRule="exact"/>
        <w:rPr>
          <w:sz w:val="24"/>
          <w:szCs w:val="24"/>
          <w:color w:val="auto"/>
        </w:rPr>
      </w:pPr>
    </w:p>
    <w:p>
      <w:pPr>
        <w:sectPr>
          <w:pgSz w:w="11900" w:h="16838" w:orient="portrait"/>
          <w:cols w:equalWidth="0" w:num="2">
            <w:col w:w="3620" w:space="580"/>
            <w:col w:w="7040"/>
          </w:cols>
          <w:pgMar w:left="320" w:top="1440" w:right="339" w:bottom="1440" w:gutter="0" w:footer="0" w:header="0"/>
          <w:type w:val="continuous"/>
        </w:sectPr>
      </w:pPr>
    </w:p>
    <w:p>
      <w:pPr>
        <w:spacing w:after="0" w:line="97"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180"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35" w:lineRule="exact"/>
        <w:rPr>
          <w:sz w:val="24"/>
          <w:szCs w:val="24"/>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42" w:lineRule="exact"/>
        <w:rPr>
          <w:rFonts w:ascii="MS PGothic" w:cs="MS PGothic" w:eastAsia="MS PGothic" w:hAnsi="MS PGothic"/>
          <w:sz w:val="18"/>
          <w:szCs w:val="18"/>
          <w:color w:val="auto"/>
        </w:rPr>
      </w:pPr>
    </w:p>
    <w:p>
      <w:pPr>
        <w:ind w:left="360" w:hanging="352"/>
        <w:spacing w:after="0"/>
        <w:tabs>
          <w:tab w:leader="none" w:pos="3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35"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36" w:lineRule="exact"/>
        <w:rPr>
          <w:rFonts w:ascii="MS PGothic" w:cs="MS PGothic" w:eastAsia="MS PGothic" w:hAnsi="MS PGothic"/>
          <w:sz w:val="18"/>
          <w:szCs w:val="18"/>
          <w:color w:val="auto"/>
        </w:rPr>
      </w:pPr>
    </w:p>
    <w:p>
      <w:pPr>
        <w:ind w:left="360" w:hanging="352"/>
        <w:spacing w:after="0"/>
        <w:tabs>
          <w:tab w:leader="none" w:pos="3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33"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18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600" w:type="dxa"/>
            <w:vAlign w:val="bottom"/>
          </w:tcPr>
          <w:p>
            <w:pPr>
              <w:spacing w:after="0"/>
              <w:rPr>
                <w:sz w:val="20"/>
                <w:szCs w:val="20"/>
                <w:color w:val="auto"/>
              </w:rPr>
            </w:pPr>
          </w:p>
        </w:tc>
      </w:tr>
      <w:tr>
        <w:trPr>
          <w:trHeight w:val="351"/>
        </w:trPr>
        <w:tc>
          <w:tcPr>
            <w:tcW w:w="4680" w:type="dxa"/>
            <w:vAlign w:val="bottom"/>
            <w:gridSpan w:val="2"/>
          </w:tcPr>
          <w:p>
            <w:pPr>
              <w:ind w:left="1600"/>
              <w:spacing w:after="0"/>
              <w:rPr>
                <w:sz w:val="20"/>
                <w:szCs w:val="20"/>
                <w:color w:val="auto"/>
              </w:rPr>
            </w:pPr>
            <w:r>
              <w:rPr>
                <w:rFonts w:ascii="Times New Roman" w:cs="Times New Roman" w:eastAsia="Times New Roman" w:hAnsi="Times New Roman"/>
                <w:sz w:val="18"/>
                <w:szCs w:val="18"/>
                <w:color w:val="auto"/>
              </w:rPr>
              <w:t>Title of Each Class</w:t>
            </w:r>
          </w:p>
        </w:tc>
        <w:tc>
          <w:tcPr>
            <w:tcW w:w="196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8"/>
              </w:rPr>
              <w:t>Trading Symbol(s)</w:t>
            </w:r>
          </w:p>
        </w:tc>
        <w:tc>
          <w:tcPr>
            <w:tcW w:w="46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Name of Each Exchange on Which Registered</w:t>
            </w:r>
          </w:p>
        </w:tc>
      </w:tr>
      <w:tr>
        <w:trPr>
          <w:trHeight w:val="218"/>
        </w:trPr>
        <w:tc>
          <w:tcPr>
            <w:tcW w:w="454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Common Stock, $1 par value per share</w:t>
            </w:r>
          </w:p>
        </w:tc>
        <w:tc>
          <w:tcPr>
            <w:tcW w:w="140" w:type="dxa"/>
            <w:vAlign w:val="bottom"/>
          </w:tcPr>
          <w:p>
            <w:pPr>
              <w:spacing w:after="0"/>
              <w:rPr>
                <w:sz w:val="18"/>
                <w:szCs w:val="18"/>
                <w:color w:val="auto"/>
              </w:rPr>
            </w:pPr>
          </w:p>
        </w:tc>
        <w:tc>
          <w:tcPr>
            <w:tcW w:w="18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PBI</w:t>
            </w:r>
          </w:p>
        </w:tc>
        <w:tc>
          <w:tcPr>
            <w:tcW w:w="140" w:type="dxa"/>
            <w:vAlign w:val="bottom"/>
          </w:tcPr>
          <w:p>
            <w:pPr>
              <w:spacing w:after="0"/>
              <w:rPr>
                <w:sz w:val="18"/>
                <w:szCs w:val="18"/>
                <w:color w:val="auto"/>
              </w:rPr>
            </w:pPr>
          </w:p>
        </w:tc>
        <w:tc>
          <w:tcPr>
            <w:tcW w:w="46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New York Stock Exchange</w:t>
            </w:r>
          </w:p>
        </w:tc>
      </w:tr>
      <w:tr>
        <w:trPr>
          <w:trHeight w:val="234"/>
        </w:trPr>
        <w:tc>
          <w:tcPr>
            <w:tcW w:w="46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6.70% Notes due 2043</w:t>
            </w:r>
          </w:p>
        </w:tc>
        <w:tc>
          <w:tcPr>
            <w:tcW w:w="196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9"/>
              </w:rPr>
              <w:t>PBI.PRB</w:t>
            </w:r>
          </w:p>
        </w:tc>
        <w:tc>
          <w:tcPr>
            <w:tcW w:w="4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New York Stock Exchange</w:t>
            </w:r>
          </w:p>
        </w:tc>
      </w:tr>
    </w:tbl>
    <w:p>
      <w:pPr>
        <w:spacing w:after="0" w:line="157" w:lineRule="exact"/>
        <w:rPr>
          <w:sz w:val="24"/>
          <w:szCs w:val="24"/>
          <w:color w:val="auto"/>
        </w:rPr>
      </w:pPr>
    </w:p>
    <w:p>
      <w:pPr>
        <w:ind w:right="520"/>
        <w:spacing w:after="0" w:line="258"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185" w:lineRule="exact"/>
        <w:rPr>
          <w:sz w:val="24"/>
          <w:szCs w:val="24"/>
          <w:color w:val="auto"/>
        </w:rPr>
      </w:pPr>
    </w:p>
    <w:p>
      <w:pPr>
        <w:ind w:right="16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Securities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861695</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1" w:name="page2"/>
    <w:bookmarkEnd w:id="1"/>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5.07 SUBMISSION OF MATTERS TO A VOTE OF SECURITY HOLDERS</w:t>
      </w:r>
    </w:p>
    <w:p>
      <w:pPr>
        <w:spacing w:after="0" w:line="129" w:lineRule="exact"/>
        <w:rPr>
          <w:sz w:val="20"/>
          <w:szCs w:val="20"/>
          <w:color w:val="auto"/>
        </w:rPr>
      </w:pPr>
    </w:p>
    <w:p>
      <w:pPr>
        <w:jc w:val="both"/>
        <w:ind w:firstLine="8"/>
        <w:spacing w:after="0" w:line="257" w:lineRule="auto"/>
        <w:tabs>
          <w:tab w:leader="none" w:pos="316"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Pitney Bowes, Inc. (the "Company") held its annual meeting of stockholders (the "Annual Meeting") on May 12, 2026, at which the Company's stockholders voted on the below proposals, which are described in further detail in the Company's definitive proxy statement on Schedule 14A filed with the SEC on March 30, 2026.</w:t>
      </w:r>
    </w:p>
    <w:p>
      <w:pPr>
        <w:spacing w:after="0" w:line="64" w:lineRule="exact"/>
        <w:rPr>
          <w:rFonts w:ascii="Times New Roman" w:cs="Times New Roman" w:eastAsia="Times New Roman" w:hAnsi="Times New Roman"/>
          <w:sz w:val="22"/>
          <w:szCs w:val="22"/>
          <w:color w:val="auto"/>
        </w:rPr>
      </w:pPr>
    </w:p>
    <w:p>
      <w:pPr>
        <w:ind w:firstLine="8"/>
        <w:spacing w:after="0" w:line="271" w:lineRule="auto"/>
        <w:tabs>
          <w:tab w:leader="none" w:pos="325"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of the matters submitted to the stockholders was approved by the requisite voting power required for approval of the respective proposal. The results of the voting on the matters submitted to the stockholders are as follows:</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Proposal 1 - Election of Directors</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 nominees for election to the Board at the Annual Meeting received the number of votes reported below:</w:t>
      </w:r>
    </w:p>
    <w:p>
      <w:pPr>
        <w:spacing w:after="0" w:line="139" w:lineRule="exact"/>
        <w:rPr>
          <w:sz w:val="20"/>
          <w:szCs w:val="20"/>
          <w:color w:val="auto"/>
        </w:rPr>
      </w:pPr>
    </w:p>
    <w:tbl>
      <w:tblPr>
        <w:tblLayout w:type="fixed"/>
        <w:tblInd w:w="20" w:type="dxa"/>
        <w:tblCellMar>
          <w:top w:w="0" w:type="dxa"/>
          <w:left w:w="0" w:type="dxa"/>
          <w:bottom w:w="0" w:type="dxa"/>
          <w:right w:w="0" w:type="dxa"/>
        </w:tblCellMar>
      </w:tblPr>
      <w:tr>
        <w:trPr>
          <w:trHeight w:val="262"/>
        </w:trPr>
        <w:tc>
          <w:tcPr>
            <w:tcW w:w="2420" w:type="dxa"/>
            <w:vAlign w:val="bottom"/>
          </w:tcPr>
          <w:p>
            <w:pPr>
              <w:ind w:left="360"/>
              <w:spacing w:after="0"/>
              <w:rPr>
                <w:sz w:val="20"/>
                <w:szCs w:val="20"/>
                <w:color w:val="auto"/>
              </w:rPr>
            </w:pPr>
            <w:r>
              <w:rPr>
                <w:rFonts w:ascii="Times New Roman" w:cs="Times New Roman" w:eastAsia="Times New Roman" w:hAnsi="Times New Roman"/>
                <w:sz w:val="20"/>
                <w:szCs w:val="20"/>
                <w:b w:val="1"/>
                <w:bCs w:val="1"/>
                <w:color w:val="auto"/>
              </w:rPr>
              <w:t>Director Nominee</w:t>
            </w:r>
          </w:p>
        </w:tc>
        <w:tc>
          <w:tcPr>
            <w:tcW w:w="2020" w:type="dxa"/>
            <w:vAlign w:val="bottom"/>
          </w:tcPr>
          <w:p>
            <w:pPr>
              <w:jc w:val="center"/>
              <w:ind w:right="29"/>
              <w:spacing w:after="0"/>
              <w:rPr>
                <w:sz w:val="20"/>
                <w:szCs w:val="20"/>
                <w:color w:val="auto"/>
              </w:rPr>
            </w:pPr>
            <w:r>
              <w:rPr>
                <w:rFonts w:ascii="Times New Roman" w:cs="Times New Roman" w:eastAsia="Times New Roman" w:hAnsi="Times New Roman"/>
                <w:sz w:val="20"/>
                <w:szCs w:val="20"/>
                <w:b w:val="1"/>
                <w:bCs w:val="1"/>
                <w:color w:val="auto"/>
                <w:w w:val="97"/>
              </w:rPr>
              <w:t>Vote For</w:t>
            </w:r>
          </w:p>
        </w:tc>
        <w:tc>
          <w:tcPr>
            <w:tcW w:w="2400" w:type="dxa"/>
            <w:vAlign w:val="bottom"/>
          </w:tcPr>
          <w:p>
            <w:pPr>
              <w:ind w:left="640"/>
              <w:spacing w:after="0"/>
              <w:rPr>
                <w:sz w:val="20"/>
                <w:szCs w:val="20"/>
                <w:color w:val="auto"/>
              </w:rPr>
            </w:pPr>
            <w:r>
              <w:rPr>
                <w:rFonts w:ascii="Times New Roman" w:cs="Times New Roman" w:eastAsia="Times New Roman" w:hAnsi="Times New Roman"/>
                <w:sz w:val="20"/>
                <w:szCs w:val="20"/>
                <w:b w:val="1"/>
                <w:bCs w:val="1"/>
                <w:color w:val="auto"/>
              </w:rPr>
              <w:t>Vote Against</w:t>
            </w:r>
          </w:p>
        </w:tc>
        <w:tc>
          <w:tcPr>
            <w:tcW w:w="1940" w:type="dxa"/>
            <w:vAlign w:val="bottom"/>
          </w:tcPr>
          <w:p>
            <w:pPr>
              <w:jc w:val="center"/>
              <w:spacing w:after="0"/>
              <w:rPr>
                <w:sz w:val="20"/>
                <w:szCs w:val="20"/>
                <w:color w:val="auto"/>
              </w:rPr>
            </w:pPr>
            <w:r>
              <w:rPr>
                <w:rFonts w:ascii="Times New Roman" w:cs="Times New Roman" w:eastAsia="Times New Roman" w:hAnsi="Times New Roman"/>
                <w:sz w:val="20"/>
                <w:szCs w:val="20"/>
                <w:b w:val="1"/>
                <w:bCs w:val="1"/>
                <w:color w:val="auto"/>
                <w:w w:val="98"/>
              </w:rPr>
              <w:t>Abstain</w:t>
            </w:r>
          </w:p>
        </w:tc>
        <w:tc>
          <w:tcPr>
            <w:tcW w:w="2040" w:type="dxa"/>
            <w:vAlign w:val="bottom"/>
          </w:tcPr>
          <w:p>
            <w:pPr>
              <w:jc w:val="center"/>
              <w:ind w:left="509"/>
              <w:spacing w:after="0"/>
              <w:rPr>
                <w:sz w:val="20"/>
                <w:szCs w:val="20"/>
                <w:color w:val="auto"/>
              </w:rPr>
            </w:pPr>
            <w:r>
              <w:rPr>
                <w:rFonts w:ascii="Times New Roman" w:cs="Times New Roman" w:eastAsia="Times New Roman" w:hAnsi="Times New Roman"/>
                <w:sz w:val="20"/>
                <w:szCs w:val="20"/>
                <w:b w:val="1"/>
                <w:bCs w:val="1"/>
                <w:color w:val="auto"/>
                <w:w w:val="97"/>
              </w:rPr>
              <w:t>Broker Non-Vote</w:t>
            </w:r>
          </w:p>
        </w:tc>
      </w:tr>
      <w:tr>
        <w:trPr>
          <w:trHeight w:val="232"/>
        </w:trPr>
        <w:tc>
          <w:tcPr>
            <w:tcW w:w="2420" w:type="dxa"/>
            <w:vAlign w:val="bottom"/>
          </w:tcPr>
          <w:p>
            <w:pPr>
              <w:spacing w:after="0"/>
              <w:rPr>
                <w:sz w:val="20"/>
                <w:szCs w:val="20"/>
                <w:color w:val="auto"/>
              </w:rPr>
            </w:pPr>
            <w:r>
              <w:rPr>
                <w:rFonts w:ascii="Times New Roman" w:cs="Times New Roman" w:eastAsia="Times New Roman" w:hAnsi="Times New Roman"/>
                <w:sz w:val="18"/>
                <w:szCs w:val="18"/>
                <w:color w:val="auto"/>
              </w:rPr>
              <w:t>Peter Brimm</w:t>
            </w:r>
          </w:p>
        </w:tc>
        <w:tc>
          <w:tcPr>
            <w:tcW w:w="2020" w:type="dxa"/>
            <w:vAlign w:val="bottom"/>
          </w:tcPr>
          <w:p>
            <w:pPr>
              <w:jc w:val="center"/>
              <w:ind w:right="9"/>
              <w:spacing w:after="0"/>
              <w:rPr>
                <w:sz w:val="20"/>
                <w:szCs w:val="20"/>
                <w:color w:val="auto"/>
              </w:rPr>
            </w:pPr>
            <w:r>
              <w:rPr>
                <w:rFonts w:ascii="Times New Roman" w:cs="Times New Roman" w:eastAsia="Times New Roman" w:hAnsi="Times New Roman"/>
                <w:sz w:val="18"/>
                <w:szCs w:val="18"/>
                <w:color w:val="auto"/>
                <w:w w:val="98"/>
              </w:rPr>
              <w:t>85,592,797</w:t>
            </w:r>
          </w:p>
        </w:tc>
        <w:tc>
          <w:tcPr>
            <w:tcW w:w="24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1,118,756</w:t>
            </w:r>
          </w:p>
        </w:tc>
        <w:tc>
          <w:tcPr>
            <w:tcW w:w="1940" w:type="dxa"/>
            <w:vAlign w:val="bottom"/>
          </w:tcPr>
          <w:p>
            <w:pPr>
              <w:jc w:val="center"/>
              <w:ind w:left="9"/>
              <w:spacing w:after="0"/>
              <w:rPr>
                <w:sz w:val="20"/>
                <w:szCs w:val="20"/>
                <w:color w:val="auto"/>
              </w:rPr>
            </w:pPr>
            <w:r>
              <w:rPr>
                <w:rFonts w:ascii="Times New Roman" w:cs="Times New Roman" w:eastAsia="Times New Roman" w:hAnsi="Times New Roman"/>
                <w:sz w:val="18"/>
                <w:szCs w:val="18"/>
                <w:color w:val="auto"/>
              </w:rPr>
              <w:t>156,834</w:t>
            </w:r>
          </w:p>
        </w:tc>
        <w:tc>
          <w:tcPr>
            <w:tcW w:w="2040" w:type="dxa"/>
            <w:vAlign w:val="bottom"/>
          </w:tcPr>
          <w:p>
            <w:pPr>
              <w:jc w:val="center"/>
              <w:ind w:left="509"/>
              <w:spacing w:after="0"/>
              <w:rPr>
                <w:sz w:val="20"/>
                <w:szCs w:val="20"/>
                <w:color w:val="auto"/>
              </w:rPr>
            </w:pPr>
            <w:r>
              <w:rPr>
                <w:rFonts w:ascii="Times New Roman" w:cs="Times New Roman" w:eastAsia="Times New Roman" w:hAnsi="Times New Roman"/>
                <w:sz w:val="18"/>
                <w:szCs w:val="18"/>
                <w:color w:val="auto"/>
                <w:w w:val="98"/>
              </w:rPr>
              <w:t>24,904,853</w:t>
            </w:r>
          </w:p>
        </w:tc>
      </w:tr>
      <w:tr>
        <w:trPr>
          <w:trHeight w:val="230"/>
        </w:trPr>
        <w:tc>
          <w:tcPr>
            <w:tcW w:w="2420" w:type="dxa"/>
            <w:vAlign w:val="bottom"/>
          </w:tcPr>
          <w:p>
            <w:pPr>
              <w:spacing w:after="0"/>
              <w:rPr>
                <w:sz w:val="20"/>
                <w:szCs w:val="20"/>
                <w:color w:val="auto"/>
              </w:rPr>
            </w:pPr>
            <w:r>
              <w:rPr>
                <w:rFonts w:ascii="Times New Roman" w:cs="Times New Roman" w:eastAsia="Times New Roman" w:hAnsi="Times New Roman"/>
                <w:sz w:val="18"/>
                <w:szCs w:val="18"/>
                <w:color w:val="auto"/>
              </w:rPr>
              <w:t>Catherine Levene</w:t>
            </w:r>
          </w:p>
        </w:tc>
        <w:tc>
          <w:tcPr>
            <w:tcW w:w="2020" w:type="dxa"/>
            <w:vAlign w:val="bottom"/>
          </w:tcPr>
          <w:p>
            <w:pPr>
              <w:jc w:val="center"/>
              <w:ind w:right="9"/>
              <w:spacing w:after="0"/>
              <w:rPr>
                <w:sz w:val="20"/>
                <w:szCs w:val="20"/>
                <w:color w:val="auto"/>
              </w:rPr>
            </w:pPr>
            <w:r>
              <w:rPr>
                <w:rFonts w:ascii="Times New Roman" w:cs="Times New Roman" w:eastAsia="Times New Roman" w:hAnsi="Times New Roman"/>
                <w:sz w:val="18"/>
                <w:szCs w:val="18"/>
                <w:color w:val="auto"/>
                <w:w w:val="98"/>
              </w:rPr>
              <w:t>77,478,741</w:t>
            </w:r>
          </w:p>
        </w:tc>
        <w:tc>
          <w:tcPr>
            <w:tcW w:w="24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8,672,390</w:t>
            </w:r>
          </w:p>
        </w:tc>
        <w:tc>
          <w:tcPr>
            <w:tcW w:w="1940" w:type="dxa"/>
            <w:vAlign w:val="bottom"/>
          </w:tcPr>
          <w:p>
            <w:pPr>
              <w:jc w:val="center"/>
              <w:ind w:left="9"/>
              <w:spacing w:after="0"/>
              <w:rPr>
                <w:sz w:val="20"/>
                <w:szCs w:val="20"/>
                <w:color w:val="auto"/>
              </w:rPr>
            </w:pPr>
            <w:r>
              <w:rPr>
                <w:rFonts w:ascii="Times New Roman" w:cs="Times New Roman" w:eastAsia="Times New Roman" w:hAnsi="Times New Roman"/>
                <w:sz w:val="18"/>
                <w:szCs w:val="18"/>
                <w:color w:val="auto"/>
              </w:rPr>
              <w:t>717,256</w:t>
            </w:r>
          </w:p>
        </w:tc>
        <w:tc>
          <w:tcPr>
            <w:tcW w:w="2040" w:type="dxa"/>
            <w:vAlign w:val="bottom"/>
          </w:tcPr>
          <w:p>
            <w:pPr>
              <w:jc w:val="center"/>
              <w:ind w:left="509"/>
              <w:spacing w:after="0"/>
              <w:rPr>
                <w:sz w:val="20"/>
                <w:szCs w:val="20"/>
                <w:color w:val="auto"/>
              </w:rPr>
            </w:pPr>
            <w:r>
              <w:rPr>
                <w:rFonts w:ascii="Times New Roman" w:cs="Times New Roman" w:eastAsia="Times New Roman" w:hAnsi="Times New Roman"/>
                <w:sz w:val="18"/>
                <w:szCs w:val="18"/>
                <w:color w:val="auto"/>
                <w:w w:val="98"/>
              </w:rPr>
              <w:t>24,904,853</w:t>
            </w:r>
          </w:p>
        </w:tc>
      </w:tr>
      <w:tr>
        <w:trPr>
          <w:trHeight w:val="229"/>
        </w:trPr>
        <w:tc>
          <w:tcPr>
            <w:tcW w:w="2420" w:type="dxa"/>
            <w:vAlign w:val="bottom"/>
          </w:tcPr>
          <w:p>
            <w:pPr>
              <w:spacing w:after="0"/>
              <w:rPr>
                <w:sz w:val="20"/>
                <w:szCs w:val="20"/>
                <w:color w:val="auto"/>
              </w:rPr>
            </w:pPr>
            <w:r>
              <w:rPr>
                <w:rFonts w:ascii="Times New Roman" w:cs="Times New Roman" w:eastAsia="Times New Roman" w:hAnsi="Times New Roman"/>
                <w:sz w:val="18"/>
                <w:szCs w:val="18"/>
                <w:color w:val="auto"/>
              </w:rPr>
              <w:t>Brent Rosenthal</w:t>
            </w:r>
          </w:p>
        </w:tc>
        <w:tc>
          <w:tcPr>
            <w:tcW w:w="2020" w:type="dxa"/>
            <w:vAlign w:val="bottom"/>
          </w:tcPr>
          <w:p>
            <w:pPr>
              <w:jc w:val="center"/>
              <w:ind w:right="9"/>
              <w:spacing w:after="0"/>
              <w:rPr>
                <w:sz w:val="20"/>
                <w:szCs w:val="20"/>
                <w:color w:val="auto"/>
              </w:rPr>
            </w:pPr>
            <w:r>
              <w:rPr>
                <w:rFonts w:ascii="Times New Roman" w:cs="Times New Roman" w:eastAsia="Times New Roman" w:hAnsi="Times New Roman"/>
                <w:sz w:val="18"/>
                <w:szCs w:val="18"/>
                <w:color w:val="auto"/>
                <w:w w:val="98"/>
              </w:rPr>
              <w:t>85,356,784</w:t>
            </w:r>
          </w:p>
        </w:tc>
        <w:tc>
          <w:tcPr>
            <w:tcW w:w="24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1,350,009</w:t>
            </w:r>
          </w:p>
        </w:tc>
        <w:tc>
          <w:tcPr>
            <w:tcW w:w="1940" w:type="dxa"/>
            <w:vAlign w:val="bottom"/>
          </w:tcPr>
          <w:p>
            <w:pPr>
              <w:jc w:val="center"/>
              <w:ind w:left="9"/>
              <w:spacing w:after="0"/>
              <w:rPr>
                <w:sz w:val="20"/>
                <w:szCs w:val="20"/>
                <w:color w:val="auto"/>
              </w:rPr>
            </w:pPr>
            <w:r>
              <w:rPr>
                <w:rFonts w:ascii="Times New Roman" w:cs="Times New Roman" w:eastAsia="Times New Roman" w:hAnsi="Times New Roman"/>
                <w:sz w:val="18"/>
                <w:szCs w:val="18"/>
                <w:color w:val="auto"/>
              </w:rPr>
              <w:t>161,594</w:t>
            </w:r>
          </w:p>
        </w:tc>
        <w:tc>
          <w:tcPr>
            <w:tcW w:w="2040" w:type="dxa"/>
            <w:vAlign w:val="bottom"/>
          </w:tcPr>
          <w:p>
            <w:pPr>
              <w:jc w:val="center"/>
              <w:ind w:left="509"/>
              <w:spacing w:after="0"/>
              <w:rPr>
                <w:sz w:val="20"/>
                <w:szCs w:val="20"/>
                <w:color w:val="auto"/>
              </w:rPr>
            </w:pPr>
            <w:r>
              <w:rPr>
                <w:rFonts w:ascii="Times New Roman" w:cs="Times New Roman" w:eastAsia="Times New Roman" w:hAnsi="Times New Roman"/>
                <w:sz w:val="18"/>
                <w:szCs w:val="18"/>
                <w:color w:val="auto"/>
                <w:w w:val="98"/>
              </w:rPr>
              <w:t>24,904,853</w:t>
            </w:r>
          </w:p>
        </w:tc>
      </w:tr>
      <w:tr>
        <w:trPr>
          <w:trHeight w:val="230"/>
        </w:trPr>
        <w:tc>
          <w:tcPr>
            <w:tcW w:w="2420" w:type="dxa"/>
            <w:vAlign w:val="bottom"/>
          </w:tcPr>
          <w:p>
            <w:pPr>
              <w:spacing w:after="0"/>
              <w:rPr>
                <w:sz w:val="20"/>
                <w:szCs w:val="20"/>
                <w:color w:val="auto"/>
              </w:rPr>
            </w:pPr>
            <w:r>
              <w:rPr>
                <w:rFonts w:ascii="Times New Roman" w:cs="Times New Roman" w:eastAsia="Times New Roman" w:hAnsi="Times New Roman"/>
                <w:sz w:val="18"/>
                <w:szCs w:val="18"/>
                <w:color w:val="auto"/>
              </w:rPr>
              <w:t>Wayne Walker</w:t>
            </w:r>
          </w:p>
        </w:tc>
        <w:tc>
          <w:tcPr>
            <w:tcW w:w="2020" w:type="dxa"/>
            <w:vAlign w:val="bottom"/>
          </w:tcPr>
          <w:p>
            <w:pPr>
              <w:jc w:val="center"/>
              <w:ind w:right="9"/>
              <w:spacing w:after="0"/>
              <w:rPr>
                <w:sz w:val="20"/>
                <w:szCs w:val="20"/>
                <w:color w:val="auto"/>
              </w:rPr>
            </w:pPr>
            <w:r>
              <w:rPr>
                <w:rFonts w:ascii="Times New Roman" w:cs="Times New Roman" w:eastAsia="Times New Roman" w:hAnsi="Times New Roman"/>
                <w:sz w:val="18"/>
                <w:szCs w:val="18"/>
                <w:color w:val="auto"/>
                <w:w w:val="98"/>
              </w:rPr>
              <w:t>79,434,424</w:t>
            </w:r>
          </w:p>
        </w:tc>
        <w:tc>
          <w:tcPr>
            <w:tcW w:w="24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7,274,411</w:t>
            </w:r>
          </w:p>
        </w:tc>
        <w:tc>
          <w:tcPr>
            <w:tcW w:w="1940" w:type="dxa"/>
            <w:vAlign w:val="bottom"/>
          </w:tcPr>
          <w:p>
            <w:pPr>
              <w:jc w:val="center"/>
              <w:ind w:left="9"/>
              <w:spacing w:after="0"/>
              <w:rPr>
                <w:sz w:val="20"/>
                <w:szCs w:val="20"/>
                <w:color w:val="auto"/>
              </w:rPr>
            </w:pPr>
            <w:r>
              <w:rPr>
                <w:rFonts w:ascii="Times New Roman" w:cs="Times New Roman" w:eastAsia="Times New Roman" w:hAnsi="Times New Roman"/>
                <w:sz w:val="18"/>
                <w:szCs w:val="18"/>
                <w:color w:val="auto"/>
              </w:rPr>
              <w:t>159,552</w:t>
            </w:r>
          </w:p>
        </w:tc>
        <w:tc>
          <w:tcPr>
            <w:tcW w:w="2040" w:type="dxa"/>
            <w:vAlign w:val="bottom"/>
          </w:tcPr>
          <w:p>
            <w:pPr>
              <w:jc w:val="center"/>
              <w:ind w:left="509"/>
              <w:spacing w:after="0"/>
              <w:rPr>
                <w:sz w:val="20"/>
                <w:szCs w:val="20"/>
                <w:color w:val="auto"/>
              </w:rPr>
            </w:pPr>
            <w:r>
              <w:rPr>
                <w:rFonts w:ascii="Times New Roman" w:cs="Times New Roman" w:eastAsia="Times New Roman" w:hAnsi="Times New Roman"/>
                <w:sz w:val="18"/>
                <w:szCs w:val="18"/>
                <w:color w:val="auto"/>
                <w:w w:val="98"/>
              </w:rPr>
              <w:t>24,904,853</w:t>
            </w:r>
          </w:p>
        </w:tc>
      </w:tr>
      <w:tr>
        <w:trPr>
          <w:trHeight w:val="234"/>
        </w:trPr>
        <w:tc>
          <w:tcPr>
            <w:tcW w:w="2420" w:type="dxa"/>
            <w:vAlign w:val="bottom"/>
          </w:tcPr>
          <w:p>
            <w:pPr>
              <w:spacing w:after="0"/>
              <w:rPr>
                <w:sz w:val="20"/>
                <w:szCs w:val="20"/>
                <w:color w:val="auto"/>
              </w:rPr>
            </w:pPr>
            <w:r>
              <w:rPr>
                <w:rFonts w:ascii="Times New Roman" w:cs="Times New Roman" w:eastAsia="Times New Roman" w:hAnsi="Times New Roman"/>
                <w:sz w:val="18"/>
                <w:szCs w:val="18"/>
                <w:color w:val="auto"/>
              </w:rPr>
              <w:t>Kurt Wolf</w:t>
            </w:r>
          </w:p>
        </w:tc>
        <w:tc>
          <w:tcPr>
            <w:tcW w:w="2020" w:type="dxa"/>
            <w:vAlign w:val="bottom"/>
          </w:tcPr>
          <w:p>
            <w:pPr>
              <w:jc w:val="center"/>
              <w:ind w:right="9"/>
              <w:spacing w:after="0"/>
              <w:rPr>
                <w:sz w:val="20"/>
                <w:szCs w:val="20"/>
                <w:color w:val="auto"/>
              </w:rPr>
            </w:pPr>
            <w:r>
              <w:rPr>
                <w:rFonts w:ascii="Times New Roman" w:cs="Times New Roman" w:eastAsia="Times New Roman" w:hAnsi="Times New Roman"/>
                <w:sz w:val="18"/>
                <w:szCs w:val="18"/>
                <w:color w:val="auto"/>
                <w:w w:val="98"/>
              </w:rPr>
              <w:t>86,058,941</w:t>
            </w:r>
          </w:p>
        </w:tc>
        <w:tc>
          <w:tcPr>
            <w:tcW w:w="24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660,325</w:t>
            </w:r>
          </w:p>
        </w:tc>
        <w:tc>
          <w:tcPr>
            <w:tcW w:w="1940" w:type="dxa"/>
            <w:vAlign w:val="bottom"/>
          </w:tcPr>
          <w:p>
            <w:pPr>
              <w:jc w:val="center"/>
              <w:ind w:left="9"/>
              <w:spacing w:after="0"/>
              <w:rPr>
                <w:sz w:val="20"/>
                <w:szCs w:val="20"/>
                <w:color w:val="auto"/>
              </w:rPr>
            </w:pPr>
            <w:r>
              <w:rPr>
                <w:rFonts w:ascii="Times New Roman" w:cs="Times New Roman" w:eastAsia="Times New Roman" w:hAnsi="Times New Roman"/>
                <w:sz w:val="18"/>
                <w:szCs w:val="18"/>
                <w:color w:val="auto"/>
              </w:rPr>
              <w:t>149,121</w:t>
            </w:r>
          </w:p>
        </w:tc>
        <w:tc>
          <w:tcPr>
            <w:tcW w:w="2040" w:type="dxa"/>
            <w:vAlign w:val="bottom"/>
          </w:tcPr>
          <w:p>
            <w:pPr>
              <w:jc w:val="center"/>
              <w:ind w:left="509"/>
              <w:spacing w:after="0"/>
              <w:rPr>
                <w:sz w:val="20"/>
                <w:szCs w:val="20"/>
                <w:color w:val="auto"/>
              </w:rPr>
            </w:pPr>
            <w:r>
              <w:rPr>
                <w:rFonts w:ascii="Times New Roman" w:cs="Times New Roman" w:eastAsia="Times New Roman" w:hAnsi="Times New Roman"/>
                <w:sz w:val="18"/>
                <w:szCs w:val="18"/>
                <w:color w:val="auto"/>
                <w:w w:val="98"/>
              </w:rPr>
              <w:t>24,904,853</w:t>
            </w:r>
          </w:p>
        </w:tc>
      </w:tr>
    </w:tbl>
    <w:p>
      <w:pPr>
        <w:spacing w:after="0" w:line="175" w:lineRule="exact"/>
        <w:rPr>
          <w:sz w:val="20"/>
          <w:szCs w:val="20"/>
          <w:color w:val="auto"/>
        </w:rPr>
      </w:pPr>
    </w:p>
    <w:p>
      <w:pPr>
        <w:spacing w:after="0" w:line="284" w:lineRule="auto"/>
        <w:rPr>
          <w:sz w:val="20"/>
          <w:szCs w:val="20"/>
          <w:color w:val="auto"/>
        </w:rPr>
      </w:pPr>
      <w:r>
        <w:rPr>
          <w:rFonts w:ascii="Times New Roman" w:cs="Times New Roman" w:eastAsia="Times New Roman" w:hAnsi="Times New Roman"/>
          <w:sz w:val="22"/>
          <w:szCs w:val="22"/>
          <w:color w:val="auto"/>
        </w:rPr>
        <w:t>Accordingly, Mr. Brimm, Ms. Levene, Mr. Rosenthal, Mr. Walker and Mr. Wolf were elected to serve as directors of the Company for a one-year term expiring at the 2027 Annual Meeting of Stockholders.</w:t>
      </w:r>
    </w:p>
    <w:p>
      <w:pPr>
        <w:spacing w:after="0" w:line="387" w:lineRule="exact"/>
        <w:rPr>
          <w:sz w:val="20"/>
          <w:szCs w:val="20"/>
          <w:color w:val="auto"/>
        </w:rPr>
      </w:pPr>
    </w:p>
    <w:p>
      <w:pPr>
        <w:spacing w:after="0" w:line="271" w:lineRule="auto"/>
        <w:rPr>
          <w:sz w:val="20"/>
          <w:szCs w:val="20"/>
          <w:color w:val="auto"/>
        </w:rPr>
      </w:pPr>
      <w:r>
        <w:rPr>
          <w:rFonts w:ascii="Times New Roman" w:cs="Times New Roman" w:eastAsia="Times New Roman" w:hAnsi="Times New Roman"/>
          <w:sz w:val="22"/>
          <w:szCs w:val="22"/>
          <w:color w:val="auto"/>
        </w:rPr>
        <w:t>Proposal 2 – Ratification of the appointment of PricewaterhouseCoopers LLP as our independent registered public accountants for 2026</w:t>
      </w:r>
    </w:p>
    <w:p>
      <w:pPr>
        <w:spacing w:after="0" w:line="50" w:lineRule="exact"/>
        <w:rPr>
          <w:sz w:val="20"/>
          <w:szCs w:val="20"/>
          <w:color w:val="auto"/>
        </w:rPr>
      </w:pPr>
    </w:p>
    <w:p>
      <w:pPr>
        <w:spacing w:after="0" w:line="271" w:lineRule="auto"/>
        <w:rPr>
          <w:sz w:val="20"/>
          <w:szCs w:val="20"/>
          <w:color w:val="auto"/>
        </w:rPr>
      </w:pPr>
      <w:r>
        <w:rPr>
          <w:rFonts w:ascii="Times New Roman" w:cs="Times New Roman" w:eastAsia="Times New Roman" w:hAnsi="Times New Roman"/>
          <w:sz w:val="22"/>
          <w:szCs w:val="22"/>
          <w:color w:val="auto"/>
        </w:rPr>
        <w:t>The appointment of PricewaterhouseCoopers LLP to serve as the Company’s independent registered public accounting firm for 2026 was ratified. The voting results were as follows:</w:t>
      </w:r>
    </w:p>
    <w:p>
      <w:pPr>
        <w:sectPr>
          <w:pgSz w:w="11900" w:h="16838" w:orient="portrait"/>
          <w:cols w:equalWidth="0" w:num="1">
            <w:col w:w="11240"/>
          </w:cols>
          <w:pgMar w:left="320" w:top="1440" w:right="339" w:bottom="1440" w:gutter="0" w:footer="0" w:header="0"/>
        </w:sectPr>
      </w:pPr>
    </w:p>
    <w:p>
      <w:pPr>
        <w:spacing w:after="0" w:line="91"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9"/>
          <w:szCs w:val="19"/>
          <w:b w:val="1"/>
          <w:bCs w:val="1"/>
          <w:color w:val="auto"/>
        </w:rPr>
        <w:t>Vote For</w:t>
      </w:r>
    </w:p>
    <w:p>
      <w:pPr>
        <w:spacing w:after="0" w:line="20" w:lineRule="exact"/>
        <w:rPr>
          <w:sz w:val="20"/>
          <w:szCs w:val="20"/>
          <w:color w:val="auto"/>
        </w:rPr>
      </w:pPr>
      <w:r>
        <w:rPr>
          <w:sz w:val="20"/>
          <w:szCs w:val="20"/>
          <w:color w:val="auto"/>
        </w:rPr>
        <w:br w:type="column"/>
      </w:r>
    </w:p>
    <w:p>
      <w:pPr>
        <w:spacing w:after="0" w:line="71" w:lineRule="exact"/>
        <w:rPr>
          <w:sz w:val="20"/>
          <w:szCs w:val="20"/>
          <w:color w:val="auto"/>
        </w:rPr>
      </w:pPr>
    </w:p>
    <w:p>
      <w:pPr>
        <w:jc w:val="center"/>
        <w:ind w:right="1080"/>
        <w:spacing w:after="0"/>
        <w:rPr>
          <w:sz w:val="20"/>
          <w:szCs w:val="20"/>
          <w:color w:val="auto"/>
        </w:rPr>
      </w:pPr>
      <w:r>
        <w:rPr>
          <w:rFonts w:ascii="Times New Roman" w:cs="Times New Roman" w:eastAsia="Times New Roman" w:hAnsi="Times New Roman"/>
          <w:sz w:val="19"/>
          <w:szCs w:val="19"/>
          <w:b w:val="1"/>
          <w:bCs w:val="1"/>
          <w:color w:val="auto"/>
        </w:rPr>
        <w:t>Vote Against</w:t>
      </w:r>
    </w:p>
    <w:p>
      <w:pPr>
        <w:spacing w:after="0" w:line="20" w:lineRule="exact"/>
        <w:rPr>
          <w:sz w:val="20"/>
          <w:szCs w:val="20"/>
          <w:color w:val="auto"/>
        </w:rPr>
      </w:pPr>
      <w:r>
        <w:rPr>
          <w:sz w:val="20"/>
          <w:szCs w:val="20"/>
          <w:color w:val="auto"/>
        </w:rPr>
        <w:br w:type="column"/>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Abstain</w:t>
      </w:r>
    </w:p>
    <w:p>
      <w:pPr>
        <w:spacing w:after="0" w:line="20" w:lineRule="exact"/>
        <w:rPr>
          <w:sz w:val="20"/>
          <w:szCs w:val="20"/>
          <w:color w:val="auto"/>
        </w:rPr>
      </w:pPr>
      <w:r>
        <w:rPr>
          <w:sz w:val="20"/>
          <w:szCs w:val="20"/>
          <w:color w:val="auto"/>
        </w:rPr>
        <w:br w:type="column"/>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Broker Non-Vote</w:t>
      </w:r>
    </w:p>
    <w:p>
      <w:pPr>
        <w:spacing w:after="0" w:line="47" w:lineRule="exact"/>
        <w:rPr>
          <w:sz w:val="20"/>
          <w:szCs w:val="20"/>
          <w:color w:val="auto"/>
        </w:rPr>
      </w:pPr>
    </w:p>
    <w:p>
      <w:pPr>
        <w:sectPr>
          <w:pgSz w:w="11900" w:h="16838" w:orient="portrait"/>
          <w:cols w:equalWidth="0" w:num="4">
            <w:col w:w="2760" w:space="720"/>
            <w:col w:w="2160" w:space="720"/>
            <w:col w:w="1560" w:space="720"/>
            <w:col w:w="2600"/>
          </w:cols>
          <w:pgMar w:left="320" w:top="1440" w:right="339" w:bottom="1440" w:gutter="0" w:footer="0" w:header="0"/>
          <w:type w:val="continuous"/>
        </w:sectPr>
      </w:pPr>
    </w:p>
    <w:p>
      <w:pPr>
        <w:ind w:left="900"/>
        <w:spacing w:after="0"/>
        <w:rPr>
          <w:sz w:val="20"/>
          <w:szCs w:val="20"/>
          <w:color w:val="auto"/>
        </w:rPr>
      </w:pPr>
      <w:r>
        <w:rPr>
          <w:rFonts w:ascii="Times New Roman" w:cs="Times New Roman" w:eastAsia="Times New Roman" w:hAnsi="Times New Roman"/>
          <w:sz w:val="18"/>
          <w:szCs w:val="18"/>
          <w:color w:val="auto"/>
        </w:rPr>
        <w:t>109,410,968</w:t>
      </w:r>
    </w:p>
    <w:p>
      <w:pPr>
        <w:spacing w:after="0" w:line="20" w:lineRule="exact"/>
        <w:rPr>
          <w:sz w:val="20"/>
          <w:szCs w:val="20"/>
          <w:color w:val="auto"/>
        </w:rPr>
      </w:pPr>
      <w:r>
        <w:rPr>
          <w:sz w:val="20"/>
          <w:szCs w:val="20"/>
          <w:color w:val="auto"/>
        </w:rPr>
        <w:br w:type="column"/>
      </w:r>
    </w:p>
    <w:p>
      <w:pPr>
        <w:jc w:val="center"/>
        <w:ind w:right="1300"/>
        <w:spacing w:after="0"/>
        <w:rPr>
          <w:sz w:val="20"/>
          <w:szCs w:val="20"/>
          <w:color w:val="auto"/>
        </w:rPr>
      </w:pPr>
      <w:r>
        <w:rPr>
          <w:rFonts w:ascii="Times New Roman" w:cs="Times New Roman" w:eastAsia="Times New Roman" w:hAnsi="Times New Roman"/>
          <w:sz w:val="18"/>
          <w:szCs w:val="18"/>
          <w:color w:val="auto"/>
        </w:rPr>
        <w:t>2,182,883</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179,389</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w:t>
      </w:r>
    </w:p>
    <w:p>
      <w:pPr>
        <w:spacing w:after="0" w:line="200" w:lineRule="exact"/>
        <w:rPr>
          <w:sz w:val="20"/>
          <w:szCs w:val="20"/>
          <w:color w:val="auto"/>
        </w:rPr>
      </w:pPr>
    </w:p>
    <w:p>
      <w:pPr>
        <w:sectPr>
          <w:pgSz w:w="11900" w:h="16838" w:orient="portrait"/>
          <w:cols w:equalWidth="0" w:num="4">
            <w:col w:w="2940" w:space="720"/>
            <w:col w:w="2020" w:space="720"/>
            <w:col w:w="2160" w:space="720"/>
            <w:col w:w="1960"/>
          </w:cols>
          <w:pgMar w:left="320" w:top="1440" w:right="339" w:bottom="1440" w:gutter="0" w:footer="0" w:header="0"/>
          <w:type w:val="continuous"/>
        </w:sectPr>
      </w:pP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Proposal 3 – Non-binding Advisory Vote to Approve Executive Compensation</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The advisory vote on executive compensation was approved. The voting results were as follows:</w:t>
      </w:r>
    </w:p>
    <w:p>
      <w:pPr>
        <w:sectPr>
          <w:pgSz w:w="11900" w:h="16838" w:orient="portrait"/>
          <w:cols w:equalWidth="0" w:num="1">
            <w:col w:w="11240"/>
          </w:cols>
          <w:pgMar w:left="320" w:top="1440" w:right="339" w:bottom="1440" w:gutter="0" w:footer="0" w:header="0"/>
          <w:type w:val="continuous"/>
        </w:sectPr>
      </w:pPr>
    </w:p>
    <w:p>
      <w:pPr>
        <w:spacing w:after="0" w:line="164"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9"/>
          <w:szCs w:val="19"/>
          <w:b w:val="1"/>
          <w:bCs w:val="1"/>
          <w:color w:val="auto"/>
        </w:rPr>
        <w:t>Vote For</w:t>
      </w:r>
    </w:p>
    <w:p>
      <w:pPr>
        <w:spacing w:after="0" w:line="20" w:lineRule="exact"/>
        <w:rPr>
          <w:sz w:val="20"/>
          <w:szCs w:val="20"/>
          <w:color w:val="auto"/>
        </w:rPr>
      </w:pPr>
      <w:r>
        <w:rPr>
          <w:sz w:val="20"/>
          <w:szCs w:val="20"/>
          <w:color w:val="auto"/>
        </w:rPr>
        <w:br w:type="column"/>
      </w:r>
    </w:p>
    <w:p>
      <w:pPr>
        <w:spacing w:after="0" w:line="144" w:lineRule="exact"/>
        <w:rPr>
          <w:sz w:val="20"/>
          <w:szCs w:val="20"/>
          <w:color w:val="auto"/>
        </w:rPr>
      </w:pPr>
    </w:p>
    <w:p>
      <w:pPr>
        <w:jc w:val="center"/>
        <w:ind w:right="1080"/>
        <w:spacing w:after="0"/>
        <w:rPr>
          <w:sz w:val="20"/>
          <w:szCs w:val="20"/>
          <w:color w:val="auto"/>
        </w:rPr>
      </w:pPr>
      <w:r>
        <w:rPr>
          <w:rFonts w:ascii="Times New Roman" w:cs="Times New Roman" w:eastAsia="Times New Roman" w:hAnsi="Times New Roman"/>
          <w:sz w:val="19"/>
          <w:szCs w:val="19"/>
          <w:b w:val="1"/>
          <w:bCs w:val="1"/>
          <w:color w:val="auto"/>
        </w:rPr>
        <w:t>Vote Against</w:t>
      </w:r>
    </w:p>
    <w:p>
      <w:pPr>
        <w:spacing w:after="0" w:line="20" w:lineRule="exact"/>
        <w:rPr>
          <w:sz w:val="20"/>
          <w:szCs w:val="20"/>
          <w:color w:val="auto"/>
        </w:rPr>
      </w:pPr>
      <w:r>
        <w:rPr>
          <w:sz w:val="20"/>
          <w:szCs w:val="20"/>
          <w:color w:val="auto"/>
        </w:rPr>
        <w:br w:type="column"/>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Abstain</w:t>
      </w:r>
    </w:p>
    <w:p>
      <w:pPr>
        <w:spacing w:after="0" w:line="20" w:lineRule="exact"/>
        <w:rPr>
          <w:sz w:val="20"/>
          <w:szCs w:val="20"/>
          <w:color w:val="auto"/>
        </w:rPr>
      </w:pPr>
      <w:r>
        <w:rPr>
          <w:sz w:val="20"/>
          <w:szCs w:val="20"/>
          <w:color w:val="auto"/>
        </w:rPr>
        <w:br w:type="column"/>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Broker Non-Vote</w:t>
      </w:r>
    </w:p>
    <w:p>
      <w:pPr>
        <w:spacing w:after="0" w:line="47" w:lineRule="exact"/>
        <w:rPr>
          <w:sz w:val="20"/>
          <w:szCs w:val="20"/>
          <w:color w:val="auto"/>
        </w:rPr>
      </w:pPr>
    </w:p>
    <w:p>
      <w:pPr>
        <w:sectPr>
          <w:pgSz w:w="11900" w:h="16838" w:orient="portrait"/>
          <w:cols w:equalWidth="0" w:num="4">
            <w:col w:w="2760" w:space="720"/>
            <w:col w:w="2160" w:space="720"/>
            <w:col w:w="1560" w:space="720"/>
            <w:col w:w="2600"/>
          </w:cols>
          <w:pgMar w:left="320" w:top="1440" w:right="339" w:bottom="1440" w:gutter="0" w:footer="0" w:header="0"/>
          <w:type w:val="continuous"/>
        </w:sectPr>
      </w:pPr>
    </w:p>
    <w:p>
      <w:pPr>
        <w:ind w:left="940"/>
        <w:spacing w:after="0"/>
        <w:rPr>
          <w:sz w:val="20"/>
          <w:szCs w:val="20"/>
          <w:color w:val="auto"/>
        </w:rPr>
      </w:pPr>
      <w:r>
        <w:rPr>
          <w:rFonts w:ascii="Times New Roman" w:cs="Times New Roman" w:eastAsia="Times New Roman" w:hAnsi="Times New Roman"/>
          <w:sz w:val="17"/>
          <w:szCs w:val="17"/>
          <w:color w:val="auto"/>
        </w:rPr>
        <w:t>83,947,862</w:t>
      </w:r>
    </w:p>
    <w:p>
      <w:pPr>
        <w:spacing w:after="0" w:line="20" w:lineRule="exact"/>
        <w:rPr>
          <w:sz w:val="20"/>
          <w:szCs w:val="20"/>
          <w:color w:val="auto"/>
        </w:rPr>
      </w:pPr>
      <w:r>
        <w:rPr>
          <w:sz w:val="20"/>
          <w:szCs w:val="20"/>
          <w:color w:val="auto"/>
        </w:rPr>
        <w:br w:type="column"/>
      </w:r>
    </w:p>
    <w:p>
      <w:pPr>
        <w:jc w:val="center"/>
        <w:ind w:right="1300"/>
        <w:spacing w:after="0"/>
        <w:rPr>
          <w:sz w:val="20"/>
          <w:szCs w:val="20"/>
          <w:color w:val="auto"/>
        </w:rPr>
      </w:pPr>
      <w:r>
        <w:rPr>
          <w:rFonts w:ascii="Times New Roman" w:cs="Times New Roman" w:eastAsia="Times New Roman" w:hAnsi="Times New Roman"/>
          <w:sz w:val="18"/>
          <w:szCs w:val="18"/>
          <w:color w:val="auto"/>
        </w:rPr>
        <w:t>2,523,786</w:t>
      </w:r>
    </w:p>
    <w:p>
      <w:pPr>
        <w:spacing w:after="0" w:line="20" w:lineRule="exact"/>
        <w:rPr>
          <w:sz w:val="20"/>
          <w:szCs w:val="20"/>
          <w:color w:val="auto"/>
        </w:rPr>
      </w:pPr>
      <w:r>
        <w:rPr>
          <w:sz w:val="20"/>
          <w:szCs w:val="20"/>
          <w:color w:val="auto"/>
        </w:rPr>
        <w:br w:type="column"/>
      </w:r>
    </w:p>
    <w:p>
      <w:pPr>
        <w:jc w:val="center"/>
        <w:ind w:right="1260"/>
        <w:spacing w:after="0"/>
        <w:rPr>
          <w:sz w:val="20"/>
          <w:szCs w:val="20"/>
          <w:color w:val="auto"/>
        </w:rPr>
      </w:pPr>
      <w:r>
        <w:rPr>
          <w:rFonts w:ascii="Times New Roman" w:cs="Times New Roman" w:eastAsia="Times New Roman" w:hAnsi="Times New Roman"/>
          <w:sz w:val="17"/>
          <w:szCs w:val="17"/>
          <w:color w:val="auto"/>
        </w:rPr>
        <w:t>396,739</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24,904,853</w:t>
      </w:r>
    </w:p>
    <w:p>
      <w:pPr>
        <w:spacing w:after="0" w:line="211" w:lineRule="exact"/>
        <w:rPr>
          <w:sz w:val="20"/>
          <w:szCs w:val="20"/>
          <w:color w:val="auto"/>
        </w:rPr>
      </w:pPr>
    </w:p>
    <w:p>
      <w:pPr>
        <w:sectPr>
          <w:pgSz w:w="11900" w:h="16838" w:orient="portrait"/>
          <w:cols w:equalWidth="0" w:num="4">
            <w:col w:w="2940" w:space="720"/>
            <w:col w:w="2020" w:space="720"/>
            <w:col w:w="1840" w:space="720"/>
            <w:col w:w="2280"/>
          </w:cols>
          <w:pgMar w:left="320" w:top="1440" w:right="339" w:bottom="1440" w:gutter="0" w:footer="0" w:header="0"/>
          <w:type w:val="continuous"/>
        </w:sectPr>
      </w:pPr>
    </w:p>
    <w:p>
      <w:pPr>
        <w:spacing w:after="0" w:line="2" w:lineRule="exact"/>
        <w:rPr>
          <w:sz w:val="20"/>
          <w:szCs w:val="20"/>
          <w:color w:val="auto"/>
        </w:rPr>
      </w:pPr>
    </w:p>
    <w:p>
      <w:pPr>
        <w:ind w:right="140"/>
        <w:spacing w:after="0" w:line="271" w:lineRule="auto"/>
        <w:rPr>
          <w:sz w:val="20"/>
          <w:szCs w:val="20"/>
          <w:color w:val="auto"/>
        </w:rPr>
      </w:pPr>
      <w:r>
        <w:rPr>
          <w:rFonts w:ascii="Times New Roman" w:cs="Times New Roman" w:eastAsia="Times New Roman" w:hAnsi="Times New Roman"/>
          <w:sz w:val="22"/>
          <w:szCs w:val="22"/>
          <w:color w:val="auto"/>
        </w:rPr>
        <w:t>The Board and the Executive Compensation Committee will consider the voting results when making future decisions regarding the executive compensation program.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1167765</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2" w:name="page3"/>
    <w:bookmarkEnd w:id="2"/>
    <w:p>
      <w:pPr>
        <w:jc w:val="center"/>
        <w:ind w:right="40"/>
        <w:spacing w:after="0"/>
        <w:rPr>
          <w:sz w:val="20"/>
          <w:szCs w:val="20"/>
          <w:color w:val="auto"/>
        </w:rPr>
      </w:pPr>
      <w:r>
        <w:rPr>
          <w:rFonts w:ascii="Times New Roman" w:cs="Times New Roman" w:eastAsia="Times New Roman" w:hAnsi="Times New Roman"/>
          <w:sz w:val="22"/>
          <w:szCs w:val="22"/>
          <w:b w:val="1"/>
          <w:bCs w:val="1"/>
          <w:color w:val="auto"/>
        </w:rPr>
        <w:t>SIGNATURES</w:t>
      </w:r>
    </w:p>
    <w:p>
      <w:pPr>
        <w:spacing w:after="0" w:line="32" w:lineRule="exact"/>
        <w:rPr>
          <w:sz w:val="20"/>
          <w:szCs w:val="20"/>
          <w:color w:val="auto"/>
        </w:rPr>
      </w:pPr>
    </w:p>
    <w:p>
      <w:pPr>
        <w:ind w:right="100"/>
        <w:spacing w:after="0" w:line="248" w:lineRule="auto"/>
        <w:rPr>
          <w:sz w:val="20"/>
          <w:szCs w:val="20"/>
          <w:color w:val="auto"/>
        </w:rPr>
      </w:pPr>
      <w:r>
        <w:rPr>
          <w:rFonts w:ascii="Times New Roman" w:cs="Times New Roman" w:eastAsia="Times New Roman" w:hAnsi="Times New Roman"/>
          <w:sz w:val="22"/>
          <w:szCs w:val="22"/>
          <w:color w:val="auto"/>
        </w:rPr>
        <w:t>Pursuant to the requirements of the Securities Exchange Act of 1934, as amended, the registrant has duly caused this report to be signed on its behalf by the undersigned hereunto duly authorized.</w:t>
      </w:r>
    </w:p>
    <w:p>
      <w:pPr>
        <w:spacing w:after="0" w:line="200" w:lineRule="exact"/>
        <w:rPr>
          <w:sz w:val="20"/>
          <w:szCs w:val="20"/>
          <w:color w:val="auto"/>
        </w:rPr>
      </w:pPr>
    </w:p>
    <w:p>
      <w:pPr>
        <w:spacing w:after="0" w:line="360" w:lineRule="exact"/>
        <w:rPr>
          <w:sz w:val="20"/>
          <w:szCs w:val="20"/>
          <w:color w:val="auto"/>
        </w:rPr>
      </w:pPr>
    </w:p>
    <w:tbl>
      <w:tblPr>
        <w:tblLayout w:type="fixed"/>
        <w:tblInd w:w="20" w:type="dxa"/>
        <w:tblCellMar>
          <w:top w:w="0" w:type="dxa"/>
          <w:left w:w="0" w:type="dxa"/>
          <w:bottom w:w="0" w:type="dxa"/>
          <w:right w:w="0" w:type="dxa"/>
        </w:tblCellMar>
      </w:tblPr>
      <w:tr>
        <w:trPr>
          <w:trHeight w:val="282"/>
        </w:trPr>
        <w:tc>
          <w:tcPr>
            <w:tcW w:w="3280" w:type="dxa"/>
            <w:vAlign w:val="bottom"/>
          </w:tcPr>
          <w:p>
            <w:pPr>
              <w:spacing w:after="0"/>
              <w:rPr>
                <w:sz w:val="24"/>
                <w:szCs w:val="24"/>
                <w:color w:val="auto"/>
              </w:rPr>
            </w:pPr>
          </w:p>
        </w:tc>
        <w:tc>
          <w:tcPr>
            <w:tcW w:w="7940" w:type="dxa"/>
            <w:vAlign w:val="bottom"/>
            <w:gridSpan w:val="2"/>
          </w:tcPr>
          <w:p>
            <w:pPr>
              <w:ind w:left="1540"/>
              <w:spacing w:after="0"/>
              <w:rPr>
                <w:sz w:val="20"/>
                <w:szCs w:val="20"/>
                <w:color w:val="auto"/>
              </w:rPr>
            </w:pPr>
            <w:r>
              <w:rPr>
                <w:rFonts w:ascii="Times New Roman" w:cs="Times New Roman" w:eastAsia="Times New Roman" w:hAnsi="Times New Roman"/>
                <w:sz w:val="22"/>
                <w:szCs w:val="22"/>
                <w:color w:val="auto"/>
              </w:rPr>
              <w:t>Pitney Bowes Inc.</w:t>
            </w:r>
          </w:p>
        </w:tc>
      </w:tr>
      <w:tr>
        <w:trPr>
          <w:trHeight w:val="527"/>
        </w:trPr>
        <w:tc>
          <w:tcPr>
            <w:tcW w:w="3280" w:type="dxa"/>
            <w:vAlign w:val="bottom"/>
          </w:tcPr>
          <w:p>
            <w:pPr>
              <w:spacing w:after="0"/>
              <w:rPr>
                <w:sz w:val="24"/>
                <w:szCs w:val="24"/>
                <w:color w:val="auto"/>
              </w:rPr>
            </w:pPr>
          </w:p>
        </w:tc>
        <w:tc>
          <w:tcPr>
            <w:tcW w:w="2200" w:type="dxa"/>
            <w:vAlign w:val="bottom"/>
          </w:tcPr>
          <w:p>
            <w:pPr>
              <w:ind w:left="1540"/>
              <w:spacing w:after="0"/>
              <w:rPr>
                <w:sz w:val="20"/>
                <w:szCs w:val="20"/>
                <w:color w:val="auto"/>
              </w:rPr>
            </w:pPr>
            <w:r>
              <w:rPr>
                <w:rFonts w:ascii="Times New Roman" w:cs="Times New Roman" w:eastAsia="Times New Roman" w:hAnsi="Times New Roman"/>
                <w:sz w:val="22"/>
                <w:szCs w:val="22"/>
                <w:color w:val="auto"/>
              </w:rPr>
              <w:t>By:</w:t>
            </w:r>
          </w:p>
        </w:tc>
        <w:tc>
          <w:tcPr>
            <w:tcW w:w="57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22"/>
                <w:szCs w:val="22"/>
                <w:color w:val="auto"/>
              </w:rPr>
              <w:t>/s/ Lauren Freeman-Bosworth</w:t>
            </w:r>
          </w:p>
        </w:tc>
      </w:tr>
      <w:tr>
        <w:trPr>
          <w:trHeight w:val="238"/>
        </w:trPr>
        <w:tc>
          <w:tcPr>
            <w:tcW w:w="3280" w:type="dxa"/>
            <w:vAlign w:val="bottom"/>
          </w:tcPr>
          <w:p>
            <w:pPr>
              <w:spacing w:after="0"/>
              <w:rPr>
                <w:sz w:val="20"/>
                <w:szCs w:val="20"/>
                <w:color w:val="auto"/>
              </w:rPr>
            </w:pPr>
          </w:p>
        </w:tc>
        <w:tc>
          <w:tcPr>
            <w:tcW w:w="2200" w:type="dxa"/>
            <w:vAlign w:val="bottom"/>
          </w:tcPr>
          <w:p>
            <w:pPr>
              <w:ind w:left="1540"/>
              <w:spacing w:after="0" w:line="238" w:lineRule="exact"/>
              <w:rPr>
                <w:sz w:val="20"/>
                <w:szCs w:val="20"/>
                <w:color w:val="auto"/>
              </w:rPr>
            </w:pPr>
            <w:r>
              <w:rPr>
                <w:rFonts w:ascii="Times New Roman" w:cs="Times New Roman" w:eastAsia="Times New Roman" w:hAnsi="Times New Roman"/>
                <w:sz w:val="22"/>
                <w:szCs w:val="22"/>
                <w:color w:val="auto"/>
              </w:rPr>
              <w:t>Name:</w:t>
            </w:r>
          </w:p>
        </w:tc>
        <w:tc>
          <w:tcPr>
            <w:tcW w:w="5740" w:type="dxa"/>
            <w:vAlign w:val="bottom"/>
          </w:tcPr>
          <w:p>
            <w:pPr>
              <w:spacing w:after="0" w:line="238" w:lineRule="exact"/>
              <w:rPr>
                <w:sz w:val="20"/>
                <w:szCs w:val="20"/>
                <w:color w:val="auto"/>
              </w:rPr>
            </w:pPr>
            <w:r>
              <w:rPr>
                <w:rFonts w:ascii="Times New Roman" w:cs="Times New Roman" w:eastAsia="Times New Roman" w:hAnsi="Times New Roman"/>
                <w:sz w:val="22"/>
                <w:szCs w:val="22"/>
                <w:color w:val="auto"/>
              </w:rPr>
              <w:t>Lauren Freeman-Bosworth</w:t>
            </w:r>
          </w:p>
        </w:tc>
      </w:tr>
      <w:tr>
        <w:trPr>
          <w:trHeight w:val="216"/>
        </w:trPr>
        <w:tc>
          <w:tcPr>
            <w:tcW w:w="3280" w:type="dxa"/>
            <w:vAlign w:val="bottom"/>
          </w:tcPr>
          <w:p>
            <w:pPr>
              <w:spacing w:after="0" w:line="217" w:lineRule="exact"/>
              <w:rPr>
                <w:sz w:val="20"/>
                <w:szCs w:val="20"/>
                <w:color w:val="auto"/>
              </w:rPr>
            </w:pPr>
            <w:r>
              <w:rPr>
                <w:rFonts w:ascii="Times New Roman" w:cs="Times New Roman" w:eastAsia="Times New Roman" w:hAnsi="Times New Roman"/>
                <w:sz w:val="22"/>
                <w:szCs w:val="22"/>
                <w:color w:val="auto"/>
              </w:rPr>
              <w:t>Date: May 15, 2026</w:t>
            </w:r>
          </w:p>
        </w:tc>
        <w:tc>
          <w:tcPr>
            <w:tcW w:w="7940" w:type="dxa"/>
            <w:vAlign w:val="bottom"/>
            <w:gridSpan w:val="2"/>
          </w:tcPr>
          <w:p>
            <w:pPr>
              <w:ind w:left="1540"/>
              <w:spacing w:after="0" w:line="217" w:lineRule="exact"/>
              <w:rPr>
                <w:sz w:val="20"/>
                <w:szCs w:val="20"/>
                <w:color w:val="auto"/>
              </w:rPr>
            </w:pPr>
            <w:r>
              <w:rPr>
                <w:rFonts w:ascii="Times New Roman" w:cs="Times New Roman" w:eastAsia="Times New Roman" w:hAnsi="Times New Roman"/>
                <w:sz w:val="22"/>
                <w:szCs w:val="22"/>
                <w:color w:val="auto"/>
              </w:rPr>
              <w:t>Title: Executive Vice President, General Counsel and Corporate</w:t>
            </w:r>
          </w:p>
        </w:tc>
      </w:tr>
      <w:tr>
        <w:trPr>
          <w:trHeight w:val="282"/>
        </w:trPr>
        <w:tc>
          <w:tcPr>
            <w:tcW w:w="3280" w:type="dxa"/>
            <w:vAlign w:val="bottom"/>
          </w:tcPr>
          <w:p>
            <w:pPr>
              <w:spacing w:after="0"/>
              <w:rPr>
                <w:sz w:val="24"/>
                <w:szCs w:val="24"/>
                <w:color w:val="auto"/>
              </w:rPr>
            </w:pPr>
          </w:p>
        </w:tc>
        <w:tc>
          <w:tcPr>
            <w:tcW w:w="7940" w:type="dxa"/>
            <w:vAlign w:val="bottom"/>
            <w:gridSpan w:val="2"/>
          </w:tcPr>
          <w:p>
            <w:pPr>
              <w:ind w:left="1540"/>
              <w:spacing w:after="0"/>
              <w:rPr>
                <w:sz w:val="20"/>
                <w:szCs w:val="20"/>
                <w:color w:val="auto"/>
              </w:rPr>
            </w:pPr>
            <w:r>
              <w:rPr>
                <w:rFonts w:ascii="Times New Roman" w:cs="Times New Roman" w:eastAsia="Times New Roman" w:hAnsi="Times New Roman"/>
                <w:sz w:val="22"/>
                <w:szCs w:val="22"/>
                <w:color w:val="auto"/>
              </w:rPr>
              <w:t>Secretary</w:t>
            </w:r>
          </w:p>
        </w:tc>
      </w:tr>
    </w:tbl>
    <w:p>
      <w:pPr>
        <w:spacing w:after="0" w:line="1" w:lineRule="exact"/>
        <w:rPr>
          <w:sz w:val="20"/>
          <w:szCs w:val="20"/>
          <w:color w:val="auto"/>
        </w:rPr>
      </w:pPr>
    </w:p>
    <w:sectPr>
      <w:pgSz w:w="11900" w:h="16838" w:orient="portrait"/>
      <w:cols w:equalWidth="0" w:num="1">
        <w:col w:w="11240"/>
      </w:cols>
      <w:pgMar w:left="320" w:top="109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lowerLetter"/>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2026-05-15T07:36:45Z</dcterms:created>
  <dcterms:modified xsi:type="dcterms:W3CDTF">2026-05-15T07:36:45Z</dcterms:modified>
</cp:coreProperties>
</file>