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9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Pursuant to Section 13 or 15(d) of the Securities</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Exchange Act of 1934</w:t>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Pitney Bowes Inc.</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20" w:right="33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180"/>
        <w:spacing w:after="0"/>
        <w:rPr>
          <w:sz w:val="20"/>
          <w:szCs w:val="20"/>
          <w:color w:val="auto"/>
        </w:rPr>
      </w:pPr>
      <w:r>
        <w:rPr>
          <w:rFonts w:ascii="Arial" w:cs="Arial" w:eastAsia="Arial" w:hAnsi="Arial"/>
          <w:sz w:val="18"/>
          <w:szCs w:val="18"/>
          <w:b w:val="1"/>
          <w:bCs w:val="1"/>
          <w:color w:val="auto"/>
        </w:rPr>
        <w:t>Delaware</w:t>
      </w:r>
    </w:p>
    <w:p>
      <w:pPr>
        <w:spacing w:after="0" w:line="54" w:lineRule="exact"/>
        <w:rPr>
          <w:sz w:val="24"/>
          <w:szCs w:val="24"/>
          <w:color w:val="auto"/>
        </w:rPr>
      </w:pPr>
    </w:p>
    <w:p>
      <w:pPr>
        <w:jc w:val="both"/>
        <w:ind w:left="800" w:right="600" w:firstLine="16"/>
        <w:spacing w:after="0" w:line="342"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309" w:lineRule="exact"/>
        <w:rPr>
          <w:sz w:val="24"/>
          <w:szCs w:val="24"/>
          <w:color w:val="auto"/>
        </w:rPr>
      </w:pPr>
    </w:p>
    <w:p>
      <w:pPr>
        <w:ind w:left="40"/>
        <w:spacing w:after="0"/>
        <w:tabs>
          <w:tab w:leader="none" w:pos="194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b w:val="1"/>
          <w:bCs w:val="1"/>
          <w:color w:val="auto"/>
        </w:rPr>
        <w:t>3001 Summer Street,</w:t>
      </w:r>
    </w:p>
    <w:p>
      <w:pPr>
        <w:spacing w:after="0" w:line="86" w:lineRule="exact"/>
        <w:rPr>
          <w:sz w:val="24"/>
          <w:szCs w:val="24"/>
          <w:color w:val="auto"/>
        </w:rPr>
      </w:pPr>
    </w:p>
    <w:p>
      <w:pPr>
        <w:ind w:left="40"/>
        <w:spacing w:after="0"/>
        <w:tabs>
          <w:tab w:leader="none" w:pos="1940" w:val="left"/>
          <w:tab w:leader="none" w:pos="26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356-5000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1-3579</w:t>
            </w:r>
          </w:p>
        </w:tc>
        <w:tc>
          <w:tcPr>
            <w:tcW w:w="4020" w:type="dxa"/>
            <w:vAlign w:val="bottom"/>
          </w:tcPr>
          <w:p>
            <w:pPr>
              <w:jc w:val="right"/>
              <w:ind w:right="790"/>
              <w:spacing w:after="0"/>
              <w:rPr>
                <w:sz w:val="20"/>
                <w:szCs w:val="20"/>
                <w:color w:val="auto"/>
              </w:rPr>
            </w:pPr>
            <w:r>
              <w:rPr>
                <w:rFonts w:ascii="Arial" w:cs="Arial" w:eastAsia="Arial" w:hAnsi="Arial"/>
                <w:sz w:val="18"/>
                <w:szCs w:val="18"/>
                <w:b w:val="1"/>
                <w:bCs w:val="1"/>
                <w:color w:val="auto"/>
              </w:rPr>
              <w:t>06-0495050</w:t>
            </w:r>
          </w:p>
        </w:tc>
      </w:tr>
      <w:tr>
        <w:trPr>
          <w:trHeight w:val="364"/>
        </w:trPr>
        <w:tc>
          <w:tcPr>
            <w:tcW w:w="248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(Commission file number)</w:t>
            </w:r>
          </w:p>
        </w:tc>
        <w:tc>
          <w:tcPr>
            <w:tcW w:w="4020" w:type="dxa"/>
            <w:vAlign w:val="bottom"/>
          </w:tcPr>
          <w:p>
            <w:pPr>
              <w:jc w:val="center"/>
              <w:ind w:left="1310"/>
              <w:spacing w:after="0"/>
              <w:rPr>
                <w:sz w:val="20"/>
                <w:szCs w:val="20"/>
                <w:color w:val="auto"/>
              </w:rPr>
            </w:pPr>
            <w:r>
              <w:rPr>
                <w:rFonts w:ascii="Arial" w:cs="Arial" w:eastAsia="Arial" w:hAnsi="Arial"/>
                <w:sz w:val="18"/>
                <w:szCs w:val="18"/>
                <w:color w:val="auto"/>
                <w:w w:val="94"/>
              </w:rPr>
              <w:t>(I.R.S. Employer Identification No.)</w:t>
            </w:r>
          </w:p>
        </w:tc>
      </w:tr>
      <w:tr>
        <w:trPr>
          <w:trHeight w:val="729"/>
        </w:trPr>
        <w:tc>
          <w:tcPr>
            <w:tcW w:w="960" w:type="dxa"/>
            <w:vAlign w:val="bottom"/>
          </w:tcPr>
          <w:p>
            <w:pPr>
              <w:spacing w:after="0"/>
              <w:rPr>
                <w:sz w:val="20"/>
                <w:szCs w:val="20"/>
                <w:color w:val="auto"/>
              </w:rPr>
            </w:pPr>
            <w:r>
              <w:rPr>
                <w:rFonts w:ascii="Arial" w:cs="Arial" w:eastAsia="Arial" w:hAnsi="Arial"/>
                <w:sz w:val="18"/>
                <w:szCs w:val="18"/>
                <w:b w:val="1"/>
                <w:bCs w:val="1"/>
                <w:color w:val="auto"/>
              </w:rPr>
              <w:t>Stamford,</w:t>
            </w:r>
          </w:p>
        </w:tc>
        <w:tc>
          <w:tcPr>
            <w:tcW w:w="1520" w:type="dxa"/>
            <w:vAlign w:val="bottom"/>
          </w:tcPr>
          <w:p>
            <w:pPr>
              <w:ind w:left="160"/>
              <w:spacing w:after="0"/>
              <w:rPr>
                <w:sz w:val="20"/>
                <w:szCs w:val="20"/>
                <w:color w:val="auto"/>
              </w:rPr>
            </w:pPr>
            <w:r>
              <w:rPr>
                <w:rFonts w:ascii="Arial" w:cs="Arial" w:eastAsia="Arial" w:hAnsi="Arial"/>
                <w:sz w:val="18"/>
                <w:szCs w:val="18"/>
                <w:b w:val="1"/>
                <w:bCs w:val="1"/>
                <w:color w:val="auto"/>
              </w:rPr>
              <w:t>Connecticut</w:t>
            </w:r>
          </w:p>
        </w:tc>
        <w:tc>
          <w:tcPr>
            <w:tcW w:w="4020" w:type="dxa"/>
            <w:vAlign w:val="bottom"/>
          </w:tcPr>
          <w:p>
            <w:pPr>
              <w:jc w:val="right"/>
              <w:ind w:right="3370"/>
              <w:spacing w:after="0"/>
              <w:rPr>
                <w:sz w:val="20"/>
                <w:szCs w:val="20"/>
                <w:color w:val="auto"/>
              </w:rPr>
            </w:pPr>
            <w:r>
              <w:rPr>
                <w:rFonts w:ascii="Arial" w:cs="Arial" w:eastAsia="Arial" w:hAnsi="Arial"/>
                <w:sz w:val="18"/>
                <w:szCs w:val="18"/>
                <w:b w:val="1"/>
                <w:bCs w:val="1"/>
                <w:color w:val="auto"/>
              </w:rPr>
              <w:t>06926</w:t>
            </w:r>
          </w:p>
        </w:tc>
      </w:tr>
    </w:tbl>
    <w:p>
      <w:pPr>
        <w:spacing w:after="0" w:line="442" w:lineRule="exact"/>
        <w:rPr>
          <w:sz w:val="24"/>
          <w:szCs w:val="24"/>
          <w:color w:val="auto"/>
        </w:rPr>
      </w:pPr>
    </w:p>
    <w:p>
      <w:pPr>
        <w:sectPr>
          <w:pgSz w:w="11900" w:h="16838" w:orient="portrait"/>
          <w:cols w:equalWidth="0" w:num="2">
            <w:col w:w="3560" w:space="640"/>
            <w:col w:w="7040"/>
          </w:cols>
          <w:pgMar w:left="320" w:top="220" w:right="339" w:bottom="1440" w:gutter="0" w:footer="0" w:header="0"/>
          <w:type w:val="continuous"/>
        </w:sectPr>
      </w:pPr>
    </w:p>
    <w:p>
      <w:pPr>
        <w:spacing w:after="0" w:line="13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740" w:type="dxa"/>
            <w:vAlign w:val="bottom"/>
            <w:gridSpan w:val="2"/>
          </w:tcPr>
          <w:p>
            <w:pPr>
              <w:ind w:left="1640"/>
              <w:spacing w:after="0"/>
              <w:rPr>
                <w:sz w:val="20"/>
                <w:szCs w:val="20"/>
                <w:color w:val="auto"/>
              </w:rPr>
            </w:pPr>
            <w:r>
              <w:rPr>
                <w:rFonts w:ascii="Arial" w:cs="Arial" w:eastAsia="Arial" w:hAnsi="Arial"/>
                <w:sz w:val="18"/>
                <w:szCs w:val="18"/>
                <w:color w:val="auto"/>
              </w:rPr>
              <w:t>Title of Each Class</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Symbol(s)</w:t>
            </w:r>
          </w:p>
        </w:tc>
        <w:tc>
          <w:tcPr>
            <w:tcW w:w="460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6"/>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Common Stock, $1 par value per share</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PBI</w:t>
            </w:r>
          </w:p>
        </w:tc>
        <w:tc>
          <w:tcPr>
            <w:tcW w:w="4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6.70% Notes due 2043</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PBI.PRB</w:t>
            </w:r>
          </w:p>
        </w:tc>
        <w:tc>
          <w:tcPr>
            <w:tcW w:w="4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8"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220" w:right="339" w:bottom="1440" w:gutter="0" w:footer="0" w:header="0"/>
          <w:type w:val="continuous"/>
        </w:sectPr>
      </w:pPr>
    </w:p>
    <w:bookmarkStart w:id="1" w:name="page2"/>
    <w:bookmarkEnd w:id="1"/>
    <w:p>
      <w:pPr>
        <w:ind w:right="680"/>
        <w:spacing w:after="0" w:line="293"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Pitney Bowes Inc. (the “Company”) announced the resignation of Lila Snyder, Executive Vice President and President, Commerce Services. Ms. Snyder tendered her resignation from the Company on June 30, 2020, to be effective on July 31, 2020. Ms. Snyder has resigned in order to accept an opportunity as a chief executive officer at a privately-held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7"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Pitney Bowes Inc.</w:t>
      </w:r>
    </w:p>
    <w:p>
      <w:pPr>
        <w:spacing w:after="0" w:line="341" w:lineRule="exact"/>
        <w:rPr>
          <w:sz w:val="20"/>
          <w:szCs w:val="20"/>
          <w:color w:val="auto"/>
        </w:rPr>
      </w:pPr>
    </w:p>
    <w:p>
      <w:pPr>
        <w:ind w:left="486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Daniel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24130</wp:posOffset>
            </wp:positionV>
            <wp:extent cx="3634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 Daniel Goldstein</w:t>
      </w:r>
    </w:p>
    <w:p>
      <w:pPr>
        <w:spacing w:after="0" w:line="44" w:lineRule="exact"/>
        <w:rPr>
          <w:sz w:val="20"/>
          <w:szCs w:val="20"/>
          <w:color w:val="auto"/>
        </w:rPr>
      </w:pPr>
    </w:p>
    <w:p>
      <w:pPr>
        <w:ind w:left="4860" w:right="1520" w:hanging="5426"/>
        <w:spacing w:after="0" w:line="302" w:lineRule="auto"/>
        <w:tabs>
          <w:tab w:leader="none" w:pos="4840" w:val="left"/>
        </w:tabs>
        <w:rPr>
          <w:sz w:val="20"/>
          <w:szCs w:val="20"/>
          <w:color w:val="auto"/>
        </w:rPr>
      </w:pPr>
      <w:r>
        <w:rPr>
          <w:rFonts w:ascii="Arial" w:cs="Arial" w:eastAsia="Arial" w:hAnsi="Arial"/>
          <w:sz w:val="22"/>
          <w:szCs w:val="22"/>
          <w:color w:val="auto"/>
        </w:rPr>
        <w:t>Date: July 7, 2020</w:t>
      </w:r>
      <w:r>
        <w:rPr>
          <w:sz w:val="20"/>
          <w:szCs w:val="20"/>
          <w:color w:val="auto"/>
        </w:rPr>
        <w:tab/>
      </w:r>
      <w:r>
        <w:rPr>
          <w:rFonts w:ascii="Arial" w:cs="Arial" w:eastAsia="Arial" w:hAnsi="Arial"/>
          <w:sz w:val="22"/>
          <w:szCs w:val="22"/>
          <w:color w:val="auto"/>
        </w:rPr>
        <w:t>Title: Executive Vice President, Chief Legal Officer and Corporate Secretary</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2020-07-07T08:04:50Z</dcterms:created>
  <dcterms:modified xsi:type="dcterms:W3CDTF">2020-07-07T08:04:50Z</dcterms:modified>
</cp:coreProperties>
</file>