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152400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360"/>
        <w:spacing w:after="0"/>
        <w:rPr>
          <w:sz w:val="20"/>
          <w:szCs w:val="20"/>
          <w:color w:val="auto"/>
        </w:rPr>
      </w:pPr>
      <w:r>
        <w:rPr>
          <w:rFonts w:ascii="Arial" w:cs="Arial" w:eastAsia="Arial" w:hAnsi="Arial"/>
          <w:sz w:val="32"/>
          <w:szCs w:val="32"/>
          <w:b w:val="1"/>
          <w:bCs w:val="1"/>
          <w:color w:val="auto"/>
        </w:rPr>
        <w:t>SCHEDULE 14A</w:t>
      </w:r>
    </w:p>
    <w:p>
      <w:pPr>
        <w:spacing w:after="0" w:line="201"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2"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152400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spacing w:after="0" w:line="207" w:lineRule="exact"/>
        <w:tabs>
          <w:tab w:leader="none" w:pos="28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Filed by a party other than the Registrant  </w:t>
      </w:r>
      <w:r>
        <w:rPr>
          <w:rFonts w:ascii="MS PGothic" w:cs="MS PGothic" w:eastAsia="MS PGothic" w:hAnsi="MS PGothic"/>
          <w:sz w:val="17"/>
          <w:szCs w:val="17"/>
          <w:color w:val="auto"/>
        </w:rPr>
        <w:t>☐</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22" w:lineRule="exact"/>
        <w:rPr>
          <w:sz w:val="24"/>
          <w:szCs w:val="24"/>
          <w:color w:val="auto"/>
        </w:rPr>
      </w:pPr>
    </w:p>
    <w:p>
      <w:pPr>
        <w:jc w:val="center"/>
        <w:ind w:right="-260"/>
        <w:spacing w:after="0"/>
        <w:rPr>
          <w:sz w:val="20"/>
          <w:szCs w:val="20"/>
          <w:color w:val="auto"/>
        </w:rPr>
      </w:pPr>
      <w:r>
        <w:rPr>
          <w:rFonts w:ascii="Arial" w:cs="Arial" w:eastAsia="Arial" w:hAnsi="Arial"/>
          <w:sz w:val="36"/>
          <w:szCs w:val="36"/>
          <w:b w:val="1"/>
          <w:bCs w:val="1"/>
          <w:color w:val="auto"/>
        </w:rPr>
        <w:t>Pitney Bowes Inc.</w:t>
      </w:r>
    </w:p>
    <w:p>
      <w:pPr>
        <w:spacing w:after="0" w:line="41" w:lineRule="exact"/>
        <w:rPr>
          <w:sz w:val="24"/>
          <w:szCs w:val="24"/>
          <w:color w:val="auto"/>
        </w:rPr>
      </w:pPr>
    </w:p>
    <w:p>
      <w:pPr>
        <w:ind w:left="2980"/>
        <w:spacing w:after="0"/>
        <w:rPr>
          <w:sz w:val="20"/>
          <w:szCs w:val="20"/>
          <w:color w:val="auto"/>
        </w:rPr>
      </w:pPr>
      <w:r>
        <w:rPr>
          <w:rFonts w:ascii="Arial" w:cs="Arial" w:eastAsia="Arial" w:hAnsi="Arial"/>
          <w:sz w:val="18"/>
          <w:szCs w:val="18"/>
          <w:color w:val="auto"/>
        </w:rPr>
        <w:t>(Name of Registrant as Specified in Its Charter)</w:t>
      </w:r>
    </w:p>
    <w:p>
      <w:pPr>
        <w:spacing w:after="0" w:line="167" w:lineRule="exact"/>
        <w:rPr>
          <w:sz w:val="24"/>
          <w:szCs w:val="24"/>
          <w:color w:val="auto"/>
        </w:rPr>
      </w:pPr>
    </w:p>
    <w:p>
      <w:pPr>
        <w:ind w:left="18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225"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230505</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290830</wp:posOffset>
            </wp:positionV>
            <wp:extent cx="61722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419100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102870</wp:posOffset>
            </wp:positionV>
            <wp:extent cx="1911350" cy="4629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1135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32" w:lineRule="exact"/>
        <w:rPr>
          <w:sz w:val="20"/>
          <w:szCs w:val="20"/>
          <w:color w:val="auto"/>
        </w:rPr>
      </w:pPr>
    </w:p>
    <w:p>
      <w:pPr>
        <w:ind w:left="7520"/>
        <w:spacing w:after="0"/>
        <w:rPr>
          <w:sz w:val="20"/>
          <w:szCs w:val="20"/>
          <w:color w:val="auto"/>
        </w:rPr>
      </w:pPr>
      <w:r>
        <w:rPr>
          <w:rFonts w:ascii="Arial" w:cs="Arial" w:eastAsia="Arial" w:hAnsi="Arial"/>
          <w:sz w:val="17"/>
          <w:szCs w:val="17"/>
          <w:color w:val="auto"/>
        </w:rPr>
        <w:t>3001 Summer Street</w:t>
      </w:r>
    </w:p>
    <w:p>
      <w:pPr>
        <w:spacing w:after="0" w:line="1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Stamford, Connecticut 06926</w:t>
      </w:r>
    </w:p>
    <w:p>
      <w:pPr>
        <w:spacing w:after="0" w:line="223" w:lineRule="exact"/>
        <w:rPr>
          <w:sz w:val="20"/>
          <w:szCs w:val="20"/>
          <w:color w:val="auto"/>
        </w:rPr>
      </w:pPr>
    </w:p>
    <w:p>
      <w:pPr>
        <w:spacing w:after="0"/>
        <w:rPr>
          <w:sz w:val="20"/>
          <w:szCs w:val="20"/>
          <w:color w:val="auto"/>
        </w:rPr>
      </w:pPr>
      <w:r>
        <w:rPr>
          <w:rFonts w:ascii="Arial" w:cs="Arial" w:eastAsia="Arial" w:hAnsi="Arial"/>
          <w:sz w:val="32"/>
          <w:szCs w:val="32"/>
          <w:b w:val="1"/>
          <w:bCs w:val="1"/>
          <w:color w:val="4B5A89"/>
        </w:rPr>
        <w:t>Notice of the 2024 Annual Meeting and Proxy Statement</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We are pleased to provide notice of the 2024 annual meeting of stockholders (including any adjournments, postponements or continuations thereof, the “Annual Meeting”) of Pitney Bowes Inc. (the “Company”), scheduled to be held virtually on Monday, May 6, 2024 at 9:00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wp:posOffset>
            </wp:positionV>
            <wp:extent cx="5829300" cy="5246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29300" cy="5246370"/>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FFFFFF"/>
        </w:rPr>
        <w:t>Time and Date:</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FFFFFF"/>
        </w:rPr>
        <w:t>Place:</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FFFFFF"/>
        </w:rPr>
        <w:t>Record Date:</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FFFFFF"/>
        </w:rPr>
        <w:t>Items of</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FFFFFF"/>
        </w:rPr>
        <w:t>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FFFFFF"/>
        </w:rPr>
        <w:t>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Attendance and</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FFFFFF"/>
        </w:rPr>
        <w:t>Participation at</w:t>
      </w:r>
    </w:p>
    <w:p>
      <w:pPr>
        <w:ind w:left="60"/>
        <w:spacing w:after="0"/>
        <w:rPr>
          <w:sz w:val="20"/>
          <w:szCs w:val="20"/>
          <w:color w:val="auto"/>
        </w:rPr>
      </w:pPr>
      <w:r>
        <w:rPr>
          <w:rFonts w:ascii="Arial" w:cs="Arial" w:eastAsia="Arial" w:hAnsi="Arial"/>
          <w:sz w:val="17"/>
          <w:szCs w:val="17"/>
          <w:b w:val="1"/>
          <w:bCs w:val="1"/>
          <w:color w:val="FFFFFF"/>
        </w:rPr>
        <w:t>the Meeting:</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73"/>
        <w:spacing w:after="0"/>
        <w:rPr>
          <w:sz w:val="20"/>
          <w:szCs w:val="20"/>
          <w:color w:val="auto"/>
        </w:rPr>
      </w:pPr>
      <w:r>
        <w:rPr>
          <w:rFonts w:ascii="Arial" w:cs="Arial" w:eastAsia="Arial" w:hAnsi="Arial"/>
          <w:sz w:val="17"/>
          <w:szCs w:val="17"/>
          <w:b w:val="1"/>
          <w:bCs w:val="1"/>
          <w:color w:val="auto"/>
        </w:rPr>
        <w:t>Monday, May 6, 2024 at 9:00 a.m. Eastern Time</w:t>
      </w:r>
    </w:p>
    <w:p>
      <w:pPr>
        <w:spacing w:after="0" w:line="264" w:lineRule="exact"/>
        <w:rPr>
          <w:sz w:val="20"/>
          <w:szCs w:val="20"/>
          <w:color w:val="auto"/>
        </w:rPr>
      </w:pPr>
    </w:p>
    <w:p>
      <w:pPr>
        <w:ind w:left="73"/>
        <w:spacing w:after="0"/>
        <w:rPr>
          <w:sz w:val="20"/>
          <w:szCs w:val="20"/>
          <w:color w:val="auto"/>
        </w:rPr>
      </w:pPr>
      <w:r>
        <w:rPr>
          <w:rFonts w:ascii="Arial" w:cs="Arial" w:eastAsia="Arial" w:hAnsi="Arial"/>
          <w:sz w:val="17"/>
          <w:szCs w:val="17"/>
          <w:color w:val="auto"/>
        </w:rPr>
        <w:t xml:space="preserve">Via live webcast by visiting </w:t>
      </w:r>
      <w:r>
        <w:rPr>
          <w:rFonts w:ascii="Arial" w:cs="Arial" w:eastAsia="Arial" w:hAnsi="Arial"/>
          <w:sz w:val="17"/>
          <w:szCs w:val="17"/>
          <w:color w:val="0072AF"/>
        </w:rPr>
        <w:t>www.virtualshareholdermeeting.com/PBI2024</w:t>
      </w:r>
    </w:p>
    <w:p>
      <w:pPr>
        <w:spacing w:after="0" w:line="264" w:lineRule="exact"/>
        <w:rPr>
          <w:sz w:val="20"/>
          <w:szCs w:val="20"/>
          <w:color w:val="auto"/>
        </w:rPr>
      </w:pPr>
    </w:p>
    <w:p>
      <w:pPr>
        <w:ind w:left="73"/>
        <w:spacing w:after="0"/>
        <w:rPr>
          <w:sz w:val="20"/>
          <w:szCs w:val="20"/>
          <w:color w:val="auto"/>
        </w:rPr>
      </w:pPr>
      <w:r>
        <w:rPr>
          <w:rFonts w:ascii="Arial" w:cs="Arial" w:eastAsia="Arial" w:hAnsi="Arial"/>
          <w:sz w:val="17"/>
          <w:szCs w:val="17"/>
          <w:color w:val="auto"/>
        </w:rPr>
        <w:t>The close of business on March 15, 2024</w:t>
      </w:r>
    </w:p>
    <w:p>
      <w:pPr>
        <w:spacing w:after="0" w:line="264" w:lineRule="exact"/>
        <w:rPr>
          <w:sz w:val="20"/>
          <w:szCs w:val="20"/>
          <w:color w:val="auto"/>
        </w:rPr>
      </w:pPr>
    </w:p>
    <w:p>
      <w:pPr>
        <w:jc w:val="both"/>
        <w:ind w:left="73"/>
        <w:spacing w:after="0" w:line="248" w:lineRule="auto"/>
        <w:rPr>
          <w:sz w:val="20"/>
          <w:szCs w:val="20"/>
          <w:color w:val="auto"/>
        </w:rPr>
      </w:pPr>
      <w:r>
        <w:rPr>
          <w:rFonts w:ascii="Arial" w:cs="Arial" w:eastAsia="Arial" w:hAnsi="Arial"/>
          <w:sz w:val="17"/>
          <w:szCs w:val="17"/>
          <w:color w:val="auto"/>
        </w:rPr>
        <w:t>As described in the accompanying Proxy Statement detailing the business to be conducted at the Annual Meeting (the “Proxy Statement”), the holders of our Common Stock, will be asked to vote upon the following items of business at the Annual Meeting:</w:t>
      </w:r>
    </w:p>
    <w:p>
      <w:pPr>
        <w:spacing w:after="0" w:line="69" w:lineRule="exact"/>
        <w:rPr>
          <w:sz w:val="20"/>
          <w:szCs w:val="20"/>
          <w:color w:val="auto"/>
        </w:rPr>
      </w:pPr>
    </w:p>
    <w:p>
      <w:pPr>
        <w:ind w:left="173" w:hanging="173"/>
        <w:spacing w:after="0"/>
        <w:tabs>
          <w:tab w:leader="none" w:pos="173" w:val="left"/>
        </w:tabs>
        <w:numPr>
          <w:ilvl w:val="0"/>
          <w:numId w:val="3"/>
        </w:numPr>
        <w:rPr>
          <w:rFonts w:ascii="Arial" w:cs="Arial" w:eastAsia="Arial" w:hAnsi="Arial"/>
          <w:sz w:val="17"/>
          <w:szCs w:val="17"/>
          <w:color w:val="auto"/>
        </w:rPr>
      </w:pPr>
      <w:r>
        <w:rPr>
          <w:rFonts w:ascii="Arial" w:cs="Arial" w:eastAsia="Arial" w:hAnsi="Arial"/>
          <w:sz w:val="17"/>
          <w:szCs w:val="17"/>
          <w:color w:val="auto"/>
        </w:rPr>
        <w:t>    1.    Election of five director nominees to our Board of Directors (the “Board”);</w:t>
      </w:r>
    </w:p>
    <w:p>
      <w:pPr>
        <w:spacing w:after="0" w:line="101" w:lineRule="exact"/>
        <w:rPr>
          <w:rFonts w:ascii="Arial" w:cs="Arial" w:eastAsia="Arial" w:hAnsi="Arial"/>
          <w:sz w:val="17"/>
          <w:szCs w:val="17"/>
          <w:color w:val="auto"/>
        </w:rPr>
      </w:pPr>
    </w:p>
    <w:p>
      <w:pPr>
        <w:ind w:left="713" w:hanging="713"/>
        <w:spacing w:after="0" w:line="264" w:lineRule="auto"/>
        <w:tabs>
          <w:tab w:leader="none" w:pos="174" w:val="left"/>
        </w:tabs>
        <w:numPr>
          <w:ilvl w:val="0"/>
          <w:numId w:val="3"/>
        </w:numPr>
        <w:rPr>
          <w:rFonts w:ascii="Arial" w:cs="Arial" w:eastAsia="Arial" w:hAnsi="Arial"/>
          <w:sz w:val="17"/>
          <w:szCs w:val="17"/>
          <w:color w:val="auto"/>
        </w:rPr>
      </w:pPr>
      <w:r>
        <w:rPr>
          <w:rFonts w:ascii="Arial" w:cs="Arial" w:eastAsia="Arial" w:hAnsi="Arial"/>
          <w:sz w:val="17"/>
          <w:szCs w:val="17"/>
          <w:color w:val="auto"/>
        </w:rPr>
        <w:t>   2.    Ratification of the appointment of PricewaterhouseCoopers LLP as our independent registered public accountants for 2024;</w:t>
      </w:r>
    </w:p>
    <w:p>
      <w:pPr>
        <w:spacing w:after="0" w:line="55" w:lineRule="exact"/>
        <w:rPr>
          <w:rFonts w:ascii="Arial" w:cs="Arial" w:eastAsia="Arial" w:hAnsi="Arial"/>
          <w:sz w:val="17"/>
          <w:szCs w:val="17"/>
          <w:color w:val="auto"/>
        </w:rPr>
      </w:pPr>
    </w:p>
    <w:p>
      <w:pPr>
        <w:ind w:left="713" w:right="20" w:hanging="713"/>
        <w:spacing w:after="0" w:line="264" w:lineRule="auto"/>
        <w:tabs>
          <w:tab w:leader="none" w:pos="174" w:val="left"/>
        </w:tabs>
        <w:numPr>
          <w:ilvl w:val="0"/>
          <w:numId w:val="3"/>
        </w:numPr>
        <w:rPr>
          <w:rFonts w:ascii="Arial" w:cs="Arial" w:eastAsia="Arial" w:hAnsi="Arial"/>
          <w:sz w:val="17"/>
          <w:szCs w:val="17"/>
          <w:color w:val="auto"/>
        </w:rPr>
      </w:pPr>
      <w:r>
        <w:rPr>
          <w:rFonts w:ascii="Arial" w:cs="Arial" w:eastAsia="Arial" w:hAnsi="Arial"/>
          <w:sz w:val="17"/>
          <w:szCs w:val="17"/>
          <w:color w:val="auto"/>
        </w:rPr>
        <w:t>   3.    Approval of an amendment to the Company’s Restated Certificate of Incorporation to give holders of 25% of the Company’s stock the right to request a special meeting;</w:t>
      </w:r>
    </w:p>
    <w:p>
      <w:pPr>
        <w:spacing w:after="0" w:line="55" w:lineRule="exact"/>
        <w:rPr>
          <w:rFonts w:ascii="Arial" w:cs="Arial" w:eastAsia="Arial" w:hAnsi="Arial"/>
          <w:sz w:val="17"/>
          <w:szCs w:val="17"/>
          <w:color w:val="auto"/>
        </w:rPr>
      </w:pPr>
    </w:p>
    <w:p>
      <w:pPr>
        <w:ind w:left="173" w:hanging="173"/>
        <w:spacing w:after="0"/>
        <w:tabs>
          <w:tab w:leader="none" w:pos="173" w:val="left"/>
        </w:tabs>
        <w:numPr>
          <w:ilvl w:val="0"/>
          <w:numId w:val="3"/>
        </w:numPr>
        <w:rPr>
          <w:rFonts w:ascii="Arial" w:cs="Arial" w:eastAsia="Arial" w:hAnsi="Arial"/>
          <w:sz w:val="17"/>
          <w:szCs w:val="17"/>
          <w:color w:val="auto"/>
        </w:rPr>
      </w:pPr>
      <w:r>
        <w:rPr>
          <w:rFonts w:ascii="Arial" w:cs="Arial" w:eastAsia="Arial" w:hAnsi="Arial"/>
          <w:sz w:val="17"/>
          <w:szCs w:val="17"/>
          <w:color w:val="auto"/>
        </w:rPr>
        <w:t>    4.    Non-binding advisory vote to approve executive compensation;</w:t>
      </w:r>
    </w:p>
    <w:p>
      <w:pPr>
        <w:spacing w:after="0" w:line="101" w:lineRule="exact"/>
        <w:rPr>
          <w:rFonts w:ascii="Arial" w:cs="Arial" w:eastAsia="Arial" w:hAnsi="Arial"/>
          <w:sz w:val="17"/>
          <w:szCs w:val="17"/>
          <w:color w:val="auto"/>
        </w:rPr>
      </w:pPr>
    </w:p>
    <w:p>
      <w:pPr>
        <w:ind w:left="713" w:right="20" w:hanging="713"/>
        <w:spacing w:after="0" w:line="264" w:lineRule="auto"/>
        <w:tabs>
          <w:tab w:leader="none" w:pos="174" w:val="left"/>
        </w:tabs>
        <w:numPr>
          <w:ilvl w:val="0"/>
          <w:numId w:val="3"/>
        </w:numPr>
        <w:rPr>
          <w:rFonts w:ascii="Arial" w:cs="Arial" w:eastAsia="Arial" w:hAnsi="Arial"/>
          <w:sz w:val="17"/>
          <w:szCs w:val="17"/>
          <w:color w:val="auto"/>
        </w:rPr>
      </w:pPr>
      <w:r>
        <w:rPr>
          <w:rFonts w:ascii="Arial" w:cs="Arial" w:eastAsia="Arial" w:hAnsi="Arial"/>
          <w:sz w:val="17"/>
          <w:szCs w:val="17"/>
          <w:color w:val="auto"/>
        </w:rPr>
        <w:t>   5.    Approval of an amendment and restatement of the Employee Stock Purchase Plan to increase plan shares reserved for issuance; and</w:t>
      </w:r>
    </w:p>
    <w:p>
      <w:pPr>
        <w:spacing w:after="0" w:line="55" w:lineRule="exact"/>
        <w:rPr>
          <w:rFonts w:ascii="Arial" w:cs="Arial" w:eastAsia="Arial" w:hAnsi="Arial"/>
          <w:sz w:val="17"/>
          <w:szCs w:val="17"/>
          <w:color w:val="auto"/>
        </w:rPr>
      </w:pPr>
    </w:p>
    <w:p>
      <w:pPr>
        <w:ind w:left="173" w:hanging="173"/>
        <w:spacing w:after="0"/>
        <w:tabs>
          <w:tab w:leader="none" w:pos="173" w:val="left"/>
        </w:tabs>
        <w:numPr>
          <w:ilvl w:val="0"/>
          <w:numId w:val="3"/>
        </w:numPr>
        <w:rPr>
          <w:rFonts w:ascii="Arial" w:cs="Arial" w:eastAsia="Arial" w:hAnsi="Arial"/>
          <w:sz w:val="17"/>
          <w:szCs w:val="17"/>
          <w:color w:val="auto"/>
        </w:rPr>
      </w:pPr>
      <w:r>
        <w:rPr>
          <w:rFonts w:ascii="Arial" w:cs="Arial" w:eastAsia="Arial" w:hAnsi="Arial"/>
          <w:sz w:val="17"/>
          <w:szCs w:val="17"/>
          <w:color w:val="auto"/>
        </w:rPr>
        <w:t>    6.    Approval of the Pitney Bowes Inc. 2024 Stock Plan.</w:t>
      </w:r>
    </w:p>
    <w:p>
      <w:pPr>
        <w:spacing w:after="0" w:line="102" w:lineRule="exact"/>
        <w:rPr>
          <w:sz w:val="20"/>
          <w:szCs w:val="20"/>
          <w:color w:val="auto"/>
        </w:rPr>
      </w:pPr>
    </w:p>
    <w:p>
      <w:pPr>
        <w:ind w:left="73"/>
        <w:spacing w:after="0"/>
        <w:rPr>
          <w:sz w:val="20"/>
          <w:szCs w:val="20"/>
          <w:color w:val="auto"/>
        </w:rPr>
      </w:pPr>
      <w:r>
        <w:rPr>
          <w:rFonts w:ascii="Arial" w:cs="Arial" w:eastAsia="Arial" w:hAnsi="Arial"/>
          <w:sz w:val="17"/>
          <w:szCs w:val="17"/>
          <w:color w:val="auto"/>
        </w:rPr>
        <w:t>Stockholders will also act on such other matters as may properly come before the Annual Meeting.</w:t>
      </w:r>
    </w:p>
    <w:p>
      <w:pPr>
        <w:spacing w:after="0" w:line="264" w:lineRule="exact"/>
        <w:rPr>
          <w:sz w:val="20"/>
          <w:szCs w:val="20"/>
          <w:color w:val="auto"/>
        </w:rPr>
      </w:pPr>
    </w:p>
    <w:p>
      <w:pPr>
        <w:jc w:val="both"/>
        <w:ind w:left="73"/>
        <w:spacing w:after="0" w:line="236" w:lineRule="auto"/>
        <w:rPr>
          <w:sz w:val="20"/>
          <w:szCs w:val="20"/>
          <w:color w:val="auto"/>
        </w:rPr>
      </w:pPr>
      <w:r>
        <w:rPr>
          <w:rFonts w:ascii="Arial" w:cs="Arial" w:eastAsia="Arial" w:hAnsi="Arial"/>
          <w:sz w:val="17"/>
          <w:szCs w:val="17"/>
          <w:b w:val="1"/>
          <w:bCs w:val="1"/>
          <w:color w:val="auto"/>
        </w:rPr>
        <w:t xml:space="preserve">YOUR VOTE IS VERY IMPORTANT. </w:t>
      </w:r>
      <w:r>
        <w:rPr>
          <w:rFonts w:ascii="Arial" w:cs="Arial" w:eastAsia="Arial" w:hAnsi="Arial"/>
          <w:sz w:val="17"/>
          <w:szCs w:val="17"/>
          <w:color w:val="auto"/>
        </w:rPr>
        <w:t>Whether or not you plan to attend the Annual Meeting, we hope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you will vote as soon as possible so that your voice is heard. We urge you to VOTE TODAY by following the instructions on the enclosed proxy card to vote by Internet at </w:t>
      </w:r>
      <w:r>
        <w:rPr>
          <w:rFonts w:ascii="Arial" w:cs="Arial" w:eastAsia="Arial" w:hAnsi="Arial"/>
          <w:sz w:val="17"/>
          <w:szCs w:val="17"/>
          <w:color w:val="0072AF"/>
        </w:rPr>
        <w:t>www.proxyvote.com</w:t>
      </w:r>
      <w:r>
        <w:rPr>
          <w:rFonts w:ascii="Arial" w:cs="Arial" w:eastAsia="Arial" w:hAnsi="Arial"/>
          <w:sz w:val="17"/>
          <w:szCs w:val="17"/>
          <w:color w:val="auto"/>
        </w:rPr>
        <w:t>, or by completing and returning the enclosed proxy card in the postage-paid envelope provided. Returning the proxy does not deprive you of your right to attend the Annual Meeting and to vote your shares at the Annual Meeting. Stockholders of record as of the close of business on the Record Date are entitled to notice of, and to vote at, the Annual Meeting. Such stockholders are urged to submit an enclosed proxy card, even if their shares were sold after such date. More information on voting your proxy card and attending the Annual Meeting can be found in the accompanying Proxy Statement and the instructions on the proxy card.</w:t>
      </w:r>
    </w:p>
    <w:p>
      <w:pPr>
        <w:spacing w:after="0" w:line="238" w:lineRule="exact"/>
        <w:rPr>
          <w:sz w:val="20"/>
          <w:szCs w:val="20"/>
          <w:color w:val="auto"/>
        </w:rPr>
      </w:pPr>
    </w:p>
    <w:p>
      <w:pPr>
        <w:jc w:val="both"/>
        <w:ind w:left="73" w:right="20"/>
        <w:spacing w:after="0" w:line="241" w:lineRule="auto"/>
        <w:rPr>
          <w:sz w:val="20"/>
          <w:szCs w:val="20"/>
          <w:color w:val="auto"/>
        </w:rPr>
      </w:pPr>
      <w:r>
        <w:rPr>
          <w:rFonts w:ascii="Arial" w:cs="Arial" w:eastAsia="Arial" w:hAnsi="Arial"/>
          <w:sz w:val="17"/>
          <w:szCs w:val="17"/>
          <w:color w:val="auto"/>
        </w:rPr>
        <w:t>Stockholders as of the Record Date will be able to attend the virtual Annual Meeting by visiting the link above, where you will be able to listen to the meeting live, submit questions, and vote. To</w:t>
      </w:r>
    </w:p>
    <w:p>
      <w:pPr>
        <w:spacing w:after="0" w:line="1" w:lineRule="exact"/>
        <w:rPr>
          <w:sz w:val="20"/>
          <w:szCs w:val="20"/>
          <w:color w:val="auto"/>
        </w:rPr>
      </w:pPr>
    </w:p>
    <w:p>
      <w:pPr>
        <w:jc w:val="both"/>
        <w:ind w:left="73" w:right="20"/>
        <w:spacing w:after="0" w:line="238" w:lineRule="auto"/>
        <w:rPr>
          <w:sz w:val="20"/>
          <w:szCs w:val="20"/>
          <w:color w:val="auto"/>
        </w:rPr>
      </w:pPr>
      <w:r>
        <w:rPr>
          <w:rFonts w:ascii="Arial" w:cs="Arial" w:eastAsia="Arial" w:hAnsi="Arial"/>
          <w:sz w:val="17"/>
          <w:szCs w:val="17"/>
          <w:color w:val="auto"/>
        </w:rPr>
        <w:t xml:space="preserve">participate in the Annual Meeting, you must pre-register at </w:t>
      </w:r>
      <w:r>
        <w:rPr>
          <w:rFonts w:ascii="Arial" w:cs="Arial" w:eastAsia="Arial" w:hAnsi="Arial"/>
          <w:sz w:val="17"/>
          <w:szCs w:val="17"/>
          <w:color w:val="0072AF"/>
        </w:rPr>
        <w:t xml:space="preserve">www.virtualshareholdermeeting.com/PBI2024 </w:t>
      </w:r>
      <w:r>
        <w:rPr>
          <w:rFonts w:ascii="Arial" w:cs="Arial" w:eastAsia="Arial" w:hAnsi="Arial"/>
          <w:sz w:val="17"/>
          <w:szCs w:val="17"/>
          <w:color w:val="000000"/>
        </w:rPr>
        <w:t>by 9:00 a.m. Eastern Time on May 6, 2024. More</w:t>
      </w:r>
      <w:r>
        <w:rPr>
          <w:rFonts w:ascii="Arial" w:cs="Arial" w:eastAsia="Arial" w:hAnsi="Arial"/>
          <w:sz w:val="17"/>
          <w:szCs w:val="17"/>
          <w:color w:val="0072AF"/>
        </w:rPr>
        <w:t xml:space="preserve"> </w:t>
      </w:r>
      <w:r>
        <w:rPr>
          <w:rFonts w:ascii="Arial" w:cs="Arial" w:eastAsia="Arial" w:hAnsi="Arial"/>
          <w:sz w:val="17"/>
          <w:szCs w:val="17"/>
          <w:color w:val="000000"/>
        </w:rPr>
        <w:t>information on attending the Annual Meeting can be found in the accompanying Proxy Statement.</w:t>
      </w:r>
    </w:p>
    <w:p>
      <w:pPr>
        <w:spacing w:after="0" w:line="200" w:lineRule="exact"/>
        <w:rPr>
          <w:sz w:val="20"/>
          <w:szCs w:val="20"/>
          <w:color w:val="auto"/>
        </w:rPr>
      </w:pPr>
    </w:p>
    <w:p>
      <w:pPr>
        <w:sectPr>
          <w:pgSz w:w="11900" w:h="16838" w:orient="portrait"/>
          <w:cols w:equalWidth="0" w:num="2">
            <w:col w:w="1320" w:space="267"/>
            <w:col w:w="7593"/>
          </w:cols>
          <w:pgMar w:left="1360" w:top="114" w:right="1359" w:bottom="1440" w:gutter="0" w:footer="0" w:header="0"/>
          <w:type w:val="continuous"/>
        </w:sectPr>
      </w:pPr>
    </w:p>
    <w:p>
      <w:pPr>
        <w:spacing w:after="0" w:line="66" w:lineRule="exact"/>
        <w:rPr>
          <w:sz w:val="20"/>
          <w:szCs w:val="20"/>
          <w:color w:val="auto"/>
        </w:rPr>
      </w:pPr>
    </w:p>
    <w:p>
      <w:pPr>
        <w:ind w:right="420"/>
        <w:spacing w:after="0" w:line="413" w:lineRule="auto"/>
        <w:rPr>
          <w:sz w:val="20"/>
          <w:szCs w:val="20"/>
          <w:color w:val="auto"/>
        </w:rPr>
      </w:pPr>
      <w:r>
        <w:rPr>
          <w:rFonts w:ascii="Arial" w:cs="Arial" w:eastAsia="Arial" w:hAnsi="Arial"/>
          <w:sz w:val="17"/>
          <w:szCs w:val="17"/>
          <w:color w:val="auto"/>
        </w:rPr>
        <w:t>We thank you for your continued support of our Company and look forward to your participation at our Annual Meeting. By Order of the Board of Directors,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Lauren Freeman-Bosworth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and Corporate Secretary</w:t>
      </w:r>
    </w:p>
    <w:p>
      <w:pPr>
        <w:spacing w:after="0"/>
        <w:rPr>
          <w:sz w:val="20"/>
          <w:szCs w:val="20"/>
          <w:color w:val="auto"/>
        </w:rPr>
      </w:pPr>
      <w:r>
        <w:rPr>
          <w:rFonts w:ascii="Arial" w:cs="Arial" w:eastAsia="Arial" w:hAnsi="Arial"/>
          <w:sz w:val="18"/>
          <w:szCs w:val="18"/>
          <w:color w:val="auto"/>
        </w:rPr>
        <w:t xml:space="preserve">April </w:t>
      </w:r>
      <w:r>
        <w:rPr>
          <w:rFonts w:ascii="Arial" w:cs="Arial" w:eastAsia="Arial" w:hAnsi="Arial"/>
          <w:sz w:val="18"/>
          <w:szCs w:val="18"/>
          <w:b w:val="1"/>
          <w:bCs w:val="1"/>
          <w:color w:val="auto"/>
        </w:rPr>
        <w:t>[•]</w:t>
      </w:r>
      <w:r>
        <w:rPr>
          <w:rFonts w:ascii="Arial" w:cs="Arial" w:eastAsia="Arial" w:hAnsi="Arial"/>
          <w:sz w:val="18"/>
          <w:szCs w:val="18"/>
          <w:color w:val="auto"/>
        </w:rPr>
        <w:t>, 2024</w:t>
      </w:r>
    </w:p>
    <w:p>
      <w:pPr>
        <w:sectPr>
          <w:pgSz w:w="11900" w:h="16838" w:orient="portrait"/>
          <w:cols w:equalWidth="0" w:num="1">
            <w:col w:w="9180"/>
          </w:cols>
          <w:pgMar w:left="1360" w:top="114" w:right="1359" w:bottom="1440" w:gutter="0" w:footer="0" w:header="0"/>
          <w:type w:val="continuous"/>
        </w:sectPr>
      </w:pPr>
    </w:p>
    <w:p>
      <w:pPr>
        <w:spacing w:after="0" w:line="12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color w:val="auto"/>
        </w:rPr>
        <w:t xml:space="preserve">Important Notice Regarding the Availability of Proxy Materials for the Annual Meeting: </w:t>
      </w:r>
      <w:r>
        <w:rPr>
          <w:rFonts w:ascii="Arial" w:cs="Arial" w:eastAsia="Arial" w:hAnsi="Arial"/>
          <w:sz w:val="17"/>
          <w:szCs w:val="17"/>
          <w:color w:val="auto"/>
        </w:rPr>
        <w:t>The Proxy Statement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Company’s Annual Report on Form 10-K for the fiscal year ended December 31, 2023 are currently available for viewing online free of charge at www.pitneybowes.com under the caption “Investor Relations” or at </w:t>
      </w:r>
      <w:r>
        <w:rPr>
          <w:rFonts w:ascii="Arial" w:cs="Arial" w:eastAsia="Arial" w:hAnsi="Arial"/>
          <w:sz w:val="17"/>
          <w:szCs w:val="17"/>
          <w:color w:val="0072AF"/>
        </w:rPr>
        <w:t>www.proxyvote.com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107315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-29210</wp:posOffset>
            </wp:positionV>
            <wp:extent cx="9442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44245" cy="8890"/>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2" w:name="page3"/>
    <w:bookmarkEnd w:id="2"/>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166370</wp:posOffset>
            </wp:positionV>
            <wp:extent cx="1894205" cy="471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9420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447"/>
        </w:trPr>
        <w:tc>
          <w:tcPr>
            <w:tcW w:w="4580" w:type="dxa"/>
            <w:vAlign w:val="bottom"/>
            <w:gridSpan w:val="23"/>
          </w:tcPr>
          <w:p>
            <w:pPr>
              <w:spacing w:after="0"/>
              <w:rPr>
                <w:sz w:val="20"/>
                <w:szCs w:val="20"/>
                <w:color w:val="auto"/>
              </w:rPr>
            </w:pPr>
            <w:r>
              <w:rPr>
                <w:rFonts w:ascii="Arial" w:cs="Arial" w:eastAsia="Arial" w:hAnsi="Arial"/>
                <w:sz w:val="32"/>
                <w:szCs w:val="32"/>
                <w:b w:val="1"/>
                <w:bCs w:val="1"/>
                <w:color w:val="4B5A89"/>
              </w:rPr>
              <w:t>TABLE OF CONTENTS</w:t>
            </w:r>
          </w:p>
        </w:tc>
        <w:tc>
          <w:tcPr>
            <w:tcW w:w="4240" w:type="dxa"/>
            <w:vAlign w:val="bottom"/>
            <w:gridSpan w:val="15"/>
          </w:tcPr>
          <w:p>
            <w:pPr>
              <w:ind w:left="10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4580" w:type="dxa"/>
            <w:vAlign w:val="bottom"/>
            <w:gridSpan w:val="23"/>
          </w:tcPr>
          <w:p>
            <w:pPr>
              <w:spacing w:after="0"/>
              <w:rPr>
                <w:sz w:val="20"/>
                <w:szCs w:val="20"/>
                <w:color w:val="auto"/>
              </w:rPr>
            </w:pPr>
            <w:r>
              <w:rPr>
                <w:rFonts w:ascii="Arial" w:cs="Arial" w:eastAsia="Arial" w:hAnsi="Arial"/>
                <w:sz w:val="20"/>
                <w:szCs w:val="20"/>
                <w:b w:val="1"/>
                <w:bCs w:val="1"/>
                <w:color w:val="0000EE"/>
              </w:rPr>
              <w:t>Proxy Summary</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0000EE"/>
              </w:rPr>
              <w:t>5</w:t>
            </w:r>
          </w:p>
        </w:tc>
        <w:tc>
          <w:tcPr>
            <w:tcW w:w="0" w:type="dxa"/>
            <w:vAlign w:val="bottom"/>
          </w:tcPr>
          <w:p>
            <w:pPr>
              <w:spacing w:after="0"/>
              <w:rPr>
                <w:sz w:val="1"/>
                <w:szCs w:val="1"/>
                <w:color w:val="auto"/>
              </w:rPr>
            </w:pPr>
          </w:p>
        </w:tc>
      </w:tr>
      <w:tr>
        <w:trPr>
          <w:trHeight w:val="61"/>
        </w:trPr>
        <w:tc>
          <w:tcPr>
            <w:tcW w:w="180" w:type="dxa"/>
            <w:vAlign w:val="bottom"/>
            <w:tcBorders>
              <w:top w:val="single" w:sz="8" w:color="0000EE"/>
              <w:bottom w:val="single" w:sz="8" w:color="auto"/>
            </w:tcBorders>
          </w:tcPr>
          <w:p>
            <w:pPr>
              <w:spacing w:after="0"/>
              <w:rPr>
                <w:sz w:val="5"/>
                <w:szCs w:val="5"/>
                <w:color w:val="auto"/>
              </w:rPr>
            </w:pPr>
          </w:p>
        </w:tc>
        <w:tc>
          <w:tcPr>
            <w:tcW w:w="5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600" w:type="dxa"/>
            <w:vAlign w:val="bottom"/>
            <w:gridSpan w:val="5"/>
          </w:tcPr>
          <w:p>
            <w:pPr>
              <w:spacing w:after="0"/>
              <w:rPr>
                <w:sz w:val="20"/>
                <w:szCs w:val="20"/>
                <w:color w:val="auto"/>
              </w:rPr>
            </w:pPr>
            <w:r>
              <w:rPr>
                <w:rFonts w:ascii="Arial" w:cs="Arial" w:eastAsia="Arial" w:hAnsi="Arial"/>
                <w:sz w:val="18"/>
                <w:szCs w:val="18"/>
                <w:color w:val="0000EE"/>
                <w:w w:val="96"/>
              </w:rPr>
              <w:t>The Annual Meeting</w:t>
            </w:r>
          </w:p>
        </w:tc>
        <w:tc>
          <w:tcPr>
            <w:tcW w:w="2800" w:type="dxa"/>
            <w:vAlign w:val="bottom"/>
            <w:gridSpan w:val="17"/>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0000EE"/>
              </w:rPr>
              <w:t>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80" w:type="dxa"/>
            <w:vAlign w:val="bottom"/>
          </w:tcPr>
          <w:p>
            <w:pPr>
              <w:spacing w:after="0"/>
              <w:rPr>
                <w:sz w:val="24"/>
                <w:szCs w:val="24"/>
                <w:color w:val="auto"/>
              </w:rPr>
            </w:pPr>
          </w:p>
        </w:tc>
        <w:tc>
          <w:tcPr>
            <w:tcW w:w="4400" w:type="dxa"/>
            <w:vAlign w:val="bottom"/>
            <w:gridSpan w:val="22"/>
          </w:tcPr>
          <w:p>
            <w:pPr>
              <w:spacing w:after="0"/>
              <w:rPr>
                <w:sz w:val="20"/>
                <w:szCs w:val="20"/>
                <w:color w:val="auto"/>
              </w:rPr>
            </w:pPr>
            <w:r>
              <w:rPr>
                <w:rFonts w:ascii="Arial" w:cs="Arial" w:eastAsia="Arial" w:hAnsi="Arial"/>
                <w:sz w:val="18"/>
                <w:szCs w:val="18"/>
                <w:color w:val="0000EE"/>
              </w:rPr>
              <w:t>Agenda and Board Recommendations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0000EE"/>
              </w:rPr>
              <w:t>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580" w:type="dxa"/>
            <w:vAlign w:val="bottom"/>
            <w:gridSpan w:val="23"/>
          </w:tcPr>
          <w:p>
            <w:pPr>
              <w:spacing w:after="0"/>
              <w:rPr>
                <w:sz w:val="20"/>
                <w:szCs w:val="20"/>
                <w:color w:val="auto"/>
              </w:rPr>
            </w:pPr>
            <w:r>
              <w:rPr>
                <w:rFonts w:ascii="Arial" w:cs="Arial" w:eastAsia="Arial" w:hAnsi="Arial"/>
                <w:sz w:val="20"/>
                <w:szCs w:val="20"/>
                <w:b w:val="1"/>
                <w:bCs w:val="1"/>
                <w:color w:val="0000EE"/>
              </w:rPr>
              <w:t>Virtual Annual Meeting Information</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0000EE"/>
              </w:rPr>
              <w:t>7</w:t>
            </w:r>
          </w:p>
        </w:tc>
        <w:tc>
          <w:tcPr>
            <w:tcW w:w="0" w:type="dxa"/>
            <w:vAlign w:val="bottom"/>
          </w:tcPr>
          <w:p>
            <w:pPr>
              <w:spacing w:after="0"/>
              <w:rPr>
                <w:sz w:val="1"/>
                <w:szCs w:val="1"/>
                <w:color w:val="auto"/>
              </w:rPr>
            </w:pPr>
          </w:p>
        </w:tc>
      </w:tr>
      <w:tr>
        <w:trPr>
          <w:trHeight w:val="61"/>
        </w:trPr>
        <w:tc>
          <w:tcPr>
            <w:tcW w:w="180" w:type="dxa"/>
            <w:vAlign w:val="bottom"/>
            <w:tcBorders>
              <w:top w:val="single" w:sz="8" w:color="0000EE"/>
              <w:bottom w:val="single" w:sz="8" w:color="auto"/>
            </w:tcBorders>
          </w:tcPr>
          <w:p>
            <w:pPr>
              <w:spacing w:after="0"/>
              <w:rPr>
                <w:sz w:val="5"/>
                <w:szCs w:val="5"/>
                <w:color w:val="auto"/>
              </w:rPr>
            </w:pPr>
          </w:p>
        </w:tc>
        <w:tc>
          <w:tcPr>
            <w:tcW w:w="5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900" w:type="dxa"/>
            <w:vAlign w:val="bottom"/>
            <w:gridSpan w:val="8"/>
          </w:tcPr>
          <w:p>
            <w:pPr>
              <w:spacing w:after="0"/>
              <w:rPr>
                <w:sz w:val="20"/>
                <w:szCs w:val="20"/>
                <w:color w:val="auto"/>
              </w:rPr>
            </w:pPr>
            <w:r>
              <w:rPr>
                <w:rFonts w:ascii="Arial" w:cs="Arial" w:eastAsia="Arial" w:hAnsi="Arial"/>
                <w:sz w:val="18"/>
                <w:szCs w:val="18"/>
                <w:color w:val="0000EE"/>
                <w:w w:val="98"/>
              </w:rPr>
              <w:t>Questions and Answers</w:t>
            </w:r>
          </w:p>
        </w:tc>
        <w:tc>
          <w:tcPr>
            <w:tcW w:w="2500" w:type="dxa"/>
            <w:vAlign w:val="bottom"/>
            <w:gridSpan w:val="14"/>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0000EE"/>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80" w:type="dxa"/>
            <w:vAlign w:val="bottom"/>
          </w:tcPr>
          <w:p>
            <w:pPr>
              <w:spacing w:after="0"/>
              <w:rPr>
                <w:sz w:val="24"/>
                <w:szCs w:val="24"/>
                <w:color w:val="auto"/>
              </w:rPr>
            </w:pPr>
          </w:p>
        </w:tc>
        <w:tc>
          <w:tcPr>
            <w:tcW w:w="8640" w:type="dxa"/>
            <w:vAlign w:val="bottom"/>
            <w:gridSpan w:val="37"/>
          </w:tcPr>
          <w:p>
            <w:pPr>
              <w:spacing w:after="0"/>
              <w:rPr>
                <w:sz w:val="20"/>
                <w:szCs w:val="20"/>
                <w:color w:val="auto"/>
              </w:rPr>
            </w:pPr>
            <w:r>
              <w:rPr>
                <w:rFonts w:ascii="Arial" w:cs="Arial" w:eastAsia="Arial" w:hAnsi="Arial"/>
                <w:sz w:val="18"/>
                <w:szCs w:val="18"/>
                <w:color w:val="0000EE"/>
              </w:rPr>
              <w:t>​Stockholder Proposals and Nominations for the 2025 Annual Meeting</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EE"/>
              </w:rPr>
              <w:t>10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580" w:type="dxa"/>
            <w:vAlign w:val="bottom"/>
            <w:gridSpan w:val="23"/>
          </w:tcPr>
          <w:p>
            <w:pPr>
              <w:spacing w:after="0"/>
              <w:rPr>
                <w:sz w:val="20"/>
                <w:szCs w:val="20"/>
                <w:color w:val="auto"/>
              </w:rPr>
            </w:pPr>
            <w:r>
              <w:rPr>
                <w:rFonts w:ascii="Arial" w:cs="Arial" w:eastAsia="Arial" w:hAnsi="Arial"/>
                <w:sz w:val="20"/>
                <w:szCs w:val="20"/>
                <w:b w:val="1"/>
                <w:bCs w:val="1"/>
                <w:color w:val="0000EE"/>
              </w:rPr>
              <w:t>Corporate Governance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0000EE"/>
              </w:rPr>
              <w:t>11</w:t>
            </w:r>
          </w:p>
        </w:tc>
        <w:tc>
          <w:tcPr>
            <w:tcW w:w="0" w:type="dxa"/>
            <w:vAlign w:val="bottom"/>
          </w:tcPr>
          <w:p>
            <w:pPr>
              <w:spacing w:after="0"/>
              <w:rPr>
                <w:sz w:val="1"/>
                <w:szCs w:val="1"/>
                <w:color w:val="auto"/>
              </w:rPr>
            </w:pPr>
          </w:p>
        </w:tc>
      </w:tr>
      <w:tr>
        <w:trPr>
          <w:trHeight w:val="61"/>
        </w:trPr>
        <w:tc>
          <w:tcPr>
            <w:tcW w:w="180" w:type="dxa"/>
            <w:vAlign w:val="bottom"/>
            <w:tcBorders>
              <w:top w:val="single" w:sz="8" w:color="0000EE"/>
              <w:bottom w:val="single" w:sz="8" w:color="auto"/>
            </w:tcBorders>
          </w:tcPr>
          <w:p>
            <w:pPr>
              <w:spacing w:after="0"/>
              <w:rPr>
                <w:sz w:val="5"/>
                <w:szCs w:val="5"/>
                <w:color w:val="auto"/>
              </w:rPr>
            </w:pPr>
          </w:p>
        </w:tc>
        <w:tc>
          <w:tcPr>
            <w:tcW w:w="5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400" w:type="dxa"/>
            <w:vAlign w:val="bottom"/>
            <w:gridSpan w:val="22"/>
          </w:tcPr>
          <w:p>
            <w:pPr>
              <w:spacing w:after="0"/>
              <w:rPr>
                <w:sz w:val="20"/>
                <w:szCs w:val="20"/>
                <w:color w:val="auto"/>
              </w:rPr>
            </w:pPr>
            <w:r>
              <w:rPr>
                <w:rFonts w:ascii="Arial" w:cs="Arial" w:eastAsia="Arial" w:hAnsi="Arial"/>
                <w:sz w:val="18"/>
                <w:szCs w:val="18"/>
                <w:color w:val="0000EE"/>
              </w:rPr>
              <w:t>Board of Directors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0000EE"/>
              </w:rPr>
              <w:t>12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80" w:type="dxa"/>
            <w:vAlign w:val="bottom"/>
          </w:tcPr>
          <w:p>
            <w:pPr>
              <w:spacing w:after="0"/>
              <w:rPr>
                <w:sz w:val="24"/>
                <w:szCs w:val="24"/>
                <w:color w:val="auto"/>
              </w:rPr>
            </w:pPr>
          </w:p>
        </w:tc>
        <w:tc>
          <w:tcPr>
            <w:tcW w:w="2020" w:type="dxa"/>
            <w:vAlign w:val="bottom"/>
            <w:gridSpan w:val="10"/>
          </w:tcPr>
          <w:p>
            <w:pPr>
              <w:spacing w:after="0"/>
              <w:rPr>
                <w:sz w:val="20"/>
                <w:szCs w:val="20"/>
                <w:color w:val="auto"/>
              </w:rPr>
            </w:pPr>
            <w:r>
              <w:rPr>
                <w:rFonts w:ascii="Arial" w:cs="Arial" w:eastAsia="Arial" w:hAnsi="Arial"/>
                <w:sz w:val="18"/>
                <w:szCs w:val="18"/>
                <w:color w:val="0000EE"/>
                <w:w w:val="97"/>
              </w:rPr>
              <w:t>Stockholder Engagement</w:t>
            </w:r>
          </w:p>
        </w:tc>
        <w:tc>
          <w:tcPr>
            <w:tcW w:w="2380" w:type="dxa"/>
            <w:vAlign w:val="bottom"/>
            <w:gridSpan w:val="12"/>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0000EE"/>
              </w:rPr>
              <w:t>14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80" w:type="dxa"/>
            <w:vAlign w:val="bottom"/>
          </w:tcPr>
          <w:p>
            <w:pPr>
              <w:spacing w:after="0"/>
              <w:rPr>
                <w:sz w:val="24"/>
                <w:szCs w:val="24"/>
                <w:color w:val="auto"/>
              </w:rPr>
            </w:pPr>
          </w:p>
        </w:tc>
        <w:tc>
          <w:tcPr>
            <w:tcW w:w="3120" w:type="dxa"/>
            <w:vAlign w:val="bottom"/>
            <w:gridSpan w:val="16"/>
          </w:tcPr>
          <w:p>
            <w:pPr>
              <w:spacing w:after="0"/>
              <w:rPr>
                <w:sz w:val="20"/>
                <w:szCs w:val="20"/>
                <w:color w:val="auto"/>
              </w:rPr>
            </w:pPr>
            <w:r>
              <w:rPr>
                <w:rFonts w:ascii="Arial" w:cs="Arial" w:eastAsia="Arial" w:hAnsi="Arial"/>
                <w:sz w:val="18"/>
                <w:szCs w:val="18"/>
                <w:color w:val="0000EE"/>
                <w:w w:val="99"/>
              </w:rPr>
              <w:t>Environmental, Social and Governance</w:t>
            </w:r>
          </w:p>
        </w:tc>
        <w:tc>
          <w:tcPr>
            <w:tcW w:w="1280" w:type="dxa"/>
            <w:vAlign w:val="bottom"/>
            <w:gridSpan w:val="6"/>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0000EE"/>
              </w:rPr>
              <w:t>15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80" w:type="dxa"/>
            <w:vAlign w:val="bottom"/>
          </w:tcPr>
          <w:p>
            <w:pPr>
              <w:spacing w:after="0"/>
              <w:rPr>
                <w:sz w:val="24"/>
                <w:szCs w:val="24"/>
                <w:color w:val="auto"/>
              </w:rPr>
            </w:pPr>
          </w:p>
        </w:tc>
        <w:tc>
          <w:tcPr>
            <w:tcW w:w="4400" w:type="dxa"/>
            <w:vAlign w:val="bottom"/>
            <w:gridSpan w:val="22"/>
          </w:tcPr>
          <w:p>
            <w:pPr>
              <w:spacing w:after="0"/>
              <w:rPr>
                <w:sz w:val="20"/>
                <w:szCs w:val="20"/>
                <w:color w:val="auto"/>
              </w:rPr>
            </w:pPr>
            <w:r>
              <w:rPr>
                <w:rFonts w:ascii="Arial" w:cs="Arial" w:eastAsia="Arial" w:hAnsi="Arial"/>
                <w:sz w:val="18"/>
                <w:szCs w:val="18"/>
                <w:color w:val="0000EE"/>
              </w:rPr>
              <w:t>Board Committees and Meeting Attendance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0000EE"/>
              </w:rPr>
              <w:t>17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580" w:type="dxa"/>
            <w:vAlign w:val="bottom"/>
            <w:gridSpan w:val="23"/>
          </w:tcPr>
          <w:p>
            <w:pPr>
              <w:spacing w:after="0"/>
              <w:rPr>
                <w:sz w:val="20"/>
                <w:szCs w:val="20"/>
                <w:color w:val="auto"/>
              </w:rPr>
            </w:pPr>
            <w:r>
              <w:rPr>
                <w:rFonts w:ascii="Arial" w:cs="Arial" w:eastAsia="Arial" w:hAnsi="Arial"/>
                <w:sz w:val="20"/>
                <w:szCs w:val="20"/>
                <w:b w:val="1"/>
                <w:bCs w:val="1"/>
                <w:color w:val="0000EE"/>
              </w:rPr>
              <w:t>Director Compensation</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0000EE"/>
              </w:rPr>
              <w:t>20</w:t>
            </w:r>
          </w:p>
        </w:tc>
        <w:tc>
          <w:tcPr>
            <w:tcW w:w="0" w:type="dxa"/>
            <w:vAlign w:val="bottom"/>
          </w:tcPr>
          <w:p>
            <w:pPr>
              <w:spacing w:after="0"/>
              <w:rPr>
                <w:sz w:val="1"/>
                <w:szCs w:val="1"/>
                <w:color w:val="auto"/>
              </w:rPr>
            </w:pPr>
          </w:p>
        </w:tc>
      </w:tr>
      <w:tr>
        <w:trPr>
          <w:trHeight w:val="61"/>
        </w:trPr>
        <w:tc>
          <w:tcPr>
            <w:tcW w:w="180" w:type="dxa"/>
            <w:vAlign w:val="bottom"/>
            <w:tcBorders>
              <w:top w:val="single" w:sz="8" w:color="0000EE"/>
              <w:bottom w:val="single" w:sz="8" w:color="auto"/>
            </w:tcBorders>
          </w:tcPr>
          <w:p>
            <w:pPr>
              <w:spacing w:after="0"/>
              <w:rPr>
                <w:sz w:val="5"/>
                <w:szCs w:val="5"/>
                <w:color w:val="auto"/>
              </w:rPr>
            </w:pPr>
          </w:p>
        </w:tc>
        <w:tc>
          <w:tcPr>
            <w:tcW w:w="5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580" w:type="dxa"/>
            <w:vAlign w:val="bottom"/>
            <w:gridSpan w:val="23"/>
          </w:tcPr>
          <w:p>
            <w:pPr>
              <w:spacing w:after="0"/>
              <w:rPr>
                <w:sz w:val="20"/>
                <w:szCs w:val="20"/>
                <w:color w:val="auto"/>
              </w:rPr>
            </w:pPr>
            <w:r>
              <w:rPr>
                <w:rFonts w:ascii="Arial" w:cs="Arial" w:eastAsia="Arial" w:hAnsi="Arial"/>
                <w:sz w:val="20"/>
                <w:szCs w:val="20"/>
                <w:b w:val="1"/>
                <w:bCs w:val="1"/>
                <w:color w:val="0000EE"/>
              </w:rPr>
              <w:t>Relationships and Related-Person Transactions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0000EE"/>
              </w:rPr>
              <w:t>23</w:t>
            </w:r>
          </w:p>
        </w:tc>
        <w:tc>
          <w:tcPr>
            <w:tcW w:w="0" w:type="dxa"/>
            <w:vAlign w:val="bottom"/>
          </w:tcPr>
          <w:p>
            <w:pPr>
              <w:spacing w:after="0"/>
              <w:rPr>
                <w:sz w:val="1"/>
                <w:szCs w:val="1"/>
                <w:color w:val="auto"/>
              </w:rPr>
            </w:pPr>
          </w:p>
        </w:tc>
      </w:tr>
      <w:tr>
        <w:trPr>
          <w:trHeight w:val="61"/>
        </w:trPr>
        <w:tc>
          <w:tcPr>
            <w:tcW w:w="180" w:type="dxa"/>
            <w:vAlign w:val="bottom"/>
            <w:tcBorders>
              <w:top w:val="single" w:sz="8" w:color="0000EE"/>
              <w:bottom w:val="single" w:sz="8" w:color="auto"/>
            </w:tcBorders>
          </w:tcPr>
          <w:p>
            <w:pPr>
              <w:spacing w:after="0"/>
              <w:rPr>
                <w:sz w:val="5"/>
                <w:szCs w:val="5"/>
                <w:color w:val="auto"/>
              </w:rPr>
            </w:pPr>
          </w:p>
        </w:tc>
        <w:tc>
          <w:tcPr>
            <w:tcW w:w="5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680" w:type="dxa"/>
            <w:vAlign w:val="bottom"/>
            <w:tcBorders>
              <w:top w:val="single" w:sz="8" w:color="0000EE"/>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820" w:type="dxa"/>
            <w:vAlign w:val="bottom"/>
            <w:gridSpan w:val="38"/>
          </w:tcPr>
          <w:p>
            <w:pPr>
              <w:spacing w:after="0"/>
              <w:rPr>
                <w:sz w:val="20"/>
                <w:szCs w:val="20"/>
                <w:color w:val="auto"/>
              </w:rPr>
            </w:pPr>
            <w:r>
              <w:rPr>
                <w:rFonts w:ascii="Arial" w:cs="Arial" w:eastAsia="Arial" w:hAnsi="Arial"/>
                <w:sz w:val="20"/>
                <w:szCs w:val="20"/>
                <w:b w:val="1"/>
                <w:bCs w:val="1"/>
                <w:color w:val="0000EE"/>
              </w:rPr>
              <w:t>Stock Ownership of Directors and Executive Officers</w:t>
            </w: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0000EE"/>
              </w:rPr>
              <w:t>24</w:t>
            </w:r>
          </w:p>
        </w:tc>
        <w:tc>
          <w:tcPr>
            <w:tcW w:w="0" w:type="dxa"/>
            <w:vAlign w:val="bottom"/>
          </w:tcPr>
          <w:p>
            <w:pPr>
              <w:spacing w:after="0"/>
              <w:rPr>
                <w:sz w:val="1"/>
                <w:szCs w:val="1"/>
                <w:color w:val="auto"/>
              </w:rPr>
            </w:pPr>
          </w:p>
        </w:tc>
      </w:tr>
      <w:tr>
        <w:trPr>
          <w:trHeight w:val="61"/>
        </w:trPr>
        <w:tc>
          <w:tcPr>
            <w:tcW w:w="180" w:type="dxa"/>
            <w:vAlign w:val="bottom"/>
            <w:tcBorders>
              <w:top w:val="single" w:sz="8" w:color="0000EE"/>
              <w:bottom w:val="single" w:sz="8" w:color="auto"/>
            </w:tcBorders>
          </w:tcPr>
          <w:p>
            <w:pPr>
              <w:spacing w:after="0"/>
              <w:rPr>
                <w:sz w:val="5"/>
                <w:szCs w:val="5"/>
                <w:color w:val="auto"/>
              </w:rPr>
            </w:pPr>
          </w:p>
        </w:tc>
        <w:tc>
          <w:tcPr>
            <w:tcW w:w="5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68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580" w:type="dxa"/>
            <w:vAlign w:val="bottom"/>
            <w:gridSpan w:val="23"/>
          </w:tcPr>
          <w:p>
            <w:pPr>
              <w:spacing w:after="0"/>
              <w:rPr>
                <w:sz w:val="20"/>
                <w:szCs w:val="20"/>
                <w:color w:val="auto"/>
              </w:rPr>
            </w:pPr>
            <w:r>
              <w:rPr>
                <w:rFonts w:ascii="Arial" w:cs="Arial" w:eastAsia="Arial" w:hAnsi="Arial"/>
                <w:sz w:val="20"/>
                <w:szCs w:val="20"/>
                <w:b w:val="1"/>
                <w:bCs w:val="1"/>
                <w:color w:val="0000EE"/>
              </w:rPr>
              <w:t>Beneficial Ownership of Company Stock</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0000EE"/>
              </w:rPr>
              <w:t>25</w:t>
            </w:r>
          </w:p>
        </w:tc>
        <w:tc>
          <w:tcPr>
            <w:tcW w:w="0" w:type="dxa"/>
            <w:vAlign w:val="bottom"/>
          </w:tcPr>
          <w:p>
            <w:pPr>
              <w:spacing w:after="0"/>
              <w:rPr>
                <w:sz w:val="1"/>
                <w:szCs w:val="1"/>
                <w:color w:val="auto"/>
              </w:rPr>
            </w:pPr>
          </w:p>
        </w:tc>
      </w:tr>
      <w:tr>
        <w:trPr>
          <w:trHeight w:val="61"/>
        </w:trPr>
        <w:tc>
          <w:tcPr>
            <w:tcW w:w="180" w:type="dxa"/>
            <w:vAlign w:val="bottom"/>
            <w:tcBorders>
              <w:top w:val="single" w:sz="8" w:color="0000EE"/>
              <w:bottom w:val="single" w:sz="8" w:color="auto"/>
            </w:tcBorders>
          </w:tcPr>
          <w:p>
            <w:pPr>
              <w:spacing w:after="0"/>
              <w:rPr>
                <w:sz w:val="5"/>
                <w:szCs w:val="5"/>
                <w:color w:val="auto"/>
              </w:rPr>
            </w:pPr>
          </w:p>
        </w:tc>
        <w:tc>
          <w:tcPr>
            <w:tcW w:w="5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580" w:type="dxa"/>
            <w:vAlign w:val="bottom"/>
            <w:gridSpan w:val="23"/>
          </w:tcPr>
          <w:p>
            <w:pPr>
              <w:spacing w:after="0"/>
              <w:rPr>
                <w:sz w:val="20"/>
                <w:szCs w:val="20"/>
                <w:color w:val="auto"/>
              </w:rPr>
            </w:pPr>
            <w:r>
              <w:rPr>
                <w:rFonts w:ascii="Arial" w:cs="Arial" w:eastAsia="Arial" w:hAnsi="Arial"/>
                <w:sz w:val="20"/>
                <w:szCs w:val="20"/>
                <w:b w:val="1"/>
                <w:bCs w:val="1"/>
                <w:color w:val="0000EE"/>
              </w:rPr>
              <w:t>Proposal 1: Election of Directors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0000EE"/>
              </w:rPr>
              <w:t>26</w:t>
            </w:r>
          </w:p>
        </w:tc>
        <w:tc>
          <w:tcPr>
            <w:tcW w:w="0" w:type="dxa"/>
            <w:vAlign w:val="bottom"/>
          </w:tcPr>
          <w:p>
            <w:pPr>
              <w:spacing w:after="0"/>
              <w:rPr>
                <w:sz w:val="1"/>
                <w:szCs w:val="1"/>
                <w:color w:val="auto"/>
              </w:rPr>
            </w:pPr>
          </w:p>
        </w:tc>
      </w:tr>
      <w:tr>
        <w:trPr>
          <w:trHeight w:val="61"/>
        </w:trPr>
        <w:tc>
          <w:tcPr>
            <w:tcW w:w="180" w:type="dxa"/>
            <w:vAlign w:val="bottom"/>
            <w:tcBorders>
              <w:top w:val="single" w:sz="8" w:color="0000EE"/>
              <w:bottom w:val="single" w:sz="8" w:color="auto"/>
            </w:tcBorders>
          </w:tcPr>
          <w:p>
            <w:pPr>
              <w:spacing w:after="0"/>
              <w:rPr>
                <w:sz w:val="5"/>
                <w:szCs w:val="5"/>
                <w:color w:val="auto"/>
              </w:rPr>
            </w:pPr>
          </w:p>
        </w:tc>
        <w:tc>
          <w:tcPr>
            <w:tcW w:w="5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0" w:type="dxa"/>
            <w:vAlign w:val="bottom"/>
            <w:tcBorders>
              <w:top w:val="single" w:sz="8" w:color="0000EE"/>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760" w:type="dxa"/>
            <w:vAlign w:val="bottom"/>
            <w:gridSpan w:val="6"/>
          </w:tcPr>
          <w:p>
            <w:pPr>
              <w:spacing w:after="0"/>
              <w:rPr>
                <w:sz w:val="20"/>
                <w:szCs w:val="20"/>
                <w:color w:val="auto"/>
              </w:rPr>
            </w:pPr>
            <w:r>
              <w:rPr>
                <w:rFonts w:ascii="Arial" w:cs="Arial" w:eastAsia="Arial" w:hAnsi="Arial"/>
                <w:sz w:val="18"/>
                <w:szCs w:val="18"/>
                <w:color w:val="0000EE"/>
                <w:w w:val="98"/>
              </w:rPr>
              <w:t>Director Qualifications</w:t>
            </w:r>
          </w:p>
        </w:tc>
        <w:tc>
          <w:tcPr>
            <w:tcW w:w="2640" w:type="dxa"/>
            <w:vAlign w:val="bottom"/>
            <w:gridSpan w:val="16"/>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0000EE"/>
              </w:rPr>
              <w:t>26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80" w:type="dxa"/>
            <w:vAlign w:val="bottom"/>
          </w:tcPr>
          <w:p>
            <w:pPr>
              <w:spacing w:after="0"/>
              <w:rPr>
                <w:sz w:val="24"/>
                <w:szCs w:val="24"/>
                <w:color w:val="auto"/>
              </w:rPr>
            </w:pPr>
          </w:p>
        </w:tc>
        <w:tc>
          <w:tcPr>
            <w:tcW w:w="1760" w:type="dxa"/>
            <w:vAlign w:val="bottom"/>
            <w:gridSpan w:val="6"/>
          </w:tcPr>
          <w:p>
            <w:pPr>
              <w:spacing w:after="0"/>
              <w:rPr>
                <w:sz w:val="20"/>
                <w:szCs w:val="20"/>
                <w:color w:val="auto"/>
              </w:rPr>
            </w:pPr>
            <w:r>
              <w:rPr>
                <w:rFonts w:ascii="Arial" w:cs="Arial" w:eastAsia="Arial" w:hAnsi="Arial"/>
                <w:sz w:val="18"/>
                <w:szCs w:val="18"/>
                <w:color w:val="0000EE"/>
              </w:rPr>
              <w:t>Election of Directors</w:t>
            </w:r>
          </w:p>
        </w:tc>
        <w:tc>
          <w:tcPr>
            <w:tcW w:w="2640" w:type="dxa"/>
            <w:vAlign w:val="bottom"/>
            <w:gridSpan w:val="16"/>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0000EE"/>
              </w:rPr>
              <w:t>27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80" w:type="dxa"/>
            <w:vAlign w:val="bottom"/>
          </w:tcPr>
          <w:p>
            <w:pPr>
              <w:spacing w:after="0"/>
              <w:rPr>
                <w:sz w:val="24"/>
                <w:szCs w:val="24"/>
                <w:color w:val="auto"/>
              </w:rPr>
            </w:pPr>
          </w:p>
        </w:tc>
        <w:tc>
          <w:tcPr>
            <w:tcW w:w="8640" w:type="dxa"/>
            <w:vAlign w:val="bottom"/>
            <w:gridSpan w:val="37"/>
          </w:tcPr>
          <w:p>
            <w:pPr>
              <w:spacing w:after="0"/>
              <w:rPr>
                <w:sz w:val="20"/>
                <w:szCs w:val="20"/>
                <w:color w:val="auto"/>
              </w:rPr>
            </w:pPr>
            <w:r>
              <w:rPr>
                <w:rFonts w:ascii="Arial" w:cs="Arial" w:eastAsia="Arial" w:hAnsi="Arial"/>
                <w:sz w:val="18"/>
                <w:szCs w:val="18"/>
                <w:color w:val="0000EE"/>
              </w:rPr>
              <w:t>Vote Required; Recommendation of the Board of Directors</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EE"/>
              </w:rPr>
              <w:t>27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80" w:type="dxa"/>
            <w:vAlign w:val="bottom"/>
          </w:tcPr>
          <w:p>
            <w:pPr>
              <w:spacing w:after="0"/>
              <w:rPr>
                <w:sz w:val="24"/>
                <w:szCs w:val="24"/>
                <w:color w:val="auto"/>
              </w:rPr>
            </w:pPr>
          </w:p>
        </w:tc>
        <w:tc>
          <w:tcPr>
            <w:tcW w:w="4400" w:type="dxa"/>
            <w:vAlign w:val="bottom"/>
            <w:gridSpan w:val="22"/>
          </w:tcPr>
          <w:p>
            <w:pPr>
              <w:spacing w:after="0"/>
              <w:rPr>
                <w:sz w:val="20"/>
                <w:szCs w:val="20"/>
                <w:color w:val="auto"/>
              </w:rPr>
            </w:pPr>
            <w:r>
              <w:rPr>
                <w:rFonts w:ascii="Arial" w:cs="Arial" w:eastAsia="Arial" w:hAnsi="Arial"/>
                <w:sz w:val="18"/>
                <w:szCs w:val="18"/>
                <w:color w:val="0000EE"/>
              </w:rPr>
              <w:t>The Nominees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0000EE"/>
              </w:rPr>
              <w:t>28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580" w:type="dxa"/>
            <w:vAlign w:val="bottom"/>
            <w:gridSpan w:val="23"/>
          </w:tcPr>
          <w:p>
            <w:pPr>
              <w:spacing w:after="0"/>
              <w:rPr>
                <w:sz w:val="20"/>
                <w:szCs w:val="20"/>
                <w:color w:val="auto"/>
              </w:rPr>
            </w:pPr>
            <w:r>
              <w:rPr>
                <w:rFonts w:ascii="Arial" w:cs="Arial" w:eastAsia="Arial" w:hAnsi="Arial"/>
                <w:sz w:val="20"/>
                <w:szCs w:val="20"/>
                <w:b w:val="1"/>
                <w:bCs w:val="1"/>
                <w:color w:val="0000EE"/>
              </w:rPr>
              <w:t>Report of the Audit Committee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0000EE"/>
              </w:rPr>
              <w:t>30</w:t>
            </w:r>
          </w:p>
        </w:tc>
        <w:tc>
          <w:tcPr>
            <w:tcW w:w="0" w:type="dxa"/>
            <w:vAlign w:val="bottom"/>
          </w:tcPr>
          <w:p>
            <w:pPr>
              <w:spacing w:after="0"/>
              <w:rPr>
                <w:sz w:val="1"/>
                <w:szCs w:val="1"/>
                <w:color w:val="auto"/>
              </w:rPr>
            </w:pPr>
          </w:p>
        </w:tc>
      </w:tr>
      <w:tr>
        <w:trPr>
          <w:trHeight w:val="61"/>
        </w:trPr>
        <w:tc>
          <w:tcPr>
            <w:tcW w:w="180" w:type="dxa"/>
            <w:vAlign w:val="bottom"/>
            <w:tcBorders>
              <w:top w:val="single" w:sz="8" w:color="0000EE"/>
              <w:bottom w:val="single" w:sz="8" w:color="auto"/>
            </w:tcBorders>
          </w:tcPr>
          <w:p>
            <w:pPr>
              <w:spacing w:after="0"/>
              <w:rPr>
                <w:sz w:val="5"/>
                <w:szCs w:val="5"/>
                <w:color w:val="auto"/>
              </w:rPr>
            </w:pPr>
          </w:p>
        </w:tc>
        <w:tc>
          <w:tcPr>
            <w:tcW w:w="5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820" w:type="dxa"/>
            <w:vAlign w:val="bottom"/>
            <w:gridSpan w:val="38"/>
          </w:tcPr>
          <w:p>
            <w:pPr>
              <w:spacing w:after="0"/>
              <w:rPr>
                <w:sz w:val="20"/>
                <w:szCs w:val="20"/>
                <w:color w:val="auto"/>
              </w:rPr>
            </w:pPr>
            <w:r>
              <w:rPr>
                <w:rFonts w:ascii="Arial" w:cs="Arial" w:eastAsia="Arial" w:hAnsi="Arial"/>
                <w:sz w:val="20"/>
                <w:szCs w:val="20"/>
                <w:b w:val="1"/>
                <w:bCs w:val="1"/>
                <w:color w:val="0000EE"/>
              </w:rPr>
              <w:t>Proposal 2: Ratification of the Appointment of PricewaterhouseCoopers LLP as our</w:t>
            </w:r>
          </w:p>
        </w:tc>
        <w:tc>
          <w:tcPr>
            <w:tcW w:w="3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0000EE"/>
              </w:rPr>
              <w:t>31</w:t>
            </w:r>
          </w:p>
        </w:tc>
        <w:tc>
          <w:tcPr>
            <w:tcW w:w="0" w:type="dxa"/>
            <w:vAlign w:val="bottom"/>
          </w:tcPr>
          <w:p>
            <w:pPr>
              <w:spacing w:after="0"/>
              <w:rPr>
                <w:sz w:val="1"/>
                <w:szCs w:val="1"/>
                <w:color w:val="auto"/>
              </w:rPr>
            </w:pPr>
          </w:p>
        </w:tc>
      </w:tr>
      <w:tr>
        <w:trPr>
          <w:trHeight w:val="196"/>
        </w:trPr>
        <w:tc>
          <w:tcPr>
            <w:tcW w:w="7840" w:type="dxa"/>
            <w:vAlign w:val="bottom"/>
            <w:tcBorders>
              <w:top w:val="single" w:sz="8" w:color="0000EE"/>
            </w:tcBorders>
            <w:gridSpan w:val="35"/>
          </w:tcPr>
          <w:p>
            <w:pPr>
              <w:spacing w:after="0" w:line="196" w:lineRule="exact"/>
              <w:rPr>
                <w:sz w:val="20"/>
                <w:szCs w:val="20"/>
                <w:color w:val="auto"/>
              </w:rPr>
            </w:pPr>
            <w:r>
              <w:rPr>
                <w:rFonts w:ascii="Arial" w:cs="Arial" w:eastAsia="Arial" w:hAnsi="Arial"/>
                <w:sz w:val="20"/>
                <w:szCs w:val="20"/>
                <w:b w:val="1"/>
                <w:bCs w:val="1"/>
                <w:color w:val="0000EE"/>
              </w:rPr>
              <w:t>Independent Registered Public Accountants for 2024</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80" w:type="dxa"/>
            <w:vAlign w:val="bottom"/>
            <w:tcBorders>
              <w:top w:val="single" w:sz="8" w:color="0000EE"/>
              <w:bottom w:val="single" w:sz="8" w:color="auto"/>
            </w:tcBorders>
          </w:tcPr>
          <w:p>
            <w:pPr>
              <w:spacing w:after="0"/>
              <w:rPr>
                <w:sz w:val="5"/>
                <w:szCs w:val="5"/>
                <w:color w:val="auto"/>
              </w:rPr>
            </w:pPr>
          </w:p>
        </w:tc>
        <w:tc>
          <w:tcPr>
            <w:tcW w:w="5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68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3180" w:type="dxa"/>
            <w:vAlign w:val="bottom"/>
            <w:gridSpan w:val="17"/>
          </w:tcPr>
          <w:p>
            <w:pPr>
              <w:spacing w:after="0"/>
              <w:rPr>
                <w:sz w:val="20"/>
                <w:szCs w:val="20"/>
                <w:color w:val="auto"/>
              </w:rPr>
            </w:pPr>
            <w:r>
              <w:rPr>
                <w:rFonts w:ascii="Arial" w:cs="Arial" w:eastAsia="Arial" w:hAnsi="Arial"/>
                <w:sz w:val="18"/>
                <w:szCs w:val="18"/>
                <w:color w:val="0000EE"/>
                <w:w w:val="99"/>
              </w:rPr>
              <w:t>Principal Accountant Fees and Services</w:t>
            </w:r>
          </w:p>
        </w:tc>
        <w:tc>
          <w:tcPr>
            <w:tcW w:w="1220" w:type="dxa"/>
            <w:vAlign w:val="bottom"/>
            <w:gridSpan w:val="5"/>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0000EE"/>
              </w:rPr>
              <w:t>31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80" w:type="dxa"/>
            <w:vAlign w:val="bottom"/>
          </w:tcPr>
          <w:p>
            <w:pPr>
              <w:spacing w:after="0"/>
              <w:rPr>
                <w:sz w:val="24"/>
                <w:szCs w:val="24"/>
                <w:color w:val="auto"/>
              </w:rPr>
            </w:pPr>
          </w:p>
        </w:tc>
        <w:tc>
          <w:tcPr>
            <w:tcW w:w="4660" w:type="dxa"/>
            <w:vAlign w:val="bottom"/>
            <w:gridSpan w:val="25"/>
          </w:tcPr>
          <w:p>
            <w:pPr>
              <w:spacing w:after="0"/>
              <w:rPr>
                <w:sz w:val="20"/>
                <w:szCs w:val="20"/>
                <w:color w:val="auto"/>
              </w:rPr>
            </w:pPr>
            <w:r>
              <w:rPr>
                <w:rFonts w:ascii="Arial" w:cs="Arial" w:eastAsia="Arial" w:hAnsi="Arial"/>
                <w:sz w:val="18"/>
                <w:szCs w:val="18"/>
                <w:color w:val="0000EE"/>
                <w:w w:val="99"/>
              </w:rPr>
              <w:t>Vote Required; Recommendation of the Board of Directors</w:t>
            </w:r>
          </w:p>
        </w:tc>
        <w:tc>
          <w:tcPr>
            <w:tcW w:w="3980" w:type="dxa"/>
            <w:vAlign w:val="bottom"/>
            <w:gridSpan w:val="12"/>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0000EE"/>
              </w:rPr>
              <w:t>32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860" w:type="dxa"/>
            <w:vAlign w:val="bottom"/>
            <w:tcBorders>
              <w:right w:val="single" w:sz="8" w:color="0000EE"/>
            </w:tcBorders>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580" w:type="dxa"/>
            <w:vAlign w:val="bottom"/>
            <w:tcBorders>
              <w:bottom w:val="single" w:sz="8" w:color="0000EE"/>
            </w:tcBorders>
            <w:gridSpan w:val="34"/>
          </w:tcPr>
          <w:p>
            <w:pPr>
              <w:spacing w:after="0"/>
              <w:rPr>
                <w:sz w:val="20"/>
                <w:szCs w:val="20"/>
                <w:color w:val="auto"/>
              </w:rPr>
            </w:pPr>
            <w:r>
              <w:rPr>
                <w:rFonts w:ascii="Arial" w:cs="Arial" w:eastAsia="Arial" w:hAnsi="Arial"/>
                <w:sz w:val="20"/>
                <w:szCs w:val="20"/>
                <w:b w:val="1"/>
                <w:bCs w:val="1"/>
                <w:color w:val="0000EE"/>
                <w:w w:val="98"/>
              </w:rPr>
              <w:t>Proposal 3: Approval of an Amendment to the Company’s Restated Certificate of</w:t>
            </w:r>
          </w:p>
        </w:tc>
        <w:tc>
          <w:tcPr>
            <w:tcW w:w="124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20" w:type="dxa"/>
            <w:vAlign w:val="bottom"/>
            <w:gridSpan w:val="38"/>
          </w:tcPr>
          <w:p>
            <w:pPr>
              <w:spacing w:after="0" w:line="196" w:lineRule="exact"/>
              <w:rPr>
                <w:sz w:val="20"/>
                <w:szCs w:val="20"/>
                <w:color w:val="auto"/>
              </w:rPr>
            </w:pPr>
            <w:r>
              <w:rPr>
                <w:rFonts w:ascii="Arial" w:cs="Arial" w:eastAsia="Arial" w:hAnsi="Arial"/>
                <w:sz w:val="20"/>
                <w:szCs w:val="20"/>
                <w:b w:val="1"/>
                <w:bCs w:val="1"/>
                <w:color w:val="0000EE"/>
              </w:rPr>
              <w:t>Incorporation to Give Holders of 25% of the Company’s Stock the Right to Request a Special</w:t>
            </w:r>
          </w:p>
        </w:tc>
        <w:tc>
          <w:tcPr>
            <w:tcW w:w="3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0000EE"/>
              </w:rPr>
              <w:t>33</w:t>
            </w:r>
          </w:p>
        </w:tc>
        <w:tc>
          <w:tcPr>
            <w:tcW w:w="0" w:type="dxa"/>
            <w:vAlign w:val="bottom"/>
          </w:tcPr>
          <w:p>
            <w:pPr>
              <w:spacing w:after="0"/>
              <w:rPr>
                <w:sz w:val="1"/>
                <w:szCs w:val="1"/>
                <w:color w:val="auto"/>
              </w:rPr>
            </w:pPr>
          </w:p>
        </w:tc>
      </w:tr>
      <w:tr>
        <w:trPr>
          <w:trHeight w:val="196"/>
        </w:trPr>
        <w:tc>
          <w:tcPr>
            <w:tcW w:w="4580" w:type="dxa"/>
            <w:vAlign w:val="bottom"/>
            <w:tcBorders>
              <w:top w:val="single" w:sz="8" w:color="0000EE"/>
            </w:tcBorders>
            <w:gridSpan w:val="23"/>
          </w:tcPr>
          <w:p>
            <w:pPr>
              <w:spacing w:after="0" w:line="196" w:lineRule="exact"/>
              <w:rPr>
                <w:sz w:val="20"/>
                <w:szCs w:val="20"/>
                <w:color w:val="auto"/>
              </w:rPr>
            </w:pPr>
            <w:r>
              <w:rPr>
                <w:rFonts w:ascii="Arial" w:cs="Arial" w:eastAsia="Arial" w:hAnsi="Arial"/>
                <w:sz w:val="20"/>
                <w:szCs w:val="20"/>
                <w:b w:val="1"/>
                <w:bCs w:val="1"/>
                <w:color w:val="0000EE"/>
              </w:rPr>
              <w:t>Meeting</w:t>
            </w: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80" w:type="dxa"/>
            <w:vAlign w:val="bottom"/>
            <w:tcBorders>
              <w:top w:val="single" w:sz="8" w:color="0000EE"/>
              <w:bottom w:val="single" w:sz="8" w:color="auto"/>
            </w:tcBorders>
          </w:tcPr>
          <w:p>
            <w:pPr>
              <w:spacing w:after="0"/>
              <w:rPr>
                <w:sz w:val="5"/>
                <w:szCs w:val="5"/>
                <w:color w:val="auto"/>
              </w:rPr>
            </w:pPr>
          </w:p>
        </w:tc>
        <w:tc>
          <w:tcPr>
            <w:tcW w:w="560" w:type="dxa"/>
            <w:vAlign w:val="bottom"/>
            <w:tcBorders>
              <w:top w:val="single" w:sz="8" w:color="0000EE"/>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8640" w:type="dxa"/>
            <w:vAlign w:val="bottom"/>
            <w:gridSpan w:val="37"/>
          </w:tcPr>
          <w:p>
            <w:pPr>
              <w:spacing w:after="0"/>
              <w:rPr>
                <w:sz w:val="20"/>
                <w:szCs w:val="20"/>
                <w:color w:val="auto"/>
              </w:rPr>
            </w:pPr>
            <w:r>
              <w:rPr>
                <w:rFonts w:ascii="Arial" w:cs="Arial" w:eastAsia="Arial" w:hAnsi="Arial"/>
                <w:sz w:val="18"/>
                <w:szCs w:val="18"/>
                <w:color w:val="0000EE"/>
              </w:rPr>
              <w:t>Vote Required; Recommendation of the Board of Directors</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EE"/>
              </w:rPr>
              <w:t>35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860" w:type="dxa"/>
            <w:vAlign w:val="bottom"/>
            <w:tcBorders>
              <w:right w:val="single" w:sz="8" w:color="0000EE"/>
            </w:tcBorders>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20" w:type="dxa"/>
            <w:vAlign w:val="bottom"/>
            <w:gridSpan w:val="38"/>
          </w:tcPr>
          <w:p>
            <w:pPr>
              <w:spacing w:after="0"/>
              <w:rPr>
                <w:sz w:val="20"/>
                <w:szCs w:val="20"/>
                <w:color w:val="auto"/>
              </w:rPr>
            </w:pPr>
            <w:r>
              <w:rPr>
                <w:rFonts w:ascii="Arial" w:cs="Arial" w:eastAsia="Arial" w:hAnsi="Arial"/>
                <w:sz w:val="20"/>
                <w:szCs w:val="20"/>
                <w:b w:val="1"/>
                <w:bCs w:val="1"/>
                <w:color w:val="0000EE"/>
              </w:rPr>
              <w:t>Proposal 4: Non-Binding Advisory Vote to Approve Executive Compensation</w:t>
            </w: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0000EE"/>
              </w:rPr>
              <w:t>36</w:t>
            </w:r>
          </w:p>
        </w:tc>
        <w:tc>
          <w:tcPr>
            <w:tcW w:w="0" w:type="dxa"/>
            <w:vAlign w:val="bottom"/>
          </w:tcPr>
          <w:p>
            <w:pPr>
              <w:spacing w:after="0"/>
              <w:rPr>
                <w:sz w:val="1"/>
                <w:szCs w:val="1"/>
                <w:color w:val="auto"/>
              </w:rPr>
            </w:pPr>
          </w:p>
        </w:tc>
      </w:tr>
      <w:tr>
        <w:trPr>
          <w:trHeight w:val="61"/>
        </w:trPr>
        <w:tc>
          <w:tcPr>
            <w:tcW w:w="180" w:type="dxa"/>
            <w:vAlign w:val="bottom"/>
            <w:tcBorders>
              <w:top w:val="single" w:sz="8" w:color="0000EE"/>
              <w:bottom w:val="single" w:sz="8" w:color="auto"/>
            </w:tcBorders>
          </w:tcPr>
          <w:p>
            <w:pPr>
              <w:spacing w:after="0"/>
              <w:rPr>
                <w:sz w:val="5"/>
                <w:szCs w:val="5"/>
                <w:color w:val="auto"/>
              </w:rPr>
            </w:pPr>
          </w:p>
        </w:tc>
        <w:tc>
          <w:tcPr>
            <w:tcW w:w="5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68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58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1320" w:type="dxa"/>
            <w:vAlign w:val="bottom"/>
            <w:tcBorders>
              <w:top w:val="single" w:sz="8" w:color="0000EE"/>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660" w:type="dxa"/>
            <w:vAlign w:val="bottom"/>
            <w:gridSpan w:val="25"/>
          </w:tcPr>
          <w:p>
            <w:pPr>
              <w:spacing w:after="0"/>
              <w:rPr>
                <w:sz w:val="20"/>
                <w:szCs w:val="20"/>
                <w:color w:val="auto"/>
              </w:rPr>
            </w:pPr>
            <w:r>
              <w:rPr>
                <w:rFonts w:ascii="Arial" w:cs="Arial" w:eastAsia="Arial" w:hAnsi="Arial"/>
                <w:sz w:val="18"/>
                <w:szCs w:val="18"/>
                <w:color w:val="0000EE"/>
                <w:w w:val="99"/>
              </w:rPr>
              <w:t>Vote Required; Recommendation of the Board of Directors</w:t>
            </w:r>
          </w:p>
        </w:tc>
        <w:tc>
          <w:tcPr>
            <w:tcW w:w="3980" w:type="dxa"/>
            <w:vAlign w:val="bottom"/>
            <w:gridSpan w:val="12"/>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0000EE"/>
              </w:rPr>
              <w:t>36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860" w:type="dxa"/>
            <w:vAlign w:val="bottom"/>
            <w:tcBorders>
              <w:right w:val="single" w:sz="8" w:color="0000EE"/>
            </w:tcBorders>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820" w:type="dxa"/>
            <w:vAlign w:val="bottom"/>
            <w:gridSpan w:val="38"/>
          </w:tcPr>
          <w:p>
            <w:pPr>
              <w:spacing w:after="0"/>
              <w:rPr>
                <w:sz w:val="20"/>
                <w:szCs w:val="20"/>
                <w:color w:val="auto"/>
              </w:rPr>
            </w:pPr>
            <w:r>
              <w:rPr>
                <w:rFonts w:ascii="Arial" w:cs="Arial" w:eastAsia="Arial" w:hAnsi="Arial"/>
                <w:sz w:val="20"/>
                <w:szCs w:val="20"/>
                <w:b w:val="1"/>
                <w:bCs w:val="1"/>
                <w:color w:val="0000EE"/>
              </w:rPr>
              <w:t>Proposal 5: Approval of an Amendment and Restatement of the Employee Stock Purchase</w:t>
            </w:r>
          </w:p>
        </w:tc>
        <w:tc>
          <w:tcPr>
            <w:tcW w:w="3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0000EE"/>
              </w:rPr>
              <w:t>37</w:t>
            </w:r>
          </w:p>
        </w:tc>
        <w:tc>
          <w:tcPr>
            <w:tcW w:w="0" w:type="dxa"/>
            <w:vAlign w:val="bottom"/>
          </w:tcPr>
          <w:p>
            <w:pPr>
              <w:spacing w:after="0"/>
              <w:rPr>
                <w:sz w:val="1"/>
                <w:szCs w:val="1"/>
                <w:color w:val="auto"/>
              </w:rPr>
            </w:pPr>
          </w:p>
        </w:tc>
      </w:tr>
      <w:tr>
        <w:trPr>
          <w:trHeight w:val="196"/>
        </w:trPr>
        <w:tc>
          <w:tcPr>
            <w:tcW w:w="8480" w:type="dxa"/>
            <w:vAlign w:val="bottom"/>
            <w:tcBorders>
              <w:top w:val="single" w:sz="8" w:color="0000EE"/>
            </w:tcBorders>
            <w:gridSpan w:val="36"/>
          </w:tcPr>
          <w:p>
            <w:pPr>
              <w:spacing w:after="0" w:line="196" w:lineRule="exact"/>
              <w:rPr>
                <w:sz w:val="20"/>
                <w:szCs w:val="20"/>
                <w:color w:val="auto"/>
              </w:rPr>
            </w:pPr>
            <w:r>
              <w:rPr>
                <w:rFonts w:ascii="Arial" w:cs="Arial" w:eastAsia="Arial" w:hAnsi="Arial"/>
                <w:sz w:val="20"/>
                <w:szCs w:val="20"/>
                <w:b w:val="1"/>
                <w:bCs w:val="1"/>
                <w:color w:val="0000EE"/>
              </w:rPr>
              <w:t>Plan to Increase Plan Shares Reserved for Issuance</w:t>
            </w:r>
          </w:p>
        </w:tc>
        <w:tc>
          <w:tcPr>
            <w:tcW w:w="340" w:type="dxa"/>
            <w:vAlign w:val="bottom"/>
            <w:gridSpan w:val="2"/>
          </w:tcPr>
          <w:p>
            <w:pPr>
              <w:spacing w:after="0"/>
              <w:rPr>
                <w:sz w:val="17"/>
                <w:szCs w:val="17"/>
                <w:color w:val="auto"/>
              </w:rPr>
            </w:pPr>
          </w:p>
        </w:tc>
        <w:tc>
          <w:tcPr>
            <w:tcW w:w="3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80" w:type="dxa"/>
            <w:vAlign w:val="bottom"/>
            <w:tcBorders>
              <w:top w:val="single" w:sz="8" w:color="0000EE"/>
              <w:bottom w:val="single" w:sz="8" w:color="auto"/>
            </w:tcBorders>
          </w:tcPr>
          <w:p>
            <w:pPr>
              <w:spacing w:after="0"/>
              <w:rPr>
                <w:sz w:val="5"/>
                <w:szCs w:val="5"/>
                <w:color w:val="auto"/>
              </w:rPr>
            </w:pPr>
          </w:p>
        </w:tc>
        <w:tc>
          <w:tcPr>
            <w:tcW w:w="5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68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8640" w:type="dxa"/>
            <w:vAlign w:val="bottom"/>
            <w:gridSpan w:val="37"/>
          </w:tcPr>
          <w:p>
            <w:pPr>
              <w:spacing w:after="0"/>
              <w:rPr>
                <w:sz w:val="20"/>
                <w:szCs w:val="20"/>
                <w:color w:val="auto"/>
              </w:rPr>
            </w:pPr>
            <w:r>
              <w:rPr>
                <w:rFonts w:ascii="Arial" w:cs="Arial" w:eastAsia="Arial" w:hAnsi="Arial"/>
                <w:sz w:val="18"/>
                <w:szCs w:val="18"/>
                <w:color w:val="0000EE"/>
              </w:rPr>
              <w:t>Vote Required: Recommendation of the Board of Directors</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EE"/>
              </w:rPr>
              <w:t>39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860" w:type="dxa"/>
            <w:vAlign w:val="bottom"/>
            <w:tcBorders>
              <w:right w:val="single" w:sz="8" w:color="0000EE"/>
            </w:tcBorders>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20" w:type="dxa"/>
            <w:vAlign w:val="bottom"/>
            <w:gridSpan w:val="38"/>
          </w:tcPr>
          <w:p>
            <w:pPr>
              <w:spacing w:after="0"/>
              <w:rPr>
                <w:sz w:val="20"/>
                <w:szCs w:val="20"/>
                <w:color w:val="auto"/>
              </w:rPr>
            </w:pPr>
            <w:r>
              <w:rPr>
                <w:rFonts w:ascii="Arial" w:cs="Arial" w:eastAsia="Arial" w:hAnsi="Arial"/>
                <w:sz w:val="20"/>
                <w:szCs w:val="20"/>
                <w:b w:val="1"/>
                <w:bCs w:val="1"/>
                <w:color w:val="0000EE"/>
              </w:rPr>
              <w:t>Proposal 6: Approval of the Pitney Bowes Inc. 2024 Stock Plan</w:t>
            </w: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0000EE"/>
              </w:rPr>
              <w:t>40</w:t>
            </w:r>
          </w:p>
        </w:tc>
        <w:tc>
          <w:tcPr>
            <w:tcW w:w="0" w:type="dxa"/>
            <w:vAlign w:val="bottom"/>
          </w:tcPr>
          <w:p>
            <w:pPr>
              <w:spacing w:after="0"/>
              <w:rPr>
                <w:sz w:val="1"/>
                <w:szCs w:val="1"/>
                <w:color w:val="auto"/>
              </w:rPr>
            </w:pPr>
          </w:p>
        </w:tc>
      </w:tr>
      <w:tr>
        <w:trPr>
          <w:trHeight w:val="61"/>
        </w:trPr>
        <w:tc>
          <w:tcPr>
            <w:tcW w:w="180" w:type="dxa"/>
            <w:vAlign w:val="bottom"/>
            <w:tcBorders>
              <w:top w:val="single" w:sz="8" w:color="0000EE"/>
              <w:bottom w:val="single" w:sz="8" w:color="auto"/>
            </w:tcBorders>
          </w:tcPr>
          <w:p>
            <w:pPr>
              <w:spacing w:after="0"/>
              <w:rPr>
                <w:sz w:val="5"/>
                <w:szCs w:val="5"/>
                <w:color w:val="auto"/>
              </w:rPr>
            </w:pPr>
          </w:p>
        </w:tc>
        <w:tc>
          <w:tcPr>
            <w:tcW w:w="5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68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58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8640" w:type="dxa"/>
            <w:vAlign w:val="bottom"/>
            <w:gridSpan w:val="37"/>
          </w:tcPr>
          <w:p>
            <w:pPr>
              <w:spacing w:after="0"/>
              <w:rPr>
                <w:sz w:val="20"/>
                <w:szCs w:val="20"/>
                <w:color w:val="auto"/>
              </w:rPr>
            </w:pPr>
            <w:r>
              <w:rPr>
                <w:rFonts w:ascii="Arial" w:cs="Arial" w:eastAsia="Arial" w:hAnsi="Arial"/>
                <w:sz w:val="18"/>
                <w:szCs w:val="18"/>
                <w:color w:val="0000EE"/>
              </w:rPr>
              <w:t>Vote Required: Recommendation of the Board of Directors</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EE"/>
              </w:rPr>
              <w:t>48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860" w:type="dxa"/>
            <w:vAlign w:val="bottom"/>
            <w:tcBorders>
              <w:right w:val="single" w:sz="8" w:color="0000EE"/>
            </w:tcBorders>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580" w:type="dxa"/>
            <w:vAlign w:val="bottom"/>
            <w:gridSpan w:val="23"/>
          </w:tcPr>
          <w:p>
            <w:pPr>
              <w:spacing w:after="0"/>
              <w:rPr>
                <w:sz w:val="20"/>
                <w:szCs w:val="20"/>
                <w:color w:val="auto"/>
              </w:rPr>
            </w:pPr>
            <w:r>
              <w:rPr>
                <w:rFonts w:ascii="Arial" w:cs="Arial" w:eastAsia="Arial" w:hAnsi="Arial"/>
                <w:sz w:val="20"/>
                <w:szCs w:val="20"/>
                <w:b w:val="1"/>
                <w:bCs w:val="1"/>
                <w:color w:val="0000EE"/>
              </w:rPr>
              <w:t>Equity Compensation Plan Information</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0000EE"/>
              </w:rPr>
              <w:t>49</w:t>
            </w:r>
          </w:p>
        </w:tc>
        <w:tc>
          <w:tcPr>
            <w:tcW w:w="0" w:type="dxa"/>
            <w:vAlign w:val="bottom"/>
          </w:tcPr>
          <w:p>
            <w:pPr>
              <w:spacing w:after="0"/>
              <w:rPr>
                <w:sz w:val="1"/>
                <w:szCs w:val="1"/>
                <w:color w:val="auto"/>
              </w:rPr>
            </w:pPr>
          </w:p>
        </w:tc>
      </w:tr>
      <w:tr>
        <w:trPr>
          <w:trHeight w:val="61"/>
        </w:trPr>
        <w:tc>
          <w:tcPr>
            <w:tcW w:w="180" w:type="dxa"/>
            <w:vAlign w:val="bottom"/>
            <w:tcBorders>
              <w:top w:val="single" w:sz="8" w:color="0000EE"/>
              <w:bottom w:val="single" w:sz="8" w:color="auto"/>
            </w:tcBorders>
          </w:tcPr>
          <w:p>
            <w:pPr>
              <w:spacing w:after="0"/>
              <w:rPr>
                <w:sz w:val="5"/>
                <w:szCs w:val="5"/>
                <w:color w:val="auto"/>
              </w:rPr>
            </w:pPr>
          </w:p>
        </w:tc>
        <w:tc>
          <w:tcPr>
            <w:tcW w:w="5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820" w:type="dxa"/>
            <w:vAlign w:val="bottom"/>
            <w:gridSpan w:val="38"/>
          </w:tcPr>
          <w:p>
            <w:pPr>
              <w:spacing w:after="0"/>
              <w:rPr>
                <w:sz w:val="20"/>
                <w:szCs w:val="20"/>
                <w:color w:val="auto"/>
              </w:rPr>
            </w:pPr>
            <w:r>
              <w:rPr>
                <w:rFonts w:ascii="Arial" w:cs="Arial" w:eastAsia="Arial" w:hAnsi="Arial"/>
                <w:sz w:val="20"/>
                <w:szCs w:val="20"/>
                <w:b w:val="1"/>
                <w:bCs w:val="1"/>
                <w:color w:val="0000EE"/>
              </w:rPr>
              <w:t>Report of the Executive Compensation Committee</w:t>
            </w: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0000EE"/>
              </w:rPr>
              <w:t>50</w:t>
            </w:r>
          </w:p>
        </w:tc>
        <w:tc>
          <w:tcPr>
            <w:tcW w:w="0" w:type="dxa"/>
            <w:vAlign w:val="bottom"/>
          </w:tcPr>
          <w:p>
            <w:pPr>
              <w:spacing w:after="0"/>
              <w:rPr>
                <w:sz w:val="1"/>
                <w:szCs w:val="1"/>
                <w:color w:val="auto"/>
              </w:rPr>
            </w:pPr>
          </w:p>
        </w:tc>
      </w:tr>
      <w:tr>
        <w:trPr>
          <w:trHeight w:val="61"/>
        </w:trPr>
        <w:tc>
          <w:tcPr>
            <w:tcW w:w="180" w:type="dxa"/>
            <w:vAlign w:val="bottom"/>
            <w:tcBorders>
              <w:top w:val="single" w:sz="8" w:color="0000EE"/>
              <w:bottom w:val="single" w:sz="8" w:color="auto"/>
            </w:tcBorders>
          </w:tcPr>
          <w:p>
            <w:pPr>
              <w:spacing w:after="0"/>
              <w:rPr>
                <w:sz w:val="5"/>
                <w:szCs w:val="5"/>
                <w:color w:val="auto"/>
              </w:rPr>
            </w:pPr>
          </w:p>
        </w:tc>
        <w:tc>
          <w:tcPr>
            <w:tcW w:w="5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68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580" w:type="dxa"/>
            <w:vAlign w:val="bottom"/>
            <w:gridSpan w:val="23"/>
          </w:tcPr>
          <w:p>
            <w:pPr>
              <w:spacing w:after="0"/>
              <w:rPr>
                <w:sz w:val="20"/>
                <w:szCs w:val="20"/>
                <w:color w:val="auto"/>
              </w:rPr>
            </w:pPr>
            <w:r>
              <w:rPr>
                <w:rFonts w:ascii="Arial" w:cs="Arial" w:eastAsia="Arial" w:hAnsi="Arial"/>
                <w:sz w:val="20"/>
                <w:szCs w:val="20"/>
                <w:b w:val="1"/>
                <w:bCs w:val="1"/>
                <w:color w:val="0000EE"/>
              </w:rPr>
              <w:t>2023 Named Executive Officers (NEOs)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0000EE"/>
              </w:rPr>
              <w:t>51</w:t>
            </w:r>
          </w:p>
        </w:tc>
        <w:tc>
          <w:tcPr>
            <w:tcW w:w="0" w:type="dxa"/>
            <w:vAlign w:val="bottom"/>
          </w:tcPr>
          <w:p>
            <w:pPr>
              <w:spacing w:after="0"/>
              <w:rPr>
                <w:sz w:val="1"/>
                <w:szCs w:val="1"/>
                <w:color w:val="auto"/>
              </w:rPr>
            </w:pPr>
          </w:p>
        </w:tc>
      </w:tr>
      <w:tr>
        <w:trPr>
          <w:trHeight w:val="61"/>
        </w:trPr>
        <w:tc>
          <w:tcPr>
            <w:tcW w:w="180" w:type="dxa"/>
            <w:vAlign w:val="bottom"/>
            <w:tcBorders>
              <w:top w:val="single" w:sz="8" w:color="0000EE"/>
              <w:bottom w:val="single" w:sz="8" w:color="auto"/>
            </w:tcBorders>
          </w:tcPr>
          <w:p>
            <w:pPr>
              <w:spacing w:after="0"/>
              <w:rPr>
                <w:sz w:val="5"/>
                <w:szCs w:val="5"/>
                <w:color w:val="auto"/>
              </w:rPr>
            </w:pPr>
          </w:p>
        </w:tc>
        <w:tc>
          <w:tcPr>
            <w:tcW w:w="5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580" w:type="dxa"/>
            <w:vAlign w:val="bottom"/>
            <w:gridSpan w:val="23"/>
          </w:tcPr>
          <w:p>
            <w:pPr>
              <w:spacing w:after="0"/>
              <w:rPr>
                <w:sz w:val="20"/>
                <w:szCs w:val="20"/>
                <w:color w:val="auto"/>
              </w:rPr>
            </w:pPr>
            <w:r>
              <w:rPr>
                <w:rFonts w:ascii="Arial" w:cs="Arial" w:eastAsia="Arial" w:hAnsi="Arial"/>
                <w:sz w:val="20"/>
                <w:szCs w:val="20"/>
                <w:b w:val="1"/>
                <w:bCs w:val="1"/>
                <w:color w:val="0000EE"/>
              </w:rPr>
              <w:t>Compensation Discussion and Analysis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0000EE"/>
              </w:rPr>
              <w:t>53</w:t>
            </w:r>
          </w:p>
        </w:tc>
        <w:tc>
          <w:tcPr>
            <w:tcW w:w="0" w:type="dxa"/>
            <w:vAlign w:val="bottom"/>
          </w:tcPr>
          <w:p>
            <w:pPr>
              <w:spacing w:after="0"/>
              <w:rPr>
                <w:sz w:val="1"/>
                <w:szCs w:val="1"/>
                <w:color w:val="auto"/>
              </w:rPr>
            </w:pPr>
          </w:p>
        </w:tc>
      </w:tr>
      <w:tr>
        <w:trPr>
          <w:trHeight w:val="61"/>
        </w:trPr>
        <w:tc>
          <w:tcPr>
            <w:tcW w:w="180" w:type="dxa"/>
            <w:vAlign w:val="bottom"/>
            <w:tcBorders>
              <w:top w:val="single" w:sz="8" w:color="0000EE"/>
              <w:bottom w:val="single" w:sz="8" w:color="auto"/>
            </w:tcBorders>
          </w:tcPr>
          <w:p>
            <w:pPr>
              <w:spacing w:after="0"/>
              <w:rPr>
                <w:sz w:val="5"/>
                <w:szCs w:val="5"/>
                <w:color w:val="auto"/>
              </w:rPr>
            </w:pPr>
          </w:p>
        </w:tc>
        <w:tc>
          <w:tcPr>
            <w:tcW w:w="5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580" w:type="dxa"/>
            <w:vAlign w:val="bottom"/>
            <w:gridSpan w:val="23"/>
          </w:tcPr>
          <w:p>
            <w:pPr>
              <w:spacing w:after="0"/>
              <w:rPr>
                <w:sz w:val="20"/>
                <w:szCs w:val="20"/>
                <w:color w:val="auto"/>
              </w:rPr>
            </w:pPr>
            <w:r>
              <w:rPr>
                <w:rFonts w:ascii="Arial" w:cs="Arial" w:eastAsia="Arial" w:hAnsi="Arial"/>
                <w:sz w:val="20"/>
                <w:szCs w:val="20"/>
                <w:b w:val="1"/>
                <w:bCs w:val="1"/>
                <w:color w:val="0000EE"/>
              </w:rPr>
              <w:t>Other Policies and Guidelines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0000EE"/>
              </w:rPr>
              <w:t>73</w:t>
            </w:r>
          </w:p>
        </w:tc>
        <w:tc>
          <w:tcPr>
            <w:tcW w:w="0" w:type="dxa"/>
            <w:vAlign w:val="bottom"/>
          </w:tcPr>
          <w:p>
            <w:pPr>
              <w:spacing w:after="0"/>
              <w:rPr>
                <w:sz w:val="1"/>
                <w:szCs w:val="1"/>
                <w:color w:val="auto"/>
              </w:rPr>
            </w:pPr>
          </w:p>
        </w:tc>
      </w:tr>
      <w:tr>
        <w:trPr>
          <w:trHeight w:val="61"/>
        </w:trPr>
        <w:tc>
          <w:tcPr>
            <w:tcW w:w="180" w:type="dxa"/>
            <w:vAlign w:val="bottom"/>
            <w:tcBorders>
              <w:top w:val="single" w:sz="8" w:color="0000EE"/>
              <w:bottom w:val="single" w:sz="8" w:color="auto"/>
            </w:tcBorders>
          </w:tcPr>
          <w:p>
            <w:pPr>
              <w:spacing w:after="0"/>
              <w:rPr>
                <w:sz w:val="5"/>
                <w:szCs w:val="5"/>
                <w:color w:val="auto"/>
              </w:rPr>
            </w:pPr>
          </w:p>
        </w:tc>
        <w:tc>
          <w:tcPr>
            <w:tcW w:w="5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820" w:type="dxa"/>
            <w:vAlign w:val="bottom"/>
            <w:gridSpan w:val="38"/>
          </w:tcPr>
          <w:p>
            <w:pPr>
              <w:spacing w:after="0"/>
              <w:rPr>
                <w:sz w:val="20"/>
                <w:szCs w:val="20"/>
                <w:color w:val="auto"/>
              </w:rPr>
            </w:pPr>
            <w:r>
              <w:rPr>
                <w:rFonts w:ascii="Arial" w:cs="Arial" w:eastAsia="Arial" w:hAnsi="Arial"/>
                <w:sz w:val="20"/>
                <w:szCs w:val="20"/>
                <w:b w:val="1"/>
                <w:bCs w:val="1"/>
                <w:color w:val="0000EE"/>
              </w:rPr>
              <w:t>Executive Compensation Tables and Related Narrative</w:t>
            </w: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0000EE"/>
              </w:rPr>
              <w:t>75</w:t>
            </w:r>
          </w:p>
        </w:tc>
        <w:tc>
          <w:tcPr>
            <w:tcW w:w="0" w:type="dxa"/>
            <w:vAlign w:val="bottom"/>
          </w:tcPr>
          <w:p>
            <w:pPr>
              <w:spacing w:after="0"/>
              <w:rPr>
                <w:sz w:val="1"/>
                <w:szCs w:val="1"/>
                <w:color w:val="auto"/>
              </w:rPr>
            </w:pPr>
          </w:p>
        </w:tc>
      </w:tr>
      <w:tr>
        <w:trPr>
          <w:trHeight w:val="61"/>
        </w:trPr>
        <w:tc>
          <w:tcPr>
            <w:tcW w:w="180" w:type="dxa"/>
            <w:vAlign w:val="bottom"/>
            <w:tcBorders>
              <w:top w:val="single" w:sz="8" w:color="0000EE"/>
              <w:bottom w:val="single" w:sz="8" w:color="auto"/>
            </w:tcBorders>
          </w:tcPr>
          <w:p>
            <w:pPr>
              <w:spacing w:after="0"/>
              <w:rPr>
                <w:sz w:val="5"/>
                <w:szCs w:val="5"/>
                <w:color w:val="auto"/>
              </w:rPr>
            </w:pPr>
          </w:p>
        </w:tc>
        <w:tc>
          <w:tcPr>
            <w:tcW w:w="5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68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580" w:type="dxa"/>
            <w:vAlign w:val="bottom"/>
            <w:gridSpan w:val="23"/>
          </w:tcPr>
          <w:p>
            <w:pPr>
              <w:spacing w:after="0"/>
              <w:rPr>
                <w:sz w:val="20"/>
                <w:szCs w:val="20"/>
                <w:color w:val="auto"/>
              </w:rPr>
            </w:pPr>
            <w:r>
              <w:rPr>
                <w:rFonts w:ascii="Arial" w:cs="Arial" w:eastAsia="Arial" w:hAnsi="Arial"/>
                <w:sz w:val="20"/>
                <w:szCs w:val="20"/>
                <w:b w:val="1"/>
                <w:bCs w:val="1"/>
                <w:color w:val="0000EE"/>
              </w:rPr>
              <w:t>Non-GAAP Measures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0000EE"/>
              </w:rPr>
              <w:t>95</w:t>
            </w:r>
          </w:p>
        </w:tc>
        <w:tc>
          <w:tcPr>
            <w:tcW w:w="0" w:type="dxa"/>
            <w:vAlign w:val="bottom"/>
          </w:tcPr>
          <w:p>
            <w:pPr>
              <w:spacing w:after="0"/>
              <w:rPr>
                <w:sz w:val="1"/>
                <w:szCs w:val="1"/>
                <w:color w:val="auto"/>
              </w:rPr>
            </w:pPr>
          </w:p>
        </w:tc>
      </w:tr>
      <w:tr>
        <w:trPr>
          <w:trHeight w:val="61"/>
        </w:trPr>
        <w:tc>
          <w:tcPr>
            <w:tcW w:w="180" w:type="dxa"/>
            <w:vAlign w:val="bottom"/>
            <w:tcBorders>
              <w:top w:val="single" w:sz="8" w:color="0000EE"/>
              <w:bottom w:val="single" w:sz="8" w:color="auto"/>
            </w:tcBorders>
          </w:tcPr>
          <w:p>
            <w:pPr>
              <w:spacing w:after="0"/>
              <w:rPr>
                <w:sz w:val="5"/>
                <w:szCs w:val="5"/>
                <w:color w:val="auto"/>
              </w:rPr>
            </w:pPr>
          </w:p>
        </w:tc>
        <w:tc>
          <w:tcPr>
            <w:tcW w:w="560" w:type="dxa"/>
            <w:vAlign w:val="bottom"/>
            <w:tcBorders>
              <w:top w:val="single" w:sz="8" w:color="0000EE"/>
              <w:bottom w:val="single" w:sz="8" w:color="auto"/>
            </w:tcBorders>
          </w:tcPr>
          <w:p>
            <w:pPr>
              <w:spacing w:after="0"/>
              <w:rPr>
                <w:sz w:val="5"/>
                <w:szCs w:val="5"/>
                <w:color w:val="auto"/>
              </w:rPr>
            </w:pPr>
          </w:p>
        </w:tc>
        <w:tc>
          <w:tcPr>
            <w:tcW w:w="6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820" w:type="dxa"/>
            <w:vAlign w:val="bottom"/>
            <w:gridSpan w:val="38"/>
          </w:tcPr>
          <w:p>
            <w:pPr>
              <w:spacing w:after="0"/>
              <w:rPr>
                <w:sz w:val="20"/>
                <w:szCs w:val="20"/>
                <w:color w:val="auto"/>
              </w:rPr>
            </w:pPr>
            <w:r>
              <w:rPr>
                <w:rFonts w:ascii="Arial" w:cs="Arial" w:eastAsia="Arial" w:hAnsi="Arial"/>
                <w:sz w:val="20"/>
                <w:szCs w:val="20"/>
                <w:b w:val="1"/>
                <w:bCs w:val="1"/>
                <w:color w:val="0000EE"/>
              </w:rPr>
              <w:t>Compensation Committee Interlocks and Insider Participation</w:t>
            </w: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0000EE"/>
              </w:rPr>
              <w:t>97</w:t>
            </w:r>
          </w:p>
        </w:tc>
        <w:tc>
          <w:tcPr>
            <w:tcW w:w="0" w:type="dxa"/>
            <w:vAlign w:val="bottom"/>
          </w:tcPr>
          <w:p>
            <w:pPr>
              <w:spacing w:after="0"/>
              <w:rPr>
                <w:sz w:val="1"/>
                <w:szCs w:val="1"/>
                <w:color w:val="auto"/>
              </w:rPr>
            </w:pPr>
          </w:p>
        </w:tc>
      </w:tr>
      <w:tr>
        <w:trPr>
          <w:trHeight w:val="115"/>
        </w:trPr>
        <w:tc>
          <w:tcPr>
            <w:tcW w:w="180" w:type="dxa"/>
            <w:vAlign w:val="bottom"/>
            <w:tcBorders>
              <w:top w:val="single" w:sz="8" w:color="0000EE"/>
              <w:bottom w:val="single" w:sz="8" w:color="auto"/>
            </w:tcBorders>
          </w:tcPr>
          <w:p>
            <w:pPr>
              <w:spacing w:after="0"/>
              <w:rPr>
                <w:sz w:val="10"/>
                <w:szCs w:val="10"/>
                <w:color w:val="auto"/>
              </w:rPr>
            </w:pPr>
          </w:p>
        </w:tc>
        <w:tc>
          <w:tcPr>
            <w:tcW w:w="560" w:type="dxa"/>
            <w:vAlign w:val="bottom"/>
            <w:tcBorders>
              <w:top w:val="single" w:sz="8" w:color="0000EE"/>
              <w:bottom w:val="single" w:sz="8" w:color="auto"/>
            </w:tcBorders>
          </w:tcPr>
          <w:p>
            <w:pPr>
              <w:spacing w:after="0"/>
              <w:rPr>
                <w:sz w:val="10"/>
                <w:szCs w:val="10"/>
                <w:color w:val="auto"/>
              </w:rPr>
            </w:pPr>
          </w:p>
        </w:tc>
        <w:tc>
          <w:tcPr>
            <w:tcW w:w="60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40" w:type="dxa"/>
            <w:vAlign w:val="bottom"/>
            <w:tcBorders>
              <w:top w:val="single" w:sz="8" w:color="0000EE"/>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60" w:type="dxa"/>
            <w:vAlign w:val="bottom"/>
            <w:tcBorders>
              <w:top w:val="single" w:sz="8" w:color="0000EE"/>
              <w:bottom w:val="single" w:sz="8" w:color="auto"/>
            </w:tcBorders>
          </w:tcPr>
          <w:p>
            <w:pPr>
              <w:spacing w:after="0"/>
              <w:rPr>
                <w:sz w:val="10"/>
                <w:szCs w:val="10"/>
                <w:color w:val="auto"/>
              </w:rPr>
            </w:pPr>
          </w:p>
        </w:tc>
        <w:tc>
          <w:tcPr>
            <w:tcW w:w="60" w:type="dxa"/>
            <w:vAlign w:val="bottom"/>
            <w:tcBorders>
              <w:top w:val="single" w:sz="8" w:color="0000EE"/>
              <w:bottom w:val="single" w:sz="8" w:color="auto"/>
            </w:tcBorders>
          </w:tcPr>
          <w:p>
            <w:pPr>
              <w:spacing w:after="0"/>
              <w:rPr>
                <w:sz w:val="10"/>
                <w:szCs w:val="10"/>
                <w:color w:val="auto"/>
              </w:rPr>
            </w:pPr>
          </w:p>
        </w:tc>
        <w:tc>
          <w:tcPr>
            <w:tcW w:w="600" w:type="dxa"/>
            <w:vAlign w:val="bottom"/>
            <w:tcBorders>
              <w:top w:val="single" w:sz="8" w:color="0000EE"/>
              <w:bottom w:val="single" w:sz="8" w:color="auto"/>
            </w:tcBorders>
          </w:tcPr>
          <w:p>
            <w:pPr>
              <w:spacing w:after="0"/>
              <w:rPr>
                <w:sz w:val="10"/>
                <w:szCs w:val="10"/>
                <w:color w:val="auto"/>
              </w:rPr>
            </w:pPr>
          </w:p>
        </w:tc>
        <w:tc>
          <w:tcPr>
            <w:tcW w:w="60" w:type="dxa"/>
            <w:vAlign w:val="bottom"/>
            <w:tcBorders>
              <w:top w:val="single" w:sz="8" w:color="0000EE"/>
              <w:bottom w:val="single" w:sz="8" w:color="auto"/>
            </w:tcBorders>
          </w:tcPr>
          <w:p>
            <w:pPr>
              <w:spacing w:after="0"/>
              <w:rPr>
                <w:sz w:val="10"/>
                <w:szCs w:val="10"/>
                <w:color w:val="auto"/>
              </w:rPr>
            </w:pPr>
          </w:p>
        </w:tc>
        <w:tc>
          <w:tcPr>
            <w:tcW w:w="20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6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60" w:type="dxa"/>
            <w:vAlign w:val="bottom"/>
            <w:tcBorders>
              <w:top w:val="single" w:sz="8" w:color="0000EE"/>
              <w:bottom w:val="single" w:sz="8" w:color="auto"/>
            </w:tcBorders>
          </w:tcPr>
          <w:p>
            <w:pPr>
              <w:spacing w:after="0"/>
              <w:rPr>
                <w:sz w:val="10"/>
                <w:szCs w:val="10"/>
                <w:color w:val="auto"/>
              </w:rPr>
            </w:pPr>
          </w:p>
        </w:tc>
        <w:tc>
          <w:tcPr>
            <w:tcW w:w="300" w:type="dxa"/>
            <w:vAlign w:val="bottom"/>
            <w:tcBorders>
              <w:top w:val="single" w:sz="8" w:color="0000EE"/>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40" w:type="dxa"/>
            <w:vAlign w:val="bottom"/>
            <w:tcBorders>
              <w:top w:val="single" w:sz="8" w:color="0000EE"/>
              <w:bottom w:val="single" w:sz="8" w:color="auto"/>
            </w:tcBorders>
          </w:tcPr>
          <w:p>
            <w:pPr>
              <w:spacing w:after="0"/>
              <w:rPr>
                <w:sz w:val="10"/>
                <w:szCs w:val="10"/>
                <w:color w:val="auto"/>
              </w:rPr>
            </w:pPr>
          </w:p>
        </w:tc>
        <w:tc>
          <w:tcPr>
            <w:tcW w:w="680" w:type="dxa"/>
            <w:vAlign w:val="bottom"/>
            <w:tcBorders>
              <w:top w:val="single" w:sz="8" w:color="0000EE"/>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58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ectPr>
          <w:pgSz w:w="11900" w:h="16879" w:orient="portrait"/>
          <w:cols w:equalWidth="0" w:num="1">
            <w:col w:w="9180"/>
          </w:cols>
          <w:pgMar w:left="1360" w:top="114" w:right="1359" w:bottom="0" w:gutter="0" w:footer="0" w:header="0"/>
        </w:sectPr>
      </w:pPr>
    </w:p>
    <w:p>
      <w:pPr>
        <w:jc w:val="center"/>
        <w:spacing w:after="0"/>
        <w:rPr>
          <w:sz w:val="20"/>
          <w:szCs w:val="20"/>
          <w:color w:val="auto"/>
        </w:rPr>
      </w:pPr>
      <w:r>
        <w:rPr>
          <w:rFonts w:ascii="Arial" w:cs="Arial" w:eastAsia="Arial" w:hAnsi="Arial"/>
          <w:sz w:val="17"/>
          <w:szCs w:val="17"/>
          <w:color w:val="auto"/>
        </w:rPr>
        <w:t>3</w:t>
      </w:r>
    </w:p>
    <w:p>
      <w:pPr>
        <w:sectPr>
          <w:pgSz w:w="11900" w:h="16879" w:orient="portrait"/>
          <w:cols w:equalWidth="0" w:num="1">
            <w:col w:w="9180"/>
          </w:cols>
          <w:pgMar w:left="1360" w:top="114" w:right="1359" w:bottom="0" w:gutter="0" w:footer="0" w:header="0"/>
          <w:type w:val="continuous"/>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80" w:type="dxa"/>
            <w:vAlign w:val="bottom"/>
            <w:gridSpan w:val="14"/>
          </w:tcPr>
          <w:p>
            <w:pPr>
              <w:spacing w:after="0"/>
              <w:rPr>
                <w:sz w:val="20"/>
                <w:szCs w:val="20"/>
                <w:color w:val="auto"/>
              </w:rPr>
            </w:pPr>
            <w:r>
              <w:rPr>
                <w:rFonts w:ascii="Arial" w:cs="Arial" w:eastAsia="Arial" w:hAnsi="Arial"/>
                <w:sz w:val="20"/>
                <w:szCs w:val="20"/>
                <w:b w:val="1"/>
                <w:bCs w:val="1"/>
                <w:color w:val="0000EE"/>
              </w:rPr>
              <w:t>Additional Information</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0000EE"/>
              </w:rPr>
              <w:t>97</w:t>
            </w:r>
          </w:p>
        </w:tc>
        <w:tc>
          <w:tcPr>
            <w:tcW w:w="0" w:type="dxa"/>
            <w:vAlign w:val="bottom"/>
          </w:tcPr>
          <w:p>
            <w:pPr>
              <w:spacing w:after="0"/>
              <w:rPr>
                <w:sz w:val="1"/>
                <w:szCs w:val="1"/>
                <w:color w:val="auto"/>
              </w:rPr>
            </w:pPr>
          </w:p>
        </w:tc>
      </w:tr>
      <w:tr>
        <w:trPr>
          <w:trHeight w:val="48"/>
        </w:trPr>
        <w:tc>
          <w:tcPr>
            <w:tcW w:w="180" w:type="dxa"/>
            <w:vAlign w:val="bottom"/>
            <w:tcBorders>
              <w:top w:val="single" w:sz="8" w:color="0000EE"/>
              <w:bottom w:val="single" w:sz="8" w:color="auto"/>
            </w:tcBorders>
          </w:tcPr>
          <w:p>
            <w:pPr>
              <w:spacing w:after="0"/>
              <w:rPr>
                <w:sz w:val="4"/>
                <w:szCs w:val="4"/>
                <w:color w:val="auto"/>
              </w:rPr>
            </w:pPr>
          </w:p>
        </w:tc>
        <w:tc>
          <w:tcPr>
            <w:tcW w:w="560" w:type="dxa"/>
            <w:vAlign w:val="bottom"/>
            <w:tcBorders>
              <w:top w:val="single" w:sz="8" w:color="0000EE"/>
              <w:bottom w:val="single" w:sz="8" w:color="auto"/>
            </w:tcBorders>
          </w:tcPr>
          <w:p>
            <w:pPr>
              <w:spacing w:after="0"/>
              <w:rPr>
                <w:sz w:val="4"/>
                <w:szCs w:val="4"/>
                <w:color w:val="auto"/>
              </w:rPr>
            </w:pPr>
          </w:p>
        </w:tc>
        <w:tc>
          <w:tcPr>
            <w:tcW w:w="660" w:type="dxa"/>
            <w:vAlign w:val="bottom"/>
            <w:tcBorders>
              <w:top w:val="single" w:sz="8" w:color="0000EE"/>
              <w:bottom w:val="single" w:sz="8" w:color="auto"/>
            </w:tcBorders>
          </w:tcPr>
          <w:p>
            <w:pPr>
              <w:spacing w:after="0"/>
              <w:rPr>
                <w:sz w:val="4"/>
                <w:szCs w:val="4"/>
                <w:color w:val="auto"/>
              </w:rPr>
            </w:pPr>
          </w:p>
        </w:tc>
        <w:tc>
          <w:tcPr>
            <w:tcW w:w="50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8700" w:type="dxa"/>
            <w:vAlign w:val="bottom"/>
            <w:gridSpan w:val="13"/>
          </w:tcPr>
          <w:p>
            <w:pPr>
              <w:spacing w:after="0"/>
              <w:rPr>
                <w:sz w:val="20"/>
                <w:szCs w:val="20"/>
                <w:color w:val="auto"/>
              </w:rPr>
            </w:pPr>
            <w:r>
              <w:rPr>
                <w:rFonts w:ascii="Arial" w:cs="Arial" w:eastAsia="Arial" w:hAnsi="Arial"/>
                <w:sz w:val="18"/>
                <w:szCs w:val="18"/>
                <w:color w:val="0000EE"/>
              </w:rPr>
              <w:t>Other Business</w:t>
            </w:r>
          </w:p>
        </w:tc>
        <w:tc>
          <w:tcPr>
            <w:tcW w:w="300" w:type="dxa"/>
            <w:vAlign w:val="bottom"/>
            <w:gridSpan w:val="2"/>
          </w:tcPr>
          <w:p>
            <w:pPr>
              <w:jc w:val="right"/>
              <w:spacing w:after="0"/>
              <w:rPr>
                <w:sz w:val="20"/>
                <w:szCs w:val="20"/>
                <w:color w:val="auto"/>
              </w:rPr>
            </w:pPr>
            <w:r>
              <w:rPr>
                <w:rFonts w:ascii="Arial" w:cs="Arial" w:eastAsia="Arial" w:hAnsi="Arial"/>
                <w:sz w:val="18"/>
                <w:szCs w:val="18"/>
                <w:color w:val="0000EE"/>
              </w:rPr>
              <w:t>97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80" w:type="dxa"/>
            <w:vAlign w:val="bottom"/>
          </w:tcPr>
          <w:p>
            <w:pPr>
              <w:spacing w:after="0"/>
              <w:rPr>
                <w:sz w:val="24"/>
                <w:szCs w:val="24"/>
                <w:color w:val="auto"/>
              </w:rPr>
            </w:pPr>
          </w:p>
        </w:tc>
        <w:tc>
          <w:tcPr>
            <w:tcW w:w="1720" w:type="dxa"/>
            <w:vAlign w:val="bottom"/>
            <w:gridSpan w:val="3"/>
          </w:tcPr>
          <w:p>
            <w:pPr>
              <w:spacing w:after="0"/>
              <w:rPr>
                <w:sz w:val="20"/>
                <w:szCs w:val="20"/>
                <w:color w:val="auto"/>
              </w:rPr>
            </w:pPr>
            <w:r>
              <w:rPr>
                <w:rFonts w:ascii="Arial" w:cs="Arial" w:eastAsia="Arial" w:hAnsi="Arial"/>
                <w:sz w:val="18"/>
                <w:szCs w:val="18"/>
                <w:color w:val="0000EE"/>
                <w:w w:val="98"/>
              </w:rPr>
              <w:t>Solicitation of Proxies</w:t>
            </w:r>
          </w:p>
        </w:tc>
        <w:tc>
          <w:tcPr>
            <w:tcW w:w="6980" w:type="dxa"/>
            <w:vAlign w:val="bottom"/>
            <w:gridSpan w:val="10"/>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0000EE"/>
              </w:rPr>
              <w:t>97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80" w:type="dxa"/>
            <w:vAlign w:val="bottom"/>
          </w:tcPr>
          <w:p>
            <w:pPr>
              <w:spacing w:after="0"/>
              <w:rPr>
                <w:sz w:val="24"/>
                <w:szCs w:val="24"/>
                <w:color w:val="auto"/>
              </w:rPr>
            </w:pPr>
          </w:p>
        </w:tc>
        <w:tc>
          <w:tcPr>
            <w:tcW w:w="8700" w:type="dxa"/>
            <w:vAlign w:val="bottom"/>
            <w:gridSpan w:val="13"/>
          </w:tcPr>
          <w:p>
            <w:pPr>
              <w:spacing w:after="0"/>
              <w:rPr>
                <w:sz w:val="20"/>
                <w:szCs w:val="20"/>
                <w:color w:val="auto"/>
              </w:rPr>
            </w:pPr>
            <w:r>
              <w:rPr>
                <w:rFonts w:ascii="Arial" w:cs="Arial" w:eastAsia="Arial" w:hAnsi="Arial"/>
                <w:sz w:val="18"/>
                <w:szCs w:val="18"/>
                <w:color w:val="0000EE"/>
              </w:rPr>
              <w:t>Communications with our Directors</w:t>
            </w:r>
          </w:p>
        </w:tc>
        <w:tc>
          <w:tcPr>
            <w:tcW w:w="300" w:type="dxa"/>
            <w:vAlign w:val="bottom"/>
            <w:gridSpan w:val="2"/>
          </w:tcPr>
          <w:p>
            <w:pPr>
              <w:jc w:val="right"/>
              <w:spacing w:after="0"/>
              <w:rPr>
                <w:sz w:val="20"/>
                <w:szCs w:val="20"/>
                <w:color w:val="auto"/>
              </w:rPr>
            </w:pPr>
            <w:r>
              <w:rPr>
                <w:rFonts w:ascii="Arial" w:cs="Arial" w:eastAsia="Arial" w:hAnsi="Arial"/>
                <w:sz w:val="18"/>
                <w:szCs w:val="18"/>
                <w:color w:val="0000EE"/>
              </w:rPr>
              <w:t>97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8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EE"/>
              </w:rPr>
              <w:t>Incorporation by Reference</w:t>
            </w:r>
          </w:p>
        </w:tc>
        <w:tc>
          <w:tcPr>
            <w:tcW w:w="5920" w:type="dxa"/>
            <w:vAlign w:val="bottom"/>
            <w:gridSpan w:val="6"/>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0000EE"/>
              </w:rPr>
              <w:t>97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80" w:type="dxa"/>
            <w:vAlign w:val="bottom"/>
          </w:tcPr>
          <w:p>
            <w:pPr>
              <w:spacing w:after="0"/>
              <w:rPr>
                <w:sz w:val="24"/>
                <w:szCs w:val="24"/>
                <w:color w:val="auto"/>
              </w:rPr>
            </w:pPr>
          </w:p>
        </w:tc>
        <w:tc>
          <w:tcPr>
            <w:tcW w:w="8700" w:type="dxa"/>
            <w:vAlign w:val="bottom"/>
            <w:gridSpan w:val="13"/>
          </w:tcPr>
          <w:p>
            <w:pPr>
              <w:spacing w:after="0"/>
              <w:rPr>
                <w:sz w:val="20"/>
                <w:szCs w:val="20"/>
                <w:color w:val="auto"/>
              </w:rPr>
            </w:pPr>
            <w:r>
              <w:rPr>
                <w:rFonts w:ascii="Arial" w:cs="Arial" w:eastAsia="Arial" w:hAnsi="Arial"/>
                <w:sz w:val="18"/>
                <w:szCs w:val="18"/>
                <w:color w:val="0000EE"/>
              </w:rPr>
              <w:t>Forward-Looking Statements</w:t>
            </w:r>
          </w:p>
        </w:tc>
        <w:tc>
          <w:tcPr>
            <w:tcW w:w="300" w:type="dxa"/>
            <w:vAlign w:val="bottom"/>
            <w:gridSpan w:val="2"/>
          </w:tcPr>
          <w:p>
            <w:pPr>
              <w:jc w:val="right"/>
              <w:spacing w:after="0"/>
              <w:rPr>
                <w:sz w:val="20"/>
                <w:szCs w:val="20"/>
                <w:color w:val="auto"/>
              </w:rPr>
            </w:pPr>
            <w:r>
              <w:rPr>
                <w:rFonts w:ascii="Arial" w:cs="Arial" w:eastAsia="Arial" w:hAnsi="Arial"/>
                <w:sz w:val="18"/>
                <w:szCs w:val="18"/>
                <w:color w:val="0000EE"/>
              </w:rPr>
              <w:t>98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40" w:type="dxa"/>
            <w:vAlign w:val="bottom"/>
            <w:gridSpan w:val="5"/>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880" w:type="dxa"/>
            <w:vAlign w:val="bottom"/>
            <w:gridSpan w:val="14"/>
          </w:tcPr>
          <w:p>
            <w:pPr>
              <w:spacing w:after="0"/>
              <w:rPr>
                <w:sz w:val="20"/>
                <w:szCs w:val="20"/>
                <w:color w:val="auto"/>
              </w:rPr>
            </w:pPr>
            <w:r>
              <w:rPr>
                <w:rFonts w:ascii="Arial" w:cs="Arial" w:eastAsia="Arial" w:hAnsi="Arial"/>
                <w:sz w:val="20"/>
                <w:szCs w:val="20"/>
                <w:b w:val="1"/>
                <w:bCs w:val="1"/>
                <w:color w:val="0000EE"/>
              </w:rPr>
              <w:t>Annex A: Proposed Amendments to the Restated Certificate of Incorporation to Give Holders</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00EE"/>
                <w:w w:val="96"/>
              </w:rPr>
              <w:t>A-1</w:t>
            </w:r>
          </w:p>
        </w:tc>
        <w:tc>
          <w:tcPr>
            <w:tcW w:w="0" w:type="dxa"/>
            <w:vAlign w:val="bottom"/>
          </w:tcPr>
          <w:p>
            <w:pPr>
              <w:spacing w:after="0"/>
              <w:rPr>
                <w:sz w:val="1"/>
                <w:szCs w:val="1"/>
                <w:color w:val="auto"/>
              </w:rPr>
            </w:pPr>
          </w:p>
        </w:tc>
      </w:tr>
      <w:tr>
        <w:trPr>
          <w:trHeight w:val="196"/>
        </w:trPr>
        <w:tc>
          <w:tcPr>
            <w:tcW w:w="874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20"/>
                <w:szCs w:val="20"/>
                <w:b w:val="1"/>
                <w:bCs w:val="1"/>
                <w:color w:val="0000EE"/>
              </w:rPr>
              <w:t>of 25% of the Company’s Stock the Right to Request a Special Meeting</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Borders>
              <w:top w:val="single" w:sz="8" w:color="0000EE"/>
              <w:bottom w:val="single" w:sz="8" w:color="auto"/>
            </w:tcBorders>
          </w:tcPr>
          <w:p>
            <w:pPr>
              <w:spacing w:after="0"/>
              <w:rPr>
                <w:sz w:val="4"/>
                <w:szCs w:val="4"/>
                <w:color w:val="auto"/>
              </w:rPr>
            </w:pPr>
          </w:p>
        </w:tc>
        <w:tc>
          <w:tcPr>
            <w:tcW w:w="560" w:type="dxa"/>
            <w:vAlign w:val="bottom"/>
            <w:tcBorders>
              <w:top w:val="single" w:sz="8" w:color="0000EE"/>
              <w:bottom w:val="single" w:sz="8" w:color="auto"/>
            </w:tcBorders>
          </w:tcPr>
          <w:p>
            <w:pPr>
              <w:spacing w:after="0"/>
              <w:rPr>
                <w:sz w:val="4"/>
                <w:szCs w:val="4"/>
                <w:color w:val="auto"/>
              </w:rPr>
            </w:pPr>
          </w:p>
        </w:tc>
        <w:tc>
          <w:tcPr>
            <w:tcW w:w="660" w:type="dxa"/>
            <w:vAlign w:val="bottom"/>
            <w:tcBorders>
              <w:top w:val="single" w:sz="8" w:color="0000EE"/>
              <w:bottom w:val="single" w:sz="8" w:color="auto"/>
            </w:tcBorders>
          </w:tcPr>
          <w:p>
            <w:pPr>
              <w:spacing w:after="0"/>
              <w:rPr>
                <w:sz w:val="4"/>
                <w:szCs w:val="4"/>
                <w:color w:val="auto"/>
              </w:rPr>
            </w:pPr>
          </w:p>
        </w:tc>
        <w:tc>
          <w:tcPr>
            <w:tcW w:w="50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24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480" w:type="dxa"/>
            <w:vAlign w:val="bottom"/>
            <w:tcBorders>
              <w:top w:val="single" w:sz="8" w:color="0000EE"/>
              <w:bottom w:val="single" w:sz="8" w:color="auto"/>
            </w:tcBorders>
          </w:tcPr>
          <w:p>
            <w:pPr>
              <w:spacing w:after="0"/>
              <w:rPr>
                <w:sz w:val="4"/>
                <w:szCs w:val="4"/>
                <w:color w:val="auto"/>
              </w:rPr>
            </w:pPr>
          </w:p>
        </w:tc>
        <w:tc>
          <w:tcPr>
            <w:tcW w:w="900" w:type="dxa"/>
            <w:vAlign w:val="bottom"/>
            <w:tcBorders>
              <w:top w:val="single" w:sz="8" w:color="0000EE"/>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2480" w:type="dxa"/>
            <w:vAlign w:val="bottom"/>
            <w:tcBorders>
              <w:top w:val="single" w:sz="8" w:color="0000EE"/>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8880" w:type="dxa"/>
            <w:vAlign w:val="bottom"/>
            <w:gridSpan w:val="14"/>
          </w:tcPr>
          <w:p>
            <w:pPr>
              <w:spacing w:after="0"/>
              <w:rPr>
                <w:sz w:val="20"/>
                <w:szCs w:val="20"/>
                <w:color w:val="auto"/>
              </w:rPr>
            </w:pPr>
            <w:r>
              <w:rPr>
                <w:rFonts w:ascii="Arial" w:cs="Arial" w:eastAsia="Arial" w:hAnsi="Arial"/>
                <w:sz w:val="20"/>
                <w:szCs w:val="20"/>
                <w:b w:val="1"/>
                <w:bCs w:val="1"/>
                <w:color w:val="0000EE"/>
                <w:w w:val="99"/>
              </w:rPr>
              <w:t>Annex B: Proposed Amendments to the By-Laws to Implement the Right to Request a Special</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00EE"/>
                <w:w w:val="96"/>
              </w:rPr>
              <w:t>B-1</w:t>
            </w:r>
          </w:p>
        </w:tc>
        <w:tc>
          <w:tcPr>
            <w:tcW w:w="0" w:type="dxa"/>
            <w:vAlign w:val="bottom"/>
          </w:tcPr>
          <w:p>
            <w:pPr>
              <w:spacing w:after="0"/>
              <w:rPr>
                <w:sz w:val="1"/>
                <w:szCs w:val="1"/>
                <w:color w:val="auto"/>
              </w:rPr>
            </w:pPr>
          </w:p>
        </w:tc>
      </w:tr>
      <w:tr>
        <w:trPr>
          <w:trHeight w:val="196"/>
        </w:trPr>
        <w:tc>
          <w:tcPr>
            <w:tcW w:w="878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20"/>
                <w:szCs w:val="20"/>
                <w:b w:val="1"/>
                <w:bCs w:val="1"/>
                <w:color w:val="0000EE"/>
              </w:rPr>
              <w:t>Meeting</w:t>
            </w:r>
          </w:p>
        </w:tc>
        <w:tc>
          <w:tcPr>
            <w:tcW w:w="10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Borders>
              <w:top w:val="single" w:sz="8" w:color="0000EE"/>
              <w:bottom w:val="single" w:sz="8" w:color="auto"/>
            </w:tcBorders>
          </w:tcPr>
          <w:p>
            <w:pPr>
              <w:spacing w:after="0"/>
              <w:rPr>
                <w:sz w:val="4"/>
                <w:szCs w:val="4"/>
                <w:color w:val="auto"/>
              </w:rPr>
            </w:pPr>
          </w:p>
        </w:tc>
        <w:tc>
          <w:tcPr>
            <w:tcW w:w="560" w:type="dxa"/>
            <w:vAlign w:val="bottom"/>
            <w:tcBorders>
              <w:top w:val="single" w:sz="8" w:color="0000EE"/>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8880" w:type="dxa"/>
            <w:vAlign w:val="bottom"/>
            <w:gridSpan w:val="14"/>
          </w:tcPr>
          <w:p>
            <w:pPr>
              <w:spacing w:after="0"/>
              <w:rPr>
                <w:sz w:val="20"/>
                <w:szCs w:val="20"/>
                <w:color w:val="auto"/>
              </w:rPr>
            </w:pPr>
            <w:r>
              <w:rPr>
                <w:rFonts w:ascii="Arial" w:cs="Arial" w:eastAsia="Arial" w:hAnsi="Arial"/>
                <w:sz w:val="20"/>
                <w:szCs w:val="20"/>
                <w:b w:val="1"/>
                <w:bCs w:val="1"/>
                <w:color w:val="0000EE"/>
              </w:rPr>
              <w:t>Annex C: Employee Stock Purchase Plan</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0000EE"/>
                <w:w w:val="96"/>
              </w:rPr>
              <w:t>C-1</w:t>
            </w:r>
          </w:p>
        </w:tc>
        <w:tc>
          <w:tcPr>
            <w:tcW w:w="0" w:type="dxa"/>
            <w:vAlign w:val="bottom"/>
          </w:tcPr>
          <w:p>
            <w:pPr>
              <w:spacing w:after="0"/>
              <w:rPr>
                <w:sz w:val="1"/>
                <w:szCs w:val="1"/>
                <w:color w:val="auto"/>
              </w:rPr>
            </w:pPr>
          </w:p>
        </w:tc>
      </w:tr>
      <w:tr>
        <w:trPr>
          <w:trHeight w:val="48"/>
        </w:trPr>
        <w:tc>
          <w:tcPr>
            <w:tcW w:w="180" w:type="dxa"/>
            <w:vAlign w:val="bottom"/>
            <w:tcBorders>
              <w:top w:val="single" w:sz="8" w:color="0000EE"/>
              <w:bottom w:val="single" w:sz="8" w:color="auto"/>
            </w:tcBorders>
          </w:tcPr>
          <w:p>
            <w:pPr>
              <w:spacing w:after="0"/>
              <w:rPr>
                <w:sz w:val="4"/>
                <w:szCs w:val="4"/>
                <w:color w:val="auto"/>
              </w:rPr>
            </w:pPr>
          </w:p>
        </w:tc>
        <w:tc>
          <w:tcPr>
            <w:tcW w:w="560" w:type="dxa"/>
            <w:vAlign w:val="bottom"/>
            <w:tcBorders>
              <w:top w:val="single" w:sz="8" w:color="0000EE"/>
              <w:bottom w:val="single" w:sz="8" w:color="auto"/>
            </w:tcBorders>
          </w:tcPr>
          <w:p>
            <w:pPr>
              <w:spacing w:after="0"/>
              <w:rPr>
                <w:sz w:val="4"/>
                <w:szCs w:val="4"/>
                <w:color w:val="auto"/>
              </w:rPr>
            </w:pPr>
          </w:p>
        </w:tc>
        <w:tc>
          <w:tcPr>
            <w:tcW w:w="660" w:type="dxa"/>
            <w:vAlign w:val="bottom"/>
            <w:tcBorders>
              <w:top w:val="single" w:sz="8" w:color="0000EE"/>
              <w:bottom w:val="single" w:sz="8" w:color="auto"/>
            </w:tcBorders>
          </w:tcPr>
          <w:p>
            <w:pPr>
              <w:spacing w:after="0"/>
              <w:rPr>
                <w:sz w:val="4"/>
                <w:szCs w:val="4"/>
                <w:color w:val="auto"/>
              </w:rPr>
            </w:pPr>
          </w:p>
        </w:tc>
        <w:tc>
          <w:tcPr>
            <w:tcW w:w="50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24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480" w:type="dxa"/>
            <w:vAlign w:val="bottom"/>
            <w:tcBorders>
              <w:top w:val="single" w:sz="8" w:color="0000EE"/>
              <w:bottom w:val="single" w:sz="8" w:color="auto"/>
            </w:tcBorders>
          </w:tcPr>
          <w:p>
            <w:pPr>
              <w:spacing w:after="0"/>
              <w:rPr>
                <w:sz w:val="4"/>
                <w:szCs w:val="4"/>
                <w:color w:val="auto"/>
              </w:rPr>
            </w:pPr>
          </w:p>
        </w:tc>
        <w:tc>
          <w:tcPr>
            <w:tcW w:w="900" w:type="dxa"/>
            <w:vAlign w:val="bottom"/>
            <w:tcBorders>
              <w:top w:val="single" w:sz="8" w:color="0000EE"/>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8880" w:type="dxa"/>
            <w:vAlign w:val="bottom"/>
            <w:gridSpan w:val="14"/>
          </w:tcPr>
          <w:p>
            <w:pPr>
              <w:spacing w:after="0"/>
              <w:rPr>
                <w:sz w:val="20"/>
                <w:szCs w:val="20"/>
                <w:color w:val="auto"/>
              </w:rPr>
            </w:pPr>
            <w:r>
              <w:rPr>
                <w:rFonts w:ascii="Arial" w:cs="Arial" w:eastAsia="Arial" w:hAnsi="Arial"/>
                <w:sz w:val="20"/>
                <w:szCs w:val="20"/>
                <w:b w:val="1"/>
                <w:bCs w:val="1"/>
                <w:color w:val="0000EE"/>
              </w:rPr>
              <w:t>Annex D: Pitney Bowes Inc. 2024 Stock Plan</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0000EE"/>
                <w:w w:val="96"/>
              </w:rPr>
              <w:t>D-1</w:t>
            </w:r>
          </w:p>
        </w:tc>
        <w:tc>
          <w:tcPr>
            <w:tcW w:w="0" w:type="dxa"/>
            <w:vAlign w:val="bottom"/>
          </w:tcPr>
          <w:p>
            <w:pPr>
              <w:spacing w:after="0"/>
              <w:rPr>
                <w:sz w:val="1"/>
                <w:szCs w:val="1"/>
                <w:color w:val="auto"/>
              </w:rPr>
            </w:pPr>
          </w:p>
        </w:tc>
      </w:tr>
      <w:tr>
        <w:trPr>
          <w:trHeight w:val="102"/>
        </w:trPr>
        <w:tc>
          <w:tcPr>
            <w:tcW w:w="180" w:type="dxa"/>
            <w:vAlign w:val="bottom"/>
            <w:tcBorders>
              <w:top w:val="single" w:sz="8" w:color="0000EE"/>
              <w:bottom w:val="single" w:sz="8" w:color="auto"/>
            </w:tcBorders>
          </w:tcPr>
          <w:p>
            <w:pPr>
              <w:spacing w:after="0"/>
              <w:rPr>
                <w:sz w:val="8"/>
                <w:szCs w:val="8"/>
                <w:color w:val="auto"/>
              </w:rPr>
            </w:pPr>
          </w:p>
        </w:tc>
        <w:tc>
          <w:tcPr>
            <w:tcW w:w="560" w:type="dxa"/>
            <w:vAlign w:val="bottom"/>
            <w:tcBorders>
              <w:top w:val="single" w:sz="8" w:color="0000EE"/>
              <w:bottom w:val="single" w:sz="8" w:color="auto"/>
            </w:tcBorders>
          </w:tcPr>
          <w:p>
            <w:pPr>
              <w:spacing w:after="0"/>
              <w:rPr>
                <w:sz w:val="8"/>
                <w:szCs w:val="8"/>
                <w:color w:val="auto"/>
              </w:rPr>
            </w:pPr>
          </w:p>
        </w:tc>
        <w:tc>
          <w:tcPr>
            <w:tcW w:w="660" w:type="dxa"/>
            <w:vAlign w:val="bottom"/>
            <w:tcBorders>
              <w:top w:val="single" w:sz="8" w:color="0000EE"/>
              <w:bottom w:val="single" w:sz="8" w:color="auto"/>
            </w:tcBorders>
          </w:tcPr>
          <w:p>
            <w:pPr>
              <w:spacing w:after="0"/>
              <w:rPr>
                <w:sz w:val="8"/>
                <w:szCs w:val="8"/>
                <w:color w:val="auto"/>
              </w:rPr>
            </w:pPr>
          </w:p>
        </w:tc>
        <w:tc>
          <w:tcPr>
            <w:tcW w:w="500" w:type="dxa"/>
            <w:vAlign w:val="bottom"/>
            <w:tcBorders>
              <w:top w:val="single" w:sz="8" w:color="0000EE"/>
              <w:bottom w:val="single" w:sz="8" w:color="auto"/>
            </w:tcBorders>
          </w:tcPr>
          <w:p>
            <w:pPr>
              <w:spacing w:after="0"/>
              <w:rPr>
                <w:sz w:val="8"/>
                <w:szCs w:val="8"/>
                <w:color w:val="auto"/>
              </w:rPr>
            </w:pPr>
          </w:p>
        </w:tc>
        <w:tc>
          <w:tcPr>
            <w:tcW w:w="200" w:type="dxa"/>
            <w:vAlign w:val="bottom"/>
            <w:tcBorders>
              <w:top w:val="single" w:sz="8" w:color="0000EE"/>
              <w:bottom w:val="single" w:sz="8" w:color="auto"/>
            </w:tcBorders>
          </w:tcPr>
          <w:p>
            <w:pPr>
              <w:spacing w:after="0"/>
              <w:rPr>
                <w:sz w:val="8"/>
                <w:szCs w:val="8"/>
                <w:color w:val="auto"/>
              </w:rPr>
            </w:pPr>
          </w:p>
        </w:tc>
        <w:tc>
          <w:tcPr>
            <w:tcW w:w="240" w:type="dxa"/>
            <w:vAlign w:val="bottom"/>
            <w:tcBorders>
              <w:top w:val="single" w:sz="8" w:color="0000EE"/>
              <w:bottom w:val="single" w:sz="8" w:color="auto"/>
            </w:tcBorders>
          </w:tcPr>
          <w:p>
            <w:pPr>
              <w:spacing w:after="0"/>
              <w:rPr>
                <w:sz w:val="8"/>
                <w:szCs w:val="8"/>
                <w:color w:val="auto"/>
              </w:rPr>
            </w:pPr>
          </w:p>
        </w:tc>
        <w:tc>
          <w:tcPr>
            <w:tcW w:w="140" w:type="dxa"/>
            <w:vAlign w:val="bottom"/>
            <w:tcBorders>
              <w:top w:val="single" w:sz="8" w:color="0000EE"/>
              <w:bottom w:val="single" w:sz="8" w:color="auto"/>
            </w:tcBorders>
          </w:tcPr>
          <w:p>
            <w:pPr>
              <w:spacing w:after="0"/>
              <w:rPr>
                <w:sz w:val="8"/>
                <w:szCs w:val="8"/>
                <w:color w:val="auto"/>
              </w:rPr>
            </w:pPr>
          </w:p>
        </w:tc>
        <w:tc>
          <w:tcPr>
            <w:tcW w:w="480" w:type="dxa"/>
            <w:vAlign w:val="bottom"/>
            <w:tcBorders>
              <w:top w:val="single" w:sz="8" w:color="0000EE"/>
              <w:bottom w:val="single" w:sz="8" w:color="auto"/>
            </w:tcBorders>
          </w:tcPr>
          <w:p>
            <w:pPr>
              <w:spacing w:after="0"/>
              <w:rPr>
                <w:sz w:val="8"/>
                <w:szCs w:val="8"/>
                <w:color w:val="auto"/>
              </w:rPr>
            </w:pPr>
          </w:p>
        </w:tc>
        <w:tc>
          <w:tcPr>
            <w:tcW w:w="900" w:type="dxa"/>
            <w:vAlign w:val="bottom"/>
            <w:tcBorders>
              <w:top w:val="single" w:sz="8" w:color="0000EE"/>
              <w:bottom w:val="single" w:sz="8" w:color="auto"/>
            </w:tcBorders>
          </w:tcPr>
          <w:p>
            <w:pPr>
              <w:spacing w:after="0"/>
              <w:rPr>
                <w:sz w:val="8"/>
                <w:szCs w:val="8"/>
                <w:color w:val="auto"/>
              </w:rPr>
            </w:pPr>
          </w:p>
        </w:tc>
        <w:tc>
          <w:tcPr>
            <w:tcW w:w="300" w:type="dxa"/>
            <w:vAlign w:val="bottom"/>
            <w:tcBorders>
              <w:top w:val="single" w:sz="8" w:color="0000EE"/>
              <w:bottom w:val="single" w:sz="8" w:color="auto"/>
            </w:tcBorders>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top w:val="single" w:sz="8" w:color="0000EE"/>
              <w:bottom w:val="single" w:sz="8" w:color="auto"/>
            </w:tcBorders>
          </w:tcPr>
          <w:p>
            <w:pPr>
              <w:spacing w:after="0"/>
              <w:rPr>
                <w:sz w:val="8"/>
                <w:szCs w:val="8"/>
                <w:color w:val="auto"/>
              </w:rPr>
            </w:pPr>
          </w:p>
        </w:tc>
        <w:tc>
          <w:tcPr>
            <w:tcW w:w="200" w:type="dxa"/>
            <w:vAlign w:val="bottom"/>
            <w:tcBorders>
              <w:top w:val="single" w:sz="8" w:color="0000EE"/>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i w:val="1"/>
          <w:iCs w:val="1"/>
          <w:color w:val="auto"/>
        </w:rPr>
        <w:t>In this Proxy Statement, we refer to Pitney Bowes, Inc. as “Pitney Bowes” the “Company,” “we,” and “us,” the Company’s Board of Directors as the “Board,” the Company’s Common Stock, par value $1.00 per share, as the “Common Stock” and “Company’s Stock,” and the Company’s 2024 Annual Meeting of Stockholders, including any adjournments, postponements, or continuations thereof, as the “Annual Meeting.”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5" w:name="page6"/>
    <w:bookmarkEnd w:id="5"/>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6"/>
          <w:szCs w:val="16"/>
          <w:color w:val="0072AF"/>
        </w:rPr>
        <w:t>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20955</wp:posOffset>
            </wp:positionV>
            <wp:extent cx="58293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32"/>
          <w:szCs w:val="32"/>
          <w:b w:val="1"/>
          <w:bCs w:val="1"/>
          <w:color w:val="4B5A89"/>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68580</wp:posOffset>
            </wp:positionV>
            <wp:extent cx="58293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231140</wp:posOffset>
            </wp:positionV>
            <wp:extent cx="58293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47" w:lineRule="exact"/>
        <w:rPr>
          <w:sz w:val="20"/>
          <w:szCs w:val="20"/>
          <w:color w:val="auto"/>
        </w:rPr>
      </w:pPr>
    </w:p>
    <w:p>
      <w:pPr>
        <w:ind w:left="920"/>
        <w:spacing w:after="0"/>
        <w:rPr>
          <w:sz w:val="20"/>
          <w:szCs w:val="20"/>
          <w:color w:val="auto"/>
        </w:rPr>
      </w:pPr>
      <w:r>
        <w:rPr>
          <w:rFonts w:ascii="Arial" w:cs="Arial" w:eastAsia="Arial" w:hAnsi="Arial"/>
          <w:sz w:val="25"/>
          <w:szCs w:val="25"/>
          <w:b w:val="1"/>
          <w:bCs w:val="1"/>
          <w:color w:val="0072AF"/>
        </w:rPr>
        <w:t>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38735</wp:posOffset>
            </wp:positionV>
            <wp:extent cx="5829300" cy="3651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29300" cy="365188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p>
      <w:pPr>
        <w:spacing w:after="0" w:line="3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FFFFFF"/>
        </w:rPr>
        <w:t>Time and Date:</w:t>
      </w:r>
    </w:p>
    <w:p>
      <w:pPr>
        <w:spacing w:after="0" w:line="32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FFFFFF"/>
        </w:rPr>
        <w:t>Place:</w:t>
      </w:r>
    </w:p>
    <w:p>
      <w:pPr>
        <w:spacing w:after="0" w:line="32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FFFFFF"/>
        </w:rPr>
        <w:t>Record Date:</w:t>
      </w:r>
    </w:p>
    <w:p>
      <w:pPr>
        <w:spacing w:after="0" w:line="320" w:lineRule="exact"/>
        <w:rPr>
          <w:sz w:val="20"/>
          <w:szCs w:val="20"/>
          <w:color w:val="auto"/>
        </w:rPr>
      </w:pPr>
    </w:p>
    <w:p>
      <w:pPr>
        <w:jc w:val="center"/>
        <w:ind w:left="240"/>
        <w:spacing w:after="0"/>
        <w:rPr>
          <w:sz w:val="20"/>
          <w:szCs w:val="20"/>
          <w:color w:val="auto"/>
        </w:rPr>
      </w:pPr>
      <w:r>
        <w:rPr>
          <w:rFonts w:ascii="Arial" w:cs="Arial" w:eastAsia="Arial" w:hAnsi="Arial"/>
          <w:sz w:val="18"/>
          <w:szCs w:val="18"/>
          <w:b w:val="1"/>
          <w:bCs w:val="1"/>
          <w:color w:val="FFFFFF"/>
        </w:rPr>
        <w:t>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FFFFFF"/>
        </w:rPr>
        <w:t>Attendance and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FFFFFF"/>
        </w:rPr>
        <w:t>Participation at</w:t>
      </w:r>
    </w:p>
    <w:p>
      <w:pPr>
        <w:ind w:left="980"/>
        <w:spacing w:after="0"/>
        <w:rPr>
          <w:sz w:val="20"/>
          <w:szCs w:val="20"/>
          <w:color w:val="auto"/>
        </w:rPr>
      </w:pPr>
      <w:r>
        <w:rPr>
          <w:rFonts w:ascii="Arial" w:cs="Arial" w:eastAsia="Arial" w:hAnsi="Arial"/>
          <w:sz w:val="18"/>
          <w:szCs w:val="18"/>
          <w:b w:val="1"/>
          <w:bCs w:val="1"/>
          <w:color w:val="FFFFFF"/>
        </w:rPr>
        <w:t>the Meeting:</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Monday, May 6, 2024 at 9:00 a.m. Eastern Time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Via Live Webcast by visiting </w:t>
      </w:r>
      <w:r>
        <w:rPr>
          <w:rFonts w:ascii="Arial" w:cs="Arial" w:eastAsia="Arial" w:hAnsi="Arial"/>
          <w:sz w:val="18"/>
          <w:szCs w:val="18"/>
          <w:color w:val="0072AF"/>
        </w:rPr>
        <w:t>www.virtualshareholdermeeting.com/PBI2024</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close of business on March 15, 2024</w:t>
      </w:r>
    </w:p>
    <w:p>
      <w:pPr>
        <w:spacing w:after="0" w:line="320" w:lineRule="exact"/>
        <w:rPr>
          <w:sz w:val="20"/>
          <w:szCs w:val="20"/>
          <w:color w:val="auto"/>
        </w:rPr>
      </w:pPr>
    </w:p>
    <w:p>
      <w:pPr>
        <w:jc w:val="both"/>
        <w:ind w:right="920"/>
        <w:spacing w:after="0"/>
        <w:rPr>
          <w:sz w:val="20"/>
          <w:szCs w:val="20"/>
          <w:color w:val="auto"/>
        </w:rPr>
      </w:pPr>
      <w:r>
        <w:rPr>
          <w:rFonts w:ascii="Arial" w:cs="Arial" w:eastAsia="Arial" w:hAnsi="Arial"/>
          <w:sz w:val="18"/>
          <w:szCs w:val="18"/>
          <w:b w:val="1"/>
          <w:bCs w:val="1"/>
          <w:color w:val="auto"/>
        </w:rPr>
        <w:t xml:space="preserve">YOUR VOTE IS VERY IMPORTANT. </w:t>
      </w:r>
      <w:r>
        <w:rPr>
          <w:rFonts w:ascii="Arial" w:cs="Arial" w:eastAsia="Arial" w:hAnsi="Arial"/>
          <w:sz w:val="18"/>
          <w:szCs w:val="18"/>
          <w:color w:val="auto"/>
        </w:rPr>
        <w:t>Whether or not you plan to attend the Annual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we hope you will vote as soon as possible so that your voice is heard. We urge you to </w:t>
      </w:r>
      <w:r>
        <w:rPr>
          <w:rFonts w:ascii="Arial" w:cs="Arial" w:eastAsia="Arial" w:hAnsi="Arial"/>
          <w:sz w:val="18"/>
          <w:szCs w:val="18"/>
          <w:b w:val="1"/>
          <w:bCs w:val="1"/>
          <w:color w:val="auto"/>
        </w:rPr>
        <w:t>VOTE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TODAY </w:t>
      </w:r>
      <w:r>
        <w:rPr>
          <w:rFonts w:ascii="Arial" w:cs="Arial" w:eastAsia="Arial" w:hAnsi="Arial"/>
          <w:sz w:val="18"/>
          <w:szCs w:val="18"/>
          <w:color w:val="auto"/>
        </w:rPr>
        <w:t>by following the instructions included with the proxy materials.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stockholders as of March 15, 2024 (the “Record Date”) are entitled to submit proxies by Internet at </w:t>
      </w:r>
      <w:r>
        <w:rPr>
          <w:rFonts w:ascii="Arial" w:cs="Arial" w:eastAsia="Arial" w:hAnsi="Arial"/>
          <w:sz w:val="18"/>
          <w:szCs w:val="18"/>
          <w:color w:val="0072AF"/>
        </w:rPr>
        <w:t>www.proxyvote.com;</w:t>
      </w:r>
      <w:r>
        <w:rPr>
          <w:rFonts w:ascii="Arial" w:cs="Arial" w:eastAsia="Arial" w:hAnsi="Arial"/>
          <w:sz w:val="18"/>
          <w:szCs w:val="18"/>
          <w:color w:val="auto"/>
        </w:rPr>
        <w:t xml:space="preserve"> telephone at 1-800-690-6903; or by completing your proxy card; or you may vote online during the virtual Annual Meeting. If you hold your shares through a broker, bank, trustee or other nominee, you are a beneficial owner and should refer to the instructions provided by that entity on voting methods.</w:t>
      </w:r>
    </w:p>
    <w:p>
      <w:pPr>
        <w:spacing w:after="0" w:line="288" w:lineRule="exact"/>
        <w:rPr>
          <w:sz w:val="20"/>
          <w:szCs w:val="20"/>
          <w:color w:val="auto"/>
        </w:rPr>
      </w:pPr>
    </w:p>
    <w:p>
      <w:pPr>
        <w:jc w:val="both"/>
        <w:ind w:right="920"/>
        <w:spacing w:after="0" w:line="242" w:lineRule="auto"/>
        <w:rPr>
          <w:sz w:val="20"/>
          <w:szCs w:val="20"/>
          <w:color w:val="auto"/>
        </w:rPr>
      </w:pPr>
      <w:r>
        <w:rPr>
          <w:rFonts w:ascii="Arial" w:cs="Arial" w:eastAsia="Arial" w:hAnsi="Arial"/>
          <w:sz w:val="18"/>
          <w:szCs w:val="18"/>
          <w:color w:val="auto"/>
        </w:rPr>
        <w:t xml:space="preserve">Stockholders as of the Record Date will be able to attend the virtual Annual Meeting by visiting the link above, where you will be able to listen to the meeting live, submit questions, and vote. To participate in the Annual Meeting, you must pre-register at </w:t>
      </w:r>
      <w:r>
        <w:rPr>
          <w:rFonts w:ascii="Arial" w:cs="Arial" w:eastAsia="Arial" w:hAnsi="Arial"/>
          <w:sz w:val="18"/>
          <w:szCs w:val="18"/>
          <w:color w:val="0072AF"/>
        </w:rPr>
        <w:t xml:space="preserve">www.virtualshareholdermeeting.com/PBI2024 </w:t>
      </w:r>
      <w:r>
        <w:rPr>
          <w:rFonts w:ascii="Arial" w:cs="Arial" w:eastAsia="Arial" w:hAnsi="Arial"/>
          <w:sz w:val="18"/>
          <w:szCs w:val="18"/>
          <w:color w:val="000000"/>
        </w:rPr>
        <w:t>by 9:00 a.m. Eastern Time on May 6, 2024.</w:t>
      </w:r>
      <w:r>
        <w:rPr>
          <w:rFonts w:ascii="Arial" w:cs="Arial" w:eastAsia="Arial" w:hAnsi="Arial"/>
          <w:sz w:val="18"/>
          <w:szCs w:val="18"/>
          <w:color w:val="0072AF"/>
        </w:rPr>
        <w:t xml:space="preserve"> </w:t>
      </w:r>
      <w:r>
        <w:rPr>
          <w:rFonts w:ascii="Arial" w:cs="Arial" w:eastAsia="Arial" w:hAnsi="Arial"/>
          <w:sz w:val="18"/>
          <w:szCs w:val="18"/>
          <w:color w:val="000000"/>
        </w:rPr>
        <w:t>More information on attending the Annual Meeting can be found in the accompanying Proxy Statement.</w:t>
      </w:r>
    </w:p>
    <w:p>
      <w:pPr>
        <w:spacing w:after="0" w:line="200" w:lineRule="exact"/>
        <w:rPr>
          <w:sz w:val="20"/>
          <w:szCs w:val="20"/>
          <w:color w:val="auto"/>
        </w:rPr>
      </w:pPr>
    </w:p>
    <w:p>
      <w:pPr>
        <w:sectPr>
          <w:pgSz w:w="11900" w:h="16838" w:orient="portrait"/>
          <w:cols w:equalWidth="0" w:num="2">
            <w:col w:w="2340" w:space="300"/>
            <w:col w:w="8380"/>
          </w:cols>
          <w:pgMar w:left="440" w:top="114" w:right="439" w:bottom="1440" w:gutter="0" w:footer="0" w:header="0"/>
          <w:type w:val="continuous"/>
        </w:sectPr>
      </w:pPr>
    </w:p>
    <w:p>
      <w:pPr>
        <w:spacing w:after="0" w:line="87" w:lineRule="exact"/>
        <w:rPr>
          <w:sz w:val="20"/>
          <w:szCs w:val="20"/>
          <w:color w:val="auto"/>
        </w:rPr>
      </w:pPr>
    </w:p>
    <w:p>
      <w:pPr>
        <w:ind w:left="980"/>
        <w:spacing w:after="0"/>
        <w:tabs>
          <w:tab w:leader="none" w:pos="2620" w:val="left"/>
        </w:tabs>
        <w:rPr>
          <w:sz w:val="20"/>
          <w:szCs w:val="20"/>
          <w:color w:val="auto"/>
        </w:rPr>
      </w:pPr>
      <w:r>
        <w:rPr>
          <w:rFonts w:ascii="Arial" w:cs="Arial" w:eastAsia="Arial" w:hAnsi="Arial"/>
          <w:sz w:val="18"/>
          <w:szCs w:val="18"/>
          <w:b w:val="1"/>
          <w:bCs w:val="1"/>
          <w:color w:val="FFFFFF"/>
        </w:rPr>
        <w:t>Mail Date:</w:t>
      </w:r>
      <w:r>
        <w:rPr>
          <w:sz w:val="20"/>
          <w:szCs w:val="20"/>
          <w:color w:val="auto"/>
        </w:rPr>
        <w:tab/>
      </w:r>
      <w:r>
        <w:rPr>
          <w:rFonts w:ascii="Arial" w:cs="Arial" w:eastAsia="Arial" w:hAnsi="Arial"/>
          <w:sz w:val="17"/>
          <w:szCs w:val="17"/>
          <w:color w:val="auto"/>
        </w:rPr>
        <w:t>This Proxy Statement was first mailed to stockholders on or about April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257810</wp:posOffset>
            </wp:positionV>
            <wp:extent cx="58293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920"/>
        <w:spacing w:after="0"/>
        <w:rPr>
          <w:sz w:val="20"/>
          <w:szCs w:val="20"/>
          <w:color w:val="auto"/>
        </w:rPr>
      </w:pPr>
      <w:r>
        <w:rPr>
          <w:rFonts w:ascii="Arial" w:cs="Arial" w:eastAsia="Arial" w:hAnsi="Arial"/>
          <w:sz w:val="25"/>
          <w:szCs w:val="25"/>
          <w:b w:val="1"/>
          <w:bCs w:val="1"/>
          <w:color w:val="0072AF"/>
        </w:rPr>
        <w:t>Agenda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30480</wp:posOffset>
            </wp:positionV>
            <wp:extent cx="58293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1120" w:type="dxa"/>
            <w:vAlign w:val="bottom"/>
          </w:tcPr>
          <w:p>
            <w:pPr>
              <w:spacing w:after="0"/>
              <w:rPr>
                <w:sz w:val="24"/>
                <w:szCs w:val="24"/>
                <w:color w:val="auto"/>
              </w:rPr>
            </w:pPr>
          </w:p>
        </w:tc>
        <w:tc>
          <w:tcPr>
            <w:tcW w:w="7200" w:type="dxa"/>
            <w:vAlign w:val="bottom"/>
            <w:shd w:val="clear" w:color="auto" w:fill="4B5A89"/>
          </w:tcPr>
          <w:p>
            <w:pPr>
              <w:spacing w:after="0"/>
              <w:rPr>
                <w:sz w:val="24"/>
                <w:szCs w:val="24"/>
                <w:color w:val="auto"/>
              </w:rPr>
            </w:pPr>
          </w:p>
        </w:tc>
        <w:tc>
          <w:tcPr>
            <w:tcW w:w="1780" w:type="dxa"/>
            <w:vAlign w:val="bottom"/>
            <w:shd w:val="clear" w:color="auto" w:fill="4B5A89"/>
          </w:tcPr>
          <w:p>
            <w:pPr>
              <w:jc w:val="center"/>
              <w:spacing w:after="0"/>
              <w:rPr>
                <w:sz w:val="20"/>
                <w:szCs w:val="20"/>
                <w:color w:val="auto"/>
              </w:rPr>
            </w:pPr>
            <w:r>
              <w:rPr>
                <w:rFonts w:ascii="Arial" w:cs="Arial" w:eastAsia="Arial" w:hAnsi="Arial"/>
                <w:sz w:val="18"/>
                <w:szCs w:val="18"/>
                <w:b w:val="1"/>
                <w:bCs w:val="1"/>
                <w:color w:val="FFFFFF"/>
                <w:w w:val="99"/>
              </w:rPr>
              <w:t>Board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120" w:type="dxa"/>
            <w:vAlign w:val="bottom"/>
          </w:tcPr>
          <w:p>
            <w:pPr>
              <w:spacing w:after="0"/>
              <w:rPr>
                <w:sz w:val="21"/>
                <w:szCs w:val="21"/>
                <w:color w:val="auto"/>
              </w:rPr>
            </w:pPr>
          </w:p>
        </w:tc>
        <w:tc>
          <w:tcPr>
            <w:tcW w:w="7200" w:type="dxa"/>
            <w:vAlign w:val="bottom"/>
            <w:shd w:val="clear" w:color="auto" w:fill="4B5A89"/>
          </w:tcPr>
          <w:p>
            <w:pPr>
              <w:ind w:left="3360"/>
              <w:spacing w:after="0"/>
              <w:rPr>
                <w:sz w:val="20"/>
                <w:szCs w:val="20"/>
                <w:color w:val="auto"/>
              </w:rPr>
            </w:pPr>
            <w:r>
              <w:rPr>
                <w:rFonts w:ascii="Arial" w:cs="Arial" w:eastAsia="Arial" w:hAnsi="Arial"/>
                <w:sz w:val="18"/>
                <w:szCs w:val="18"/>
                <w:b w:val="1"/>
                <w:bCs w:val="1"/>
                <w:color w:val="FFFFFF"/>
              </w:rPr>
              <w:t>Proposal</w:t>
            </w:r>
          </w:p>
        </w:tc>
        <w:tc>
          <w:tcPr>
            <w:tcW w:w="1780" w:type="dxa"/>
            <w:vAlign w:val="bottom"/>
            <w:shd w:val="clear" w:color="auto" w:fill="4B5A89"/>
          </w:tcPr>
          <w:p>
            <w:pPr>
              <w:jc w:val="center"/>
              <w:spacing w:after="0"/>
              <w:rPr>
                <w:sz w:val="20"/>
                <w:szCs w:val="20"/>
                <w:color w:val="auto"/>
              </w:rPr>
            </w:pPr>
            <w:r>
              <w:rPr>
                <w:rFonts w:ascii="Arial" w:cs="Arial" w:eastAsia="Arial" w:hAnsi="Arial"/>
                <w:sz w:val="18"/>
                <w:szCs w:val="18"/>
                <w:b w:val="1"/>
                <w:bCs w:val="1"/>
                <w:color w:val="FFFFFF"/>
              </w:rPr>
              <w:t>Recommendation</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
        </w:trPr>
        <w:tc>
          <w:tcPr>
            <w:tcW w:w="1120" w:type="dxa"/>
            <w:vAlign w:val="bottom"/>
          </w:tcPr>
          <w:p>
            <w:pPr>
              <w:spacing w:after="0"/>
              <w:rPr>
                <w:sz w:val="7"/>
                <w:szCs w:val="7"/>
                <w:color w:val="auto"/>
              </w:rPr>
            </w:pPr>
          </w:p>
        </w:tc>
        <w:tc>
          <w:tcPr>
            <w:tcW w:w="7200" w:type="dxa"/>
            <w:vAlign w:val="bottom"/>
            <w:shd w:val="clear" w:color="auto" w:fill="4B5A89"/>
          </w:tcPr>
          <w:p>
            <w:pPr>
              <w:spacing w:after="0"/>
              <w:rPr>
                <w:sz w:val="7"/>
                <w:szCs w:val="7"/>
                <w:color w:val="auto"/>
              </w:rPr>
            </w:pPr>
          </w:p>
        </w:tc>
        <w:tc>
          <w:tcPr>
            <w:tcW w:w="1780" w:type="dxa"/>
            <w:vAlign w:val="bottom"/>
            <w:shd w:val="clear" w:color="auto" w:fill="4B5A89"/>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120" w:type="dxa"/>
            <w:vAlign w:val="bottom"/>
          </w:tcPr>
          <w:p>
            <w:pPr>
              <w:spacing w:after="0"/>
              <w:rPr>
                <w:sz w:val="24"/>
                <w:szCs w:val="24"/>
                <w:color w:val="auto"/>
              </w:rPr>
            </w:pPr>
          </w:p>
        </w:tc>
        <w:tc>
          <w:tcPr>
            <w:tcW w:w="7200" w:type="dxa"/>
            <w:vAlign w:val="bottom"/>
          </w:tcPr>
          <w:p>
            <w:pPr>
              <w:ind w:left="60"/>
              <w:spacing w:after="0"/>
              <w:rPr>
                <w:sz w:val="20"/>
                <w:szCs w:val="20"/>
                <w:color w:val="auto"/>
              </w:rPr>
            </w:pPr>
            <w:r>
              <w:rPr>
                <w:rFonts w:ascii="Arial" w:cs="Arial" w:eastAsia="Arial" w:hAnsi="Arial"/>
                <w:sz w:val="18"/>
                <w:szCs w:val="18"/>
                <w:b w:val="1"/>
                <w:bCs w:val="1"/>
                <w:color w:val="0072AF"/>
              </w:rPr>
              <w:t>1   Election of Directors</w:t>
            </w:r>
          </w:p>
        </w:tc>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120" w:type="dxa"/>
            <w:vAlign w:val="bottom"/>
          </w:tcPr>
          <w:p>
            <w:pPr>
              <w:spacing w:after="0"/>
              <w:rPr>
                <w:sz w:val="24"/>
                <w:szCs w:val="24"/>
                <w:color w:val="auto"/>
              </w:rPr>
            </w:pPr>
          </w:p>
        </w:tc>
        <w:tc>
          <w:tcPr>
            <w:tcW w:w="7200" w:type="dxa"/>
            <w:vAlign w:val="bottom"/>
          </w:tcPr>
          <w:p>
            <w:pPr>
              <w:ind w:left="460"/>
              <w:spacing w:after="0"/>
              <w:rPr>
                <w:sz w:val="20"/>
                <w:szCs w:val="20"/>
                <w:color w:val="auto"/>
              </w:rPr>
            </w:pPr>
            <w:r>
              <w:rPr>
                <w:rFonts w:ascii="Arial" w:cs="Arial" w:eastAsia="Arial" w:hAnsi="Arial"/>
                <w:sz w:val="18"/>
                <w:szCs w:val="18"/>
                <w:color w:val="auto"/>
              </w:rPr>
              <w:t>To elect five directors to the Board for a term ending at the 2025 Annual Meeting of</w:t>
            </w:r>
          </w:p>
        </w:tc>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7200" w:type="dxa"/>
            <w:vAlign w:val="bottom"/>
          </w:tcPr>
          <w:p>
            <w:pPr>
              <w:ind w:left="460"/>
              <w:spacing w:after="0" w:line="202" w:lineRule="exact"/>
              <w:rPr>
                <w:sz w:val="20"/>
                <w:szCs w:val="20"/>
                <w:color w:val="auto"/>
              </w:rPr>
            </w:pPr>
            <w:r>
              <w:rPr>
                <w:rFonts w:ascii="Arial" w:cs="Arial" w:eastAsia="Arial" w:hAnsi="Arial"/>
                <w:sz w:val="18"/>
                <w:szCs w:val="18"/>
                <w:color w:val="auto"/>
              </w:rPr>
              <w:t>Stockholders (the “2025 Annual Meeting”) and to serve until his or her successor</w:t>
            </w:r>
          </w:p>
        </w:tc>
        <w:tc>
          <w:tcPr>
            <w:tcW w:w="1780" w:type="dxa"/>
            <w:vAlign w:val="bottom"/>
            <w:vMerge w:val="restart"/>
          </w:tcPr>
          <w:p>
            <w:pPr>
              <w:jc w:val="center"/>
              <w:spacing w:after="0"/>
              <w:rPr>
                <w:sz w:val="20"/>
                <w:szCs w:val="20"/>
                <w:color w:val="auto"/>
              </w:rPr>
            </w:pPr>
            <w:r>
              <w:rPr>
                <w:rFonts w:ascii="Arial" w:cs="Arial" w:eastAsia="Arial" w:hAnsi="Arial"/>
                <w:sz w:val="18"/>
                <w:szCs w:val="18"/>
                <w:b w:val="1"/>
                <w:bCs w:val="1"/>
                <w:color w:val="0072AF"/>
                <w:w w:val="99"/>
              </w:rPr>
              <w:t>FOR</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7200" w:type="dxa"/>
            <w:vAlign w:val="bottom"/>
            <w:vMerge w:val="restart"/>
          </w:tcPr>
          <w:p>
            <w:pPr>
              <w:ind w:left="460"/>
              <w:spacing w:after="0" w:line="202" w:lineRule="exact"/>
              <w:rPr>
                <w:sz w:val="20"/>
                <w:szCs w:val="20"/>
                <w:color w:val="auto"/>
              </w:rPr>
            </w:pPr>
            <w:r>
              <w:rPr>
                <w:rFonts w:ascii="Arial" w:cs="Arial" w:eastAsia="Arial" w:hAnsi="Arial"/>
                <w:sz w:val="18"/>
                <w:szCs w:val="18"/>
                <w:color w:val="auto"/>
              </w:rPr>
              <w:t>has been duly elected and qualified, or until such director’s death, resignation or</w:t>
            </w:r>
          </w:p>
        </w:tc>
        <w:tc>
          <w:tcPr>
            <w:tcW w:w="178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1120" w:type="dxa"/>
            <w:vAlign w:val="bottom"/>
          </w:tcPr>
          <w:p>
            <w:pPr>
              <w:spacing w:after="0"/>
              <w:rPr>
                <w:sz w:val="4"/>
                <w:szCs w:val="4"/>
                <w:color w:val="auto"/>
              </w:rPr>
            </w:pPr>
          </w:p>
        </w:tc>
        <w:tc>
          <w:tcPr>
            <w:tcW w:w="7200" w:type="dxa"/>
            <w:vAlign w:val="bottom"/>
            <w:vMerge w:val="continue"/>
          </w:tcPr>
          <w:p>
            <w:pPr>
              <w:spacing w:after="0"/>
              <w:rPr>
                <w:sz w:val="4"/>
                <w:szCs w:val="4"/>
                <w:color w:val="auto"/>
              </w:rPr>
            </w:pPr>
          </w:p>
        </w:tc>
        <w:tc>
          <w:tcPr>
            <w:tcW w:w="1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1120" w:type="dxa"/>
            <w:vAlign w:val="bottom"/>
          </w:tcPr>
          <w:p>
            <w:pPr>
              <w:spacing w:after="0"/>
              <w:rPr>
                <w:sz w:val="20"/>
                <w:szCs w:val="20"/>
                <w:color w:val="auto"/>
              </w:rPr>
            </w:pPr>
          </w:p>
        </w:tc>
        <w:tc>
          <w:tcPr>
            <w:tcW w:w="7200" w:type="dxa"/>
            <w:vAlign w:val="bottom"/>
          </w:tcPr>
          <w:p>
            <w:pPr>
              <w:ind w:left="460"/>
              <w:spacing w:after="0"/>
              <w:rPr>
                <w:sz w:val="20"/>
                <w:szCs w:val="20"/>
                <w:color w:val="auto"/>
              </w:rPr>
            </w:pPr>
            <w:r>
              <w:rPr>
                <w:rFonts w:ascii="Arial" w:cs="Arial" w:eastAsia="Arial" w:hAnsi="Arial"/>
                <w:sz w:val="18"/>
                <w:szCs w:val="18"/>
                <w:color w:val="auto"/>
              </w:rPr>
              <w:t>removal.</w:t>
            </w:r>
          </w:p>
        </w:tc>
        <w:tc>
          <w:tcPr>
            <w:tcW w:w="1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7200" w:type="dxa"/>
            <w:vAlign w:val="bottom"/>
          </w:tcPr>
          <w:p>
            <w:pPr>
              <w:ind w:left="460"/>
              <w:spacing w:after="0"/>
              <w:rPr>
                <w:sz w:val="20"/>
                <w:szCs w:val="20"/>
                <w:color w:val="auto"/>
              </w:rPr>
            </w:pPr>
            <w:r>
              <w:rPr>
                <w:rFonts w:ascii="Arial" w:cs="Arial" w:eastAsia="Arial" w:hAnsi="Arial"/>
                <w:sz w:val="18"/>
                <w:szCs w:val="18"/>
                <w:b w:val="1"/>
                <w:bCs w:val="1"/>
                <w:color w:val="auto"/>
              </w:rPr>
              <w:t>The Board of Directors recommends that stockholders vote FOR the election</w:t>
            </w:r>
          </w:p>
        </w:tc>
        <w:tc>
          <w:tcPr>
            <w:tcW w:w="1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20" w:type="dxa"/>
            <w:vAlign w:val="bottom"/>
          </w:tcPr>
          <w:p>
            <w:pPr>
              <w:spacing w:after="0"/>
              <w:rPr>
                <w:sz w:val="21"/>
                <w:szCs w:val="21"/>
                <w:color w:val="auto"/>
              </w:rPr>
            </w:pPr>
          </w:p>
        </w:tc>
        <w:tc>
          <w:tcPr>
            <w:tcW w:w="7200" w:type="dxa"/>
            <w:vAlign w:val="bottom"/>
          </w:tcPr>
          <w:p>
            <w:pPr>
              <w:ind w:left="460"/>
              <w:spacing w:after="0"/>
              <w:rPr>
                <w:sz w:val="20"/>
                <w:szCs w:val="20"/>
                <w:color w:val="auto"/>
              </w:rPr>
            </w:pPr>
            <w:r>
              <w:rPr>
                <w:rFonts w:ascii="Arial" w:cs="Arial" w:eastAsia="Arial" w:hAnsi="Arial"/>
                <w:sz w:val="18"/>
                <w:szCs w:val="18"/>
                <w:b w:val="1"/>
                <w:bCs w:val="1"/>
                <w:color w:val="auto"/>
              </w:rPr>
              <w:t>of all the director nominees</w:t>
            </w:r>
          </w:p>
        </w:tc>
        <w:tc>
          <w:tcPr>
            <w:tcW w:w="1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
        </w:trPr>
        <w:tc>
          <w:tcPr>
            <w:tcW w:w="1120" w:type="dxa"/>
            <w:vAlign w:val="bottom"/>
          </w:tcPr>
          <w:p>
            <w:pPr>
              <w:spacing w:after="0"/>
              <w:rPr>
                <w:sz w:val="7"/>
                <w:szCs w:val="7"/>
                <w:color w:val="auto"/>
              </w:rPr>
            </w:pPr>
          </w:p>
        </w:tc>
        <w:tc>
          <w:tcPr>
            <w:tcW w:w="7200" w:type="dxa"/>
            <w:vAlign w:val="bottom"/>
            <w:tcBorders>
              <w:bottom w:val="single" w:sz="8" w:color="B9C3E4"/>
            </w:tcBorders>
          </w:tcPr>
          <w:p>
            <w:pPr>
              <w:spacing w:after="0"/>
              <w:rPr>
                <w:sz w:val="7"/>
                <w:szCs w:val="7"/>
                <w:color w:val="auto"/>
              </w:rPr>
            </w:pPr>
          </w:p>
        </w:tc>
        <w:tc>
          <w:tcPr>
            <w:tcW w:w="1780" w:type="dxa"/>
            <w:vAlign w:val="bottom"/>
            <w:tcBorders>
              <w:bottom w:val="single" w:sz="8" w:color="B9C3E4"/>
            </w:tcBorders>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120" w:type="dxa"/>
            <w:vAlign w:val="bottom"/>
          </w:tcPr>
          <w:p>
            <w:pPr>
              <w:spacing w:after="0"/>
              <w:rPr>
                <w:sz w:val="24"/>
                <w:szCs w:val="24"/>
                <w:color w:val="auto"/>
              </w:rPr>
            </w:pPr>
          </w:p>
        </w:tc>
        <w:tc>
          <w:tcPr>
            <w:tcW w:w="7200" w:type="dxa"/>
            <w:vAlign w:val="bottom"/>
          </w:tcPr>
          <w:p>
            <w:pPr>
              <w:ind w:left="60"/>
              <w:spacing w:after="0"/>
              <w:rPr>
                <w:sz w:val="20"/>
                <w:szCs w:val="20"/>
                <w:color w:val="auto"/>
              </w:rPr>
            </w:pPr>
            <w:r>
              <w:rPr>
                <w:rFonts w:ascii="Arial" w:cs="Arial" w:eastAsia="Arial" w:hAnsi="Arial"/>
                <w:sz w:val="18"/>
                <w:szCs w:val="18"/>
                <w:b w:val="1"/>
                <w:bCs w:val="1"/>
                <w:color w:val="0072AF"/>
              </w:rPr>
              <w:t>2   Ratification of the Appointment of PricewaterhouseCoopers LLP as our</w:t>
            </w:r>
          </w:p>
        </w:tc>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120" w:type="dxa"/>
            <w:vAlign w:val="bottom"/>
          </w:tcPr>
          <w:p>
            <w:pPr>
              <w:spacing w:after="0"/>
              <w:rPr>
                <w:sz w:val="21"/>
                <w:szCs w:val="21"/>
                <w:color w:val="auto"/>
              </w:rPr>
            </w:pPr>
          </w:p>
        </w:tc>
        <w:tc>
          <w:tcPr>
            <w:tcW w:w="7200" w:type="dxa"/>
            <w:vAlign w:val="bottom"/>
          </w:tcPr>
          <w:p>
            <w:pPr>
              <w:ind w:left="460"/>
              <w:spacing w:after="0"/>
              <w:rPr>
                <w:sz w:val="20"/>
                <w:szCs w:val="20"/>
                <w:color w:val="auto"/>
              </w:rPr>
            </w:pPr>
            <w:r>
              <w:rPr>
                <w:rFonts w:ascii="Arial" w:cs="Arial" w:eastAsia="Arial" w:hAnsi="Arial"/>
                <w:sz w:val="18"/>
                <w:szCs w:val="18"/>
                <w:b w:val="1"/>
                <w:bCs w:val="1"/>
                <w:color w:val="0072AF"/>
              </w:rPr>
              <w:t>Independent Registered Public Accountants for 2024</w:t>
            </w:r>
          </w:p>
        </w:tc>
        <w:tc>
          <w:tcPr>
            <w:tcW w:w="1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1120" w:type="dxa"/>
            <w:vAlign w:val="bottom"/>
          </w:tcPr>
          <w:p>
            <w:pPr>
              <w:spacing w:after="0"/>
              <w:rPr>
                <w:sz w:val="24"/>
                <w:szCs w:val="24"/>
                <w:color w:val="auto"/>
              </w:rPr>
            </w:pPr>
          </w:p>
        </w:tc>
        <w:tc>
          <w:tcPr>
            <w:tcW w:w="7200" w:type="dxa"/>
            <w:vAlign w:val="bottom"/>
          </w:tcPr>
          <w:p>
            <w:pPr>
              <w:ind w:left="460"/>
              <w:spacing w:after="0"/>
              <w:rPr>
                <w:sz w:val="20"/>
                <w:szCs w:val="20"/>
                <w:color w:val="auto"/>
              </w:rPr>
            </w:pPr>
            <w:r>
              <w:rPr>
                <w:rFonts w:ascii="Arial" w:cs="Arial" w:eastAsia="Arial" w:hAnsi="Arial"/>
                <w:sz w:val="18"/>
                <w:szCs w:val="18"/>
                <w:color w:val="auto"/>
              </w:rPr>
              <w:t>To  ratify  the  selection  of  PricewaterhouseCoopers  LLP  (“PwC”)  as  our</w:t>
            </w:r>
          </w:p>
        </w:tc>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7200" w:type="dxa"/>
            <w:vAlign w:val="bottom"/>
          </w:tcPr>
          <w:p>
            <w:pPr>
              <w:ind w:left="460"/>
              <w:spacing w:after="0"/>
              <w:rPr>
                <w:sz w:val="20"/>
                <w:szCs w:val="20"/>
                <w:color w:val="auto"/>
              </w:rPr>
            </w:pPr>
            <w:r>
              <w:rPr>
                <w:rFonts w:ascii="Arial" w:cs="Arial" w:eastAsia="Arial" w:hAnsi="Arial"/>
                <w:sz w:val="18"/>
                <w:szCs w:val="18"/>
                <w:color w:val="auto"/>
              </w:rPr>
              <w:t>independent  registered  public  accounting  firm  for  the  fiscal  year  ending</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0072AF"/>
                <w:w w:val="99"/>
              </w:rPr>
              <w:t>FOR</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120" w:type="dxa"/>
            <w:vAlign w:val="bottom"/>
          </w:tcPr>
          <w:p>
            <w:pPr>
              <w:spacing w:after="0"/>
              <w:rPr>
                <w:sz w:val="20"/>
                <w:szCs w:val="20"/>
                <w:color w:val="auto"/>
              </w:rPr>
            </w:pPr>
          </w:p>
        </w:tc>
        <w:tc>
          <w:tcPr>
            <w:tcW w:w="7200" w:type="dxa"/>
            <w:vAlign w:val="bottom"/>
          </w:tcPr>
          <w:p>
            <w:pPr>
              <w:ind w:left="460"/>
              <w:spacing w:after="0"/>
              <w:rPr>
                <w:sz w:val="20"/>
                <w:szCs w:val="20"/>
                <w:color w:val="auto"/>
              </w:rPr>
            </w:pPr>
            <w:r>
              <w:rPr>
                <w:rFonts w:ascii="Arial" w:cs="Arial" w:eastAsia="Arial" w:hAnsi="Arial"/>
                <w:sz w:val="18"/>
                <w:szCs w:val="18"/>
                <w:color w:val="auto"/>
              </w:rPr>
              <w:t>December 31, 2024.</w:t>
            </w:r>
          </w:p>
        </w:tc>
        <w:tc>
          <w:tcPr>
            <w:tcW w:w="1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120" w:type="dxa"/>
            <w:vAlign w:val="bottom"/>
          </w:tcPr>
          <w:p>
            <w:pPr>
              <w:spacing w:after="0"/>
              <w:rPr>
                <w:sz w:val="19"/>
                <w:szCs w:val="19"/>
                <w:color w:val="auto"/>
              </w:rPr>
            </w:pPr>
          </w:p>
        </w:tc>
        <w:tc>
          <w:tcPr>
            <w:tcW w:w="7200" w:type="dxa"/>
            <w:vAlign w:val="bottom"/>
          </w:tcPr>
          <w:p>
            <w:pPr>
              <w:ind w:left="460"/>
              <w:spacing w:after="0"/>
              <w:rPr>
                <w:sz w:val="20"/>
                <w:szCs w:val="20"/>
                <w:color w:val="auto"/>
              </w:rPr>
            </w:pPr>
            <w:r>
              <w:rPr>
                <w:rFonts w:ascii="Arial" w:cs="Arial" w:eastAsia="Arial" w:hAnsi="Arial"/>
                <w:sz w:val="18"/>
                <w:szCs w:val="18"/>
                <w:b w:val="1"/>
                <w:bCs w:val="1"/>
                <w:color w:val="auto"/>
              </w:rPr>
              <w:t>The  Board  of  Directors  recommends  that  stockholders  vote  FOR  the</w:t>
            </w:r>
          </w:p>
        </w:tc>
        <w:tc>
          <w:tcPr>
            <w:tcW w:w="1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7200" w:type="dxa"/>
            <w:vAlign w:val="bottom"/>
          </w:tcPr>
          <w:p>
            <w:pPr>
              <w:ind w:left="460"/>
              <w:spacing w:after="0" w:line="202" w:lineRule="exact"/>
              <w:rPr>
                <w:sz w:val="20"/>
                <w:szCs w:val="20"/>
                <w:color w:val="auto"/>
              </w:rPr>
            </w:pPr>
            <w:r>
              <w:rPr>
                <w:rFonts w:ascii="Arial" w:cs="Arial" w:eastAsia="Arial" w:hAnsi="Arial"/>
                <w:sz w:val="18"/>
                <w:szCs w:val="18"/>
                <w:b w:val="1"/>
                <w:bCs w:val="1"/>
                <w:color w:val="auto"/>
              </w:rPr>
              <w:t>ratification of PricewaterhouseCoopers LLP as our independent registered</w:t>
            </w:r>
          </w:p>
        </w:tc>
        <w:tc>
          <w:tcPr>
            <w:tcW w:w="1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120" w:type="dxa"/>
            <w:vAlign w:val="bottom"/>
          </w:tcPr>
          <w:p>
            <w:pPr>
              <w:spacing w:after="0"/>
              <w:rPr>
                <w:sz w:val="21"/>
                <w:szCs w:val="21"/>
                <w:color w:val="auto"/>
              </w:rPr>
            </w:pPr>
          </w:p>
        </w:tc>
        <w:tc>
          <w:tcPr>
            <w:tcW w:w="7200" w:type="dxa"/>
            <w:vAlign w:val="bottom"/>
          </w:tcPr>
          <w:p>
            <w:pPr>
              <w:ind w:left="460"/>
              <w:spacing w:after="0"/>
              <w:rPr>
                <w:sz w:val="20"/>
                <w:szCs w:val="20"/>
                <w:color w:val="auto"/>
              </w:rPr>
            </w:pPr>
            <w:r>
              <w:rPr>
                <w:rFonts w:ascii="Arial" w:cs="Arial" w:eastAsia="Arial" w:hAnsi="Arial"/>
                <w:sz w:val="18"/>
                <w:szCs w:val="18"/>
                <w:b w:val="1"/>
                <w:bCs w:val="1"/>
                <w:color w:val="auto"/>
              </w:rPr>
              <w:t>public accountants for 2024.</w:t>
            </w:r>
          </w:p>
        </w:tc>
        <w:tc>
          <w:tcPr>
            <w:tcW w:w="1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
        </w:trPr>
        <w:tc>
          <w:tcPr>
            <w:tcW w:w="1120" w:type="dxa"/>
            <w:vAlign w:val="bottom"/>
          </w:tcPr>
          <w:p>
            <w:pPr>
              <w:spacing w:after="0"/>
              <w:rPr>
                <w:sz w:val="7"/>
                <w:szCs w:val="7"/>
                <w:color w:val="auto"/>
              </w:rPr>
            </w:pPr>
          </w:p>
        </w:tc>
        <w:tc>
          <w:tcPr>
            <w:tcW w:w="7200" w:type="dxa"/>
            <w:vAlign w:val="bottom"/>
            <w:tcBorders>
              <w:bottom w:val="single" w:sz="8" w:color="B9C3E4"/>
            </w:tcBorders>
          </w:tcPr>
          <w:p>
            <w:pPr>
              <w:spacing w:after="0"/>
              <w:rPr>
                <w:sz w:val="7"/>
                <w:szCs w:val="7"/>
                <w:color w:val="auto"/>
              </w:rPr>
            </w:pPr>
          </w:p>
        </w:tc>
        <w:tc>
          <w:tcPr>
            <w:tcW w:w="1780" w:type="dxa"/>
            <w:vAlign w:val="bottom"/>
            <w:tcBorders>
              <w:bottom w:val="single" w:sz="8" w:color="B9C3E4"/>
            </w:tcBorders>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9"/>
        </w:trPr>
        <w:tc>
          <w:tcPr>
            <w:tcW w:w="1120" w:type="dxa"/>
            <w:vAlign w:val="bottom"/>
          </w:tcPr>
          <w:p>
            <w:pPr>
              <w:spacing w:after="0"/>
              <w:rPr>
                <w:sz w:val="24"/>
                <w:szCs w:val="24"/>
                <w:color w:val="auto"/>
              </w:rPr>
            </w:pPr>
          </w:p>
        </w:tc>
        <w:tc>
          <w:tcPr>
            <w:tcW w:w="7200" w:type="dxa"/>
            <w:vAlign w:val="bottom"/>
          </w:tcPr>
          <w:p>
            <w:pPr>
              <w:ind w:left="4340"/>
              <w:spacing w:after="0"/>
              <w:rPr>
                <w:sz w:val="20"/>
                <w:szCs w:val="20"/>
                <w:color w:val="auto"/>
              </w:rPr>
            </w:pPr>
            <w:r>
              <w:rPr>
                <w:rFonts w:ascii="Arial" w:cs="Arial" w:eastAsia="Arial" w:hAnsi="Arial"/>
                <w:sz w:val="18"/>
                <w:szCs w:val="18"/>
                <w:color w:val="auto"/>
              </w:rPr>
              <w:t>5</w:t>
            </w:r>
          </w:p>
        </w:tc>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120" w:type="dxa"/>
            <w:vAlign w:val="bottom"/>
            <w:tcBorders>
              <w:bottom w:val="single" w:sz="8" w:color="auto"/>
            </w:tcBorders>
          </w:tcPr>
          <w:p>
            <w:pPr>
              <w:spacing w:after="0"/>
              <w:rPr>
                <w:sz w:val="14"/>
                <w:szCs w:val="14"/>
                <w:color w:val="auto"/>
              </w:rPr>
            </w:pPr>
          </w:p>
        </w:tc>
        <w:tc>
          <w:tcPr>
            <w:tcW w:w="7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42" w:lineRule="exact"/>
        <w:rPr>
          <w:sz w:val="20"/>
          <w:szCs w:val="20"/>
          <w:color w:val="auto"/>
        </w:rPr>
      </w:pPr>
    </w:p>
    <w:tbl>
      <w:tblPr>
        <w:tblLayout w:type="fixed"/>
        <w:tblInd w:w="200" w:type="dxa"/>
        <w:tblCellMar>
          <w:top w:w="0" w:type="dxa"/>
          <w:left w:w="0" w:type="dxa"/>
          <w:bottom w:w="0" w:type="dxa"/>
          <w:right w:w="0" w:type="dxa"/>
        </w:tblCellMar>
      </w:tblPr>
      <w:tr>
        <w:trPr>
          <w:trHeight w:val="292"/>
        </w:trPr>
        <w:tc>
          <w:tcPr>
            <w:tcW w:w="5900" w:type="dxa"/>
            <w:vAlign w:val="bottom"/>
            <w:shd w:val="clear" w:color="auto" w:fill="4B5A89"/>
          </w:tcPr>
          <w:p>
            <w:pPr>
              <w:spacing w:after="0"/>
              <w:rPr>
                <w:sz w:val="24"/>
                <w:szCs w:val="24"/>
                <w:color w:val="auto"/>
              </w:rPr>
            </w:pPr>
          </w:p>
        </w:tc>
        <w:tc>
          <w:tcPr>
            <w:tcW w:w="3280" w:type="dxa"/>
            <w:vAlign w:val="bottom"/>
            <w:shd w:val="clear" w:color="auto" w:fill="4B5A89"/>
          </w:tcPr>
          <w:p>
            <w:pPr>
              <w:jc w:val="center"/>
              <w:ind w:left="1430"/>
              <w:spacing w:after="0"/>
              <w:rPr>
                <w:sz w:val="20"/>
                <w:szCs w:val="20"/>
                <w:color w:val="auto"/>
              </w:rPr>
            </w:pPr>
            <w:r>
              <w:rPr>
                <w:rFonts w:ascii="Arial" w:cs="Arial" w:eastAsia="Arial" w:hAnsi="Arial"/>
                <w:sz w:val="18"/>
                <w:szCs w:val="18"/>
                <w:b w:val="1"/>
                <w:bCs w:val="1"/>
                <w:color w:val="FFFFFF"/>
                <w:w w:val="99"/>
              </w:rPr>
              <w:t>Board</w:t>
            </w:r>
          </w:p>
        </w:tc>
      </w:tr>
      <w:tr>
        <w:trPr>
          <w:trHeight w:val="247"/>
        </w:trPr>
        <w:tc>
          <w:tcPr>
            <w:tcW w:w="5900" w:type="dxa"/>
            <w:vAlign w:val="bottom"/>
            <w:shd w:val="clear" w:color="auto" w:fill="4B5A89"/>
          </w:tcPr>
          <w:p>
            <w:pPr>
              <w:ind w:left="3460"/>
              <w:spacing w:after="0"/>
              <w:rPr>
                <w:sz w:val="20"/>
                <w:szCs w:val="20"/>
                <w:color w:val="auto"/>
              </w:rPr>
            </w:pPr>
            <w:r>
              <w:rPr>
                <w:rFonts w:ascii="Arial" w:cs="Arial" w:eastAsia="Arial" w:hAnsi="Arial"/>
                <w:sz w:val="18"/>
                <w:szCs w:val="18"/>
                <w:b w:val="1"/>
                <w:bCs w:val="1"/>
                <w:color w:val="FFFFFF"/>
              </w:rPr>
              <w:t>Proposal</w:t>
            </w:r>
          </w:p>
        </w:tc>
        <w:tc>
          <w:tcPr>
            <w:tcW w:w="3280" w:type="dxa"/>
            <w:vAlign w:val="bottom"/>
            <w:shd w:val="clear" w:color="auto" w:fill="4B5A89"/>
          </w:tcPr>
          <w:p>
            <w:pPr>
              <w:jc w:val="center"/>
              <w:ind w:left="1450"/>
              <w:spacing w:after="0"/>
              <w:rPr>
                <w:sz w:val="20"/>
                <w:szCs w:val="20"/>
                <w:color w:val="auto"/>
              </w:rPr>
            </w:pPr>
            <w:r>
              <w:rPr>
                <w:rFonts w:ascii="Arial" w:cs="Arial" w:eastAsia="Arial" w:hAnsi="Arial"/>
                <w:sz w:val="18"/>
                <w:szCs w:val="18"/>
                <w:b w:val="1"/>
                <w:bCs w:val="1"/>
                <w:color w:val="FFFFFF"/>
                <w:w w:val="99"/>
              </w:rPr>
              <w:t>Recommendation</w:t>
            </w:r>
          </w:p>
        </w:tc>
      </w:tr>
      <w:tr>
        <w:trPr>
          <w:trHeight w:val="83"/>
        </w:trPr>
        <w:tc>
          <w:tcPr>
            <w:tcW w:w="5900" w:type="dxa"/>
            <w:vAlign w:val="bottom"/>
            <w:shd w:val="clear" w:color="auto" w:fill="4B5A89"/>
          </w:tcPr>
          <w:p>
            <w:pPr>
              <w:spacing w:after="0"/>
              <w:rPr>
                <w:sz w:val="7"/>
                <w:szCs w:val="7"/>
                <w:color w:val="auto"/>
              </w:rPr>
            </w:pPr>
          </w:p>
        </w:tc>
        <w:tc>
          <w:tcPr>
            <w:tcW w:w="3280" w:type="dxa"/>
            <w:vAlign w:val="bottom"/>
            <w:shd w:val="clear" w:color="auto" w:fill="4B5A89"/>
          </w:tcPr>
          <w:p>
            <w:pPr>
              <w:spacing w:after="0"/>
              <w:rPr>
                <w:sz w:val="7"/>
                <w:szCs w:val="7"/>
                <w:color w:val="auto"/>
              </w:rPr>
            </w:pPr>
          </w:p>
        </w:tc>
      </w:tr>
    </w:tbl>
    <w:p>
      <w:pPr>
        <w:spacing w:after="0" w:line="130" w:lineRule="exact"/>
        <w:rPr>
          <w:sz w:val="20"/>
          <w:szCs w:val="20"/>
          <w:color w:val="auto"/>
        </w:rPr>
      </w:pPr>
    </w:p>
    <w:p>
      <w:pPr>
        <w:ind w:left="700" w:right="2380" w:hanging="436"/>
        <w:spacing w:after="0" w:line="257" w:lineRule="auto"/>
        <w:tabs>
          <w:tab w:leader="none" w:pos="700" w:val="left"/>
        </w:tabs>
        <w:numPr>
          <w:ilvl w:val="0"/>
          <w:numId w:val="4"/>
        </w:numPr>
        <w:rPr>
          <w:rFonts w:ascii="Arial" w:cs="Arial" w:eastAsia="Arial" w:hAnsi="Arial"/>
          <w:sz w:val="18"/>
          <w:szCs w:val="18"/>
          <w:b w:val="1"/>
          <w:bCs w:val="1"/>
          <w:color w:val="0072AF"/>
        </w:rPr>
      </w:pPr>
      <w:r>
        <w:rPr>
          <w:rFonts w:ascii="Arial" w:cs="Arial" w:eastAsia="Arial" w:hAnsi="Arial"/>
          <w:sz w:val="18"/>
          <w:szCs w:val="18"/>
          <w:b w:val="1"/>
          <w:bCs w:val="1"/>
          <w:color w:val="0072AF"/>
        </w:rPr>
        <w:t>Approval of an Amendment to the Company’s Restated Certificate of Incorporation to Give Holders of 25% of the Company’s Stock the Right to Request a Special Meeting</w:t>
      </w:r>
    </w:p>
    <w:p>
      <w:pPr>
        <w:spacing w:after="0" w:line="159" w:lineRule="exact"/>
        <w:rPr>
          <w:sz w:val="20"/>
          <w:szCs w:val="20"/>
          <w:color w:val="auto"/>
        </w:rPr>
      </w:pPr>
    </w:p>
    <w:p>
      <w:pPr>
        <w:jc w:val="both"/>
        <w:ind w:left="700" w:right="1980"/>
        <w:spacing w:after="0" w:line="222" w:lineRule="auto"/>
        <w:rPr>
          <w:sz w:val="20"/>
          <w:szCs w:val="20"/>
          <w:color w:val="auto"/>
        </w:rPr>
      </w:pPr>
      <w:r>
        <w:rPr>
          <w:rFonts w:ascii="Arial" w:cs="Arial" w:eastAsia="Arial" w:hAnsi="Arial"/>
          <w:sz w:val="18"/>
          <w:szCs w:val="18"/>
          <w:color w:val="auto"/>
        </w:rPr>
        <w:t>To amend the Company’s Restated Certificate of Incorporation to allow one or more stockholders who own at least 25% of the Company’s Common Stock and who</w:t>
      </w:r>
    </w:p>
    <w:p>
      <w:pPr>
        <w:ind w:left="700" w:right="680"/>
        <w:spacing w:after="0" w:line="182" w:lineRule="auto"/>
        <w:rPr>
          <w:sz w:val="20"/>
          <w:szCs w:val="20"/>
          <w:color w:val="auto"/>
        </w:rPr>
      </w:pPr>
      <w:r>
        <w:rPr>
          <w:rFonts w:ascii="Arial" w:cs="Arial" w:eastAsia="Arial" w:hAnsi="Arial"/>
          <w:sz w:val="18"/>
          <w:szCs w:val="18"/>
          <w:color w:val="auto"/>
        </w:rPr>
        <w:t xml:space="preserve">satisfy certain procedures to require that the Company call a special meeting of the </w:t>
      </w:r>
      <w:r>
        <w:rPr>
          <w:rFonts w:ascii="Arial" w:cs="Arial" w:eastAsia="Arial" w:hAnsi="Arial"/>
          <w:sz w:val="35"/>
          <w:szCs w:val="35"/>
          <w:b w:val="1"/>
          <w:bCs w:val="1"/>
          <w:color w:val="0072AF"/>
          <w:vertAlign w:val="superscript"/>
        </w:rPr>
        <w:t>FOR</w:t>
      </w:r>
      <w:r>
        <w:rPr>
          <w:rFonts w:ascii="Arial" w:cs="Arial" w:eastAsia="Arial" w:hAnsi="Arial"/>
          <w:sz w:val="18"/>
          <w:szCs w:val="18"/>
          <w:color w:val="auto"/>
        </w:rPr>
        <w:t xml:space="preserve"> stockholders.</w:t>
      </w:r>
    </w:p>
    <w:p>
      <w:pPr>
        <w:spacing w:after="0" w:line="45" w:lineRule="exact"/>
        <w:rPr>
          <w:sz w:val="20"/>
          <w:szCs w:val="20"/>
          <w:color w:val="auto"/>
        </w:rPr>
      </w:pPr>
    </w:p>
    <w:p>
      <w:pPr>
        <w:jc w:val="both"/>
        <w:ind w:left="700" w:right="1980"/>
        <w:spacing w:after="0" w:line="250" w:lineRule="auto"/>
        <w:rPr>
          <w:sz w:val="20"/>
          <w:szCs w:val="20"/>
          <w:color w:val="auto"/>
        </w:rPr>
      </w:pPr>
      <w:r>
        <w:rPr>
          <w:rFonts w:ascii="Arial" w:cs="Arial" w:eastAsia="Arial" w:hAnsi="Arial"/>
          <w:sz w:val="18"/>
          <w:szCs w:val="18"/>
          <w:b w:val="1"/>
          <w:bCs w:val="1"/>
          <w:color w:val="auto"/>
        </w:rPr>
        <w:t>The Board of Directors recommends that stockholders vote FOR the proposal to approve an Amendment to the Company’s Restated Certificate of Incorporation to Give Holders of 25% of the Company’s Stock the Right to Request a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38735</wp:posOffset>
            </wp:positionV>
            <wp:extent cx="58293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44" w:lineRule="exact"/>
        <w:rPr>
          <w:sz w:val="20"/>
          <w:szCs w:val="20"/>
          <w:color w:val="auto"/>
        </w:rPr>
      </w:pPr>
    </w:p>
    <w:p>
      <w:pPr>
        <w:ind w:left="700" w:hanging="436"/>
        <w:spacing w:after="0"/>
        <w:tabs>
          <w:tab w:leader="none" w:pos="700" w:val="left"/>
        </w:tabs>
        <w:numPr>
          <w:ilvl w:val="0"/>
          <w:numId w:val="5"/>
        </w:numPr>
        <w:rPr>
          <w:rFonts w:ascii="Arial" w:cs="Arial" w:eastAsia="Arial" w:hAnsi="Arial"/>
          <w:sz w:val="18"/>
          <w:szCs w:val="18"/>
          <w:b w:val="1"/>
          <w:bCs w:val="1"/>
          <w:color w:val="0072AF"/>
        </w:rPr>
      </w:pPr>
      <w:r>
        <w:rPr>
          <w:rFonts w:ascii="Arial" w:cs="Arial" w:eastAsia="Arial" w:hAnsi="Arial"/>
          <w:sz w:val="18"/>
          <w:szCs w:val="18"/>
          <w:b w:val="1"/>
          <w:bCs w:val="1"/>
          <w:color w:val="0072AF"/>
        </w:rPr>
        <w:t>Non-Binding Advisory Vote to Approve Executive Compensation</w:t>
      </w:r>
    </w:p>
    <w:p>
      <w:pPr>
        <w:spacing w:after="0" w:line="212" w:lineRule="exact"/>
        <w:rPr>
          <w:sz w:val="20"/>
          <w:szCs w:val="20"/>
          <w:color w:val="auto"/>
        </w:rPr>
      </w:pPr>
    </w:p>
    <w:p>
      <w:pPr>
        <w:jc w:val="both"/>
        <w:ind w:left="700" w:right="1980"/>
        <w:spacing w:after="0" w:line="226" w:lineRule="auto"/>
        <w:rPr>
          <w:sz w:val="20"/>
          <w:szCs w:val="20"/>
          <w:color w:val="auto"/>
        </w:rPr>
      </w:pPr>
      <w:r>
        <w:rPr>
          <w:rFonts w:ascii="Arial" w:cs="Arial" w:eastAsia="Arial" w:hAnsi="Arial"/>
          <w:sz w:val="18"/>
          <w:szCs w:val="18"/>
          <w:color w:val="auto"/>
        </w:rPr>
        <w:t>To approve, on a non-binding advisory basis, the compensation of the named executive officers as disclosed in this Proxy Statement. The Board has determined to hold this advisory vote on an annual basis. The next advisory vote is expected to</w:t>
      </w:r>
    </w:p>
    <w:p>
      <w:pPr>
        <w:spacing w:after="0" w:line="1" w:lineRule="exact"/>
        <w:rPr>
          <w:sz w:val="20"/>
          <w:szCs w:val="20"/>
          <w:color w:val="auto"/>
        </w:rPr>
      </w:pPr>
    </w:p>
    <w:p>
      <w:pPr>
        <w:ind w:left="700" w:right="680"/>
        <w:spacing w:after="0"/>
        <w:rPr>
          <w:sz w:val="20"/>
          <w:szCs w:val="20"/>
          <w:color w:val="auto"/>
        </w:rPr>
      </w:pPr>
      <w:r>
        <w:rPr>
          <w:rFonts w:ascii="Arial" w:cs="Arial" w:eastAsia="Arial" w:hAnsi="Arial"/>
          <w:sz w:val="18"/>
          <w:szCs w:val="18"/>
          <w:color w:val="auto"/>
        </w:rPr>
        <w:t xml:space="preserve">take place at the 2025 Annual Meeting. The Board will review the results and take </w:t>
      </w:r>
      <w:r>
        <w:rPr>
          <w:rFonts w:ascii="Arial" w:cs="Arial" w:eastAsia="Arial" w:hAnsi="Arial"/>
          <w:sz w:val="35"/>
          <w:szCs w:val="35"/>
          <w:b w:val="1"/>
          <w:bCs w:val="1"/>
          <w:color w:val="0072AF"/>
          <w:vertAlign w:val="superscript"/>
        </w:rPr>
        <w:t>FOR</w:t>
      </w:r>
      <w:r>
        <w:rPr>
          <w:rFonts w:ascii="Arial" w:cs="Arial" w:eastAsia="Arial" w:hAnsi="Arial"/>
          <w:sz w:val="18"/>
          <w:szCs w:val="18"/>
          <w:color w:val="auto"/>
        </w:rPr>
        <w:t xml:space="preserve"> them into consideration when making future decisions regarding executive compensation.</w:t>
      </w:r>
    </w:p>
    <w:p>
      <w:pPr>
        <w:spacing w:after="0" w:line="101" w:lineRule="exact"/>
        <w:rPr>
          <w:sz w:val="20"/>
          <w:szCs w:val="20"/>
          <w:color w:val="auto"/>
        </w:rPr>
      </w:pPr>
    </w:p>
    <w:p>
      <w:pPr>
        <w:ind w:left="700" w:right="1980"/>
        <w:spacing w:after="0" w:line="281" w:lineRule="auto"/>
        <w:rPr>
          <w:sz w:val="20"/>
          <w:szCs w:val="20"/>
          <w:color w:val="auto"/>
        </w:rPr>
      </w:pPr>
      <w:r>
        <w:rPr>
          <w:rFonts w:ascii="Arial" w:cs="Arial" w:eastAsia="Arial" w:hAnsi="Arial"/>
          <w:sz w:val="18"/>
          <w:szCs w:val="18"/>
          <w:b w:val="1"/>
          <w:bCs w:val="1"/>
          <w:color w:val="auto"/>
        </w:rPr>
        <w:t>The Board of Directors recommends that stockholders vote FOR the approval of executive compensation on an advisory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21590</wp:posOffset>
            </wp:positionV>
            <wp:extent cx="55892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89270" cy="8890"/>
                    </a:xfrm>
                    <a:prstGeom prst="rect">
                      <a:avLst/>
                    </a:prstGeom>
                    <a:noFill/>
                  </pic:spPr>
                </pic:pic>
              </a:graphicData>
            </a:graphic>
          </wp:anchor>
        </w:drawing>
      </w:r>
    </w:p>
    <w:p>
      <w:pPr>
        <w:spacing w:after="0" w:line="116" w:lineRule="exact"/>
        <w:rPr>
          <w:sz w:val="20"/>
          <w:szCs w:val="20"/>
          <w:color w:val="auto"/>
        </w:rPr>
      </w:pPr>
    </w:p>
    <w:p>
      <w:pPr>
        <w:ind w:left="700" w:right="2820" w:hanging="436"/>
        <w:spacing w:after="0" w:line="311" w:lineRule="auto"/>
        <w:tabs>
          <w:tab w:leader="none" w:pos="700" w:val="left"/>
        </w:tabs>
        <w:numPr>
          <w:ilvl w:val="0"/>
          <w:numId w:val="6"/>
        </w:numPr>
        <w:rPr>
          <w:rFonts w:ascii="Arial" w:cs="Arial" w:eastAsia="Arial" w:hAnsi="Arial"/>
          <w:sz w:val="17"/>
          <w:szCs w:val="17"/>
          <w:b w:val="1"/>
          <w:bCs w:val="1"/>
          <w:color w:val="0072AF"/>
        </w:rPr>
      </w:pPr>
      <w:r>
        <w:rPr>
          <w:rFonts w:ascii="Arial" w:cs="Arial" w:eastAsia="Arial" w:hAnsi="Arial"/>
          <w:sz w:val="17"/>
          <w:szCs w:val="17"/>
          <w:b w:val="1"/>
          <w:bCs w:val="1"/>
          <w:color w:val="0072AF"/>
        </w:rPr>
        <w:t>Approval of an Amendment And Restatement of the Employee Stock Purchase Plan to Increase Plan Shares Reserved For Issuance</w:t>
      </w:r>
    </w:p>
    <w:p>
      <w:pPr>
        <w:spacing w:after="0" w:line="114" w:lineRule="exact"/>
        <w:rPr>
          <w:rFonts w:ascii="Arial" w:cs="Arial" w:eastAsia="Arial" w:hAnsi="Arial"/>
          <w:sz w:val="17"/>
          <w:szCs w:val="17"/>
          <w:b w:val="1"/>
          <w:bCs w:val="1"/>
          <w:color w:val="0072AF"/>
        </w:rPr>
      </w:pPr>
    </w:p>
    <w:p>
      <w:pPr>
        <w:jc w:val="both"/>
        <w:ind w:left="700" w:right="1980"/>
        <w:spacing w:after="0" w:line="241" w:lineRule="auto"/>
        <w:rPr>
          <w:rFonts w:ascii="Arial" w:cs="Arial" w:eastAsia="Arial" w:hAnsi="Arial"/>
          <w:sz w:val="17"/>
          <w:szCs w:val="17"/>
          <w:b w:val="1"/>
          <w:bCs w:val="1"/>
          <w:color w:val="0072AF"/>
        </w:rPr>
      </w:pPr>
      <w:r>
        <w:rPr>
          <w:rFonts w:ascii="Arial" w:cs="Arial" w:eastAsia="Arial" w:hAnsi="Arial"/>
          <w:sz w:val="18"/>
          <w:szCs w:val="18"/>
          <w:color w:val="auto"/>
        </w:rPr>
        <w:t>The Board is asking stockholders to approve amending the 1996 Pitney Bowes Employee Stock Purchase Plan (as previously amended and restated in May 2003, the “ESPP”) to increase the pool of Shares reserved for issuance under the ESPP</w:t>
      </w:r>
    </w:p>
    <w:p>
      <w:pPr>
        <w:spacing w:after="0" w:line="2" w:lineRule="exact"/>
        <w:rPr>
          <w:sz w:val="20"/>
          <w:szCs w:val="20"/>
          <w:color w:val="auto"/>
        </w:rPr>
      </w:pPr>
    </w:p>
    <w:p>
      <w:pPr>
        <w:jc w:val="both"/>
        <w:ind w:left="700" w:right="1980"/>
        <w:spacing w:after="0" w:line="234" w:lineRule="auto"/>
        <w:rPr>
          <w:sz w:val="20"/>
          <w:szCs w:val="20"/>
          <w:color w:val="auto"/>
        </w:rPr>
      </w:pPr>
      <w:r>
        <w:rPr>
          <w:rFonts w:ascii="Arial" w:cs="Arial" w:eastAsia="Arial" w:hAnsi="Arial"/>
          <w:sz w:val="18"/>
          <w:szCs w:val="18"/>
          <w:color w:val="auto"/>
        </w:rPr>
        <w:t>by 3,000,000 Shares (the “ESPP Proposal”). The ESPP provides eligible employees with the opportunity to purchase shares of Pitney Bowes Common Stock (“Shares”) at a discounted price. As of March 15, 2024, there were 931,060 Shares available</w:t>
      </w:r>
    </w:p>
    <w:p>
      <w:pPr>
        <w:spacing w:after="0" w:line="2" w:lineRule="exact"/>
        <w:rPr>
          <w:sz w:val="20"/>
          <w:szCs w:val="20"/>
          <w:color w:val="auto"/>
        </w:rPr>
      </w:pPr>
    </w:p>
    <w:p>
      <w:pPr>
        <w:ind w:left="700" w:right="680"/>
        <w:spacing w:after="0" w:line="234" w:lineRule="auto"/>
        <w:rPr>
          <w:sz w:val="20"/>
          <w:szCs w:val="20"/>
          <w:color w:val="auto"/>
        </w:rPr>
      </w:pPr>
      <w:r>
        <w:rPr>
          <w:rFonts w:ascii="Arial" w:cs="Arial" w:eastAsia="Arial" w:hAnsi="Arial"/>
          <w:sz w:val="18"/>
          <w:szCs w:val="18"/>
          <w:color w:val="auto"/>
        </w:rPr>
        <w:t xml:space="preserve">under the ESPP for future purchases. If our stockholders approve the ESPP </w:t>
      </w:r>
      <w:r>
        <w:rPr>
          <w:rFonts w:ascii="Arial" w:cs="Arial" w:eastAsia="Arial" w:hAnsi="Arial"/>
          <w:sz w:val="18"/>
          <w:szCs w:val="18"/>
          <w:b w:val="1"/>
          <w:bCs w:val="1"/>
          <w:color w:val="0072AF"/>
        </w:rPr>
        <w:t>FOR</w:t>
      </w:r>
      <w:r>
        <w:rPr>
          <w:rFonts w:ascii="Arial" w:cs="Arial" w:eastAsia="Arial" w:hAnsi="Arial"/>
          <w:sz w:val="18"/>
          <w:szCs w:val="18"/>
          <w:color w:val="auto"/>
        </w:rPr>
        <w:t xml:space="preserve"> Proposal, the total number of Shares authorized and reserved for issuance under</w:t>
      </w:r>
    </w:p>
    <w:p>
      <w:pPr>
        <w:spacing w:after="0" w:line="1" w:lineRule="exact"/>
        <w:rPr>
          <w:sz w:val="20"/>
          <w:szCs w:val="20"/>
          <w:color w:val="auto"/>
        </w:rPr>
      </w:pPr>
    </w:p>
    <w:p>
      <w:pPr>
        <w:jc w:val="both"/>
        <w:ind w:left="700" w:right="1980"/>
        <w:spacing w:after="0" w:line="239" w:lineRule="auto"/>
        <w:rPr>
          <w:sz w:val="20"/>
          <w:szCs w:val="20"/>
          <w:color w:val="auto"/>
        </w:rPr>
      </w:pPr>
      <w:r>
        <w:rPr>
          <w:rFonts w:ascii="Arial" w:cs="Arial" w:eastAsia="Arial" w:hAnsi="Arial"/>
          <w:sz w:val="18"/>
          <w:szCs w:val="18"/>
          <w:color w:val="auto"/>
        </w:rPr>
        <w:t>the ESPP will be 3,931,060 million Shares (the “ESPP Share Pool”), which represents 2.21% of our outstanding Shares as of March 15, 2024. We believe the ESPP is a crucial element in rewarding and encouraging current employees that promotes stock ownership, which aligns their interests with those of our stockholders.</w:t>
      </w:r>
    </w:p>
    <w:p>
      <w:pPr>
        <w:spacing w:after="0" w:line="45" w:lineRule="exact"/>
        <w:rPr>
          <w:sz w:val="20"/>
          <w:szCs w:val="20"/>
          <w:color w:val="auto"/>
        </w:rPr>
      </w:pPr>
    </w:p>
    <w:p>
      <w:pPr>
        <w:jc w:val="both"/>
        <w:ind w:left="700" w:right="1980"/>
        <w:spacing w:after="0" w:line="257" w:lineRule="auto"/>
        <w:rPr>
          <w:sz w:val="20"/>
          <w:szCs w:val="20"/>
          <w:color w:val="auto"/>
        </w:rPr>
      </w:pPr>
      <w:r>
        <w:rPr>
          <w:rFonts w:ascii="Arial" w:cs="Arial" w:eastAsia="Arial" w:hAnsi="Arial"/>
          <w:sz w:val="18"/>
          <w:szCs w:val="18"/>
          <w:b w:val="1"/>
          <w:bCs w:val="1"/>
          <w:color w:val="auto"/>
        </w:rPr>
        <w:t>The Board of Directors recommends that stockholders vote FOR the proposal to approve an Amendment and Restatement of the Employee Stock Purchase Plan to increase plan shares reserved for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35560</wp:posOffset>
            </wp:positionV>
            <wp:extent cx="55892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89270" cy="8890"/>
                    </a:xfrm>
                    <a:prstGeom prst="rect">
                      <a:avLst/>
                    </a:prstGeom>
                    <a:noFill/>
                  </pic:spPr>
                </pic:pic>
              </a:graphicData>
            </a:graphic>
          </wp:anchor>
        </w:drawing>
      </w:r>
    </w:p>
    <w:p>
      <w:pPr>
        <w:spacing w:after="0" w:line="139" w:lineRule="exact"/>
        <w:rPr>
          <w:sz w:val="20"/>
          <w:szCs w:val="20"/>
          <w:color w:val="auto"/>
        </w:rPr>
      </w:pPr>
    </w:p>
    <w:p>
      <w:pPr>
        <w:ind w:left="700" w:hanging="436"/>
        <w:spacing w:after="0"/>
        <w:tabs>
          <w:tab w:leader="none" w:pos="700" w:val="left"/>
        </w:tabs>
        <w:numPr>
          <w:ilvl w:val="0"/>
          <w:numId w:val="7"/>
        </w:numPr>
        <w:rPr>
          <w:rFonts w:ascii="Arial" w:cs="Arial" w:eastAsia="Arial" w:hAnsi="Arial"/>
          <w:sz w:val="18"/>
          <w:szCs w:val="18"/>
          <w:b w:val="1"/>
          <w:bCs w:val="1"/>
          <w:color w:val="0072AF"/>
        </w:rPr>
      </w:pPr>
      <w:r>
        <w:rPr>
          <w:rFonts w:ascii="Arial" w:cs="Arial" w:eastAsia="Arial" w:hAnsi="Arial"/>
          <w:sz w:val="18"/>
          <w:szCs w:val="18"/>
          <w:b w:val="1"/>
          <w:bCs w:val="1"/>
          <w:color w:val="0072AF"/>
        </w:rPr>
        <w:t>Approval of the Pitney Bowes Inc. 2024 Stock Plan</w:t>
      </w:r>
    </w:p>
    <w:p>
      <w:pPr>
        <w:spacing w:after="0" w:line="212" w:lineRule="exact"/>
        <w:rPr>
          <w:sz w:val="20"/>
          <w:szCs w:val="20"/>
          <w:color w:val="auto"/>
        </w:rPr>
      </w:pPr>
    </w:p>
    <w:p>
      <w:pPr>
        <w:jc w:val="both"/>
        <w:ind w:left="700" w:right="1980"/>
        <w:spacing w:after="0" w:line="229" w:lineRule="auto"/>
        <w:rPr>
          <w:sz w:val="20"/>
          <w:szCs w:val="20"/>
          <w:color w:val="auto"/>
        </w:rPr>
      </w:pPr>
      <w:r>
        <w:rPr>
          <w:rFonts w:ascii="Arial" w:cs="Arial" w:eastAsia="Arial" w:hAnsi="Arial"/>
          <w:sz w:val="18"/>
          <w:szCs w:val="18"/>
          <w:color w:val="auto"/>
        </w:rPr>
        <w:t>The Board is asking stockholders to approve the Pitney Bowes Inc. 2024 Stock Plan (the “2024 Plan”). The 2024 Plan governs grants of stock-based awards to employees and provides for the issuance of up to 8,400,000 Shares, plus the number of Shares that remain available for issuance (and not subject to outstanding awards) under the Amended and Restated Pitney Bowes Inc. 2018 Stock Plan (the</w:t>
      </w:r>
    </w:p>
    <w:p>
      <w:pPr>
        <w:spacing w:after="0" w:line="3" w:lineRule="exact"/>
        <w:rPr>
          <w:sz w:val="20"/>
          <w:szCs w:val="20"/>
          <w:color w:val="auto"/>
        </w:rPr>
      </w:pPr>
    </w:p>
    <w:p>
      <w:pPr>
        <w:ind w:left="700" w:right="680"/>
        <w:spacing w:after="0" w:line="185" w:lineRule="auto"/>
        <w:rPr>
          <w:sz w:val="20"/>
          <w:szCs w:val="20"/>
          <w:color w:val="auto"/>
        </w:rPr>
      </w:pPr>
      <w:r>
        <w:rPr>
          <w:rFonts w:ascii="Arial" w:cs="Arial" w:eastAsia="Arial" w:hAnsi="Arial"/>
          <w:sz w:val="17"/>
          <w:szCs w:val="17"/>
          <w:color w:val="auto"/>
        </w:rPr>
        <w:t xml:space="preserve">“2018 Plan”) as of May 6, 2024. The 2024 Plan is intended to serve as the </w:t>
      </w:r>
      <w:r>
        <w:rPr>
          <w:rFonts w:ascii="Arial" w:cs="Arial" w:eastAsia="Arial" w:hAnsi="Arial"/>
          <w:sz w:val="33"/>
          <w:szCs w:val="33"/>
          <w:b w:val="1"/>
          <w:bCs w:val="1"/>
          <w:color w:val="0072AF"/>
          <w:vertAlign w:val="superscript"/>
        </w:rPr>
        <w:t>FOR</w:t>
      </w:r>
      <w:r>
        <w:rPr>
          <w:rFonts w:ascii="Arial" w:cs="Arial" w:eastAsia="Arial" w:hAnsi="Arial"/>
          <w:sz w:val="17"/>
          <w:szCs w:val="17"/>
          <w:color w:val="auto"/>
        </w:rPr>
        <w:t xml:space="preserve"> successor to the 2018 Stock Plan. Shares remaining available for awards under the</w:t>
      </w:r>
    </w:p>
    <w:p>
      <w:pPr>
        <w:spacing w:after="0" w:line="1" w:lineRule="exact"/>
        <w:rPr>
          <w:sz w:val="20"/>
          <w:szCs w:val="20"/>
          <w:color w:val="auto"/>
        </w:rPr>
      </w:pPr>
    </w:p>
    <w:p>
      <w:pPr>
        <w:jc w:val="both"/>
        <w:ind w:left="700" w:right="1980"/>
        <w:spacing w:after="0" w:line="242" w:lineRule="auto"/>
        <w:rPr>
          <w:sz w:val="20"/>
          <w:szCs w:val="20"/>
          <w:color w:val="auto"/>
        </w:rPr>
      </w:pPr>
      <w:r>
        <w:rPr>
          <w:rFonts w:ascii="Arial" w:cs="Arial" w:eastAsia="Arial" w:hAnsi="Arial"/>
          <w:sz w:val="18"/>
          <w:szCs w:val="18"/>
          <w:color w:val="auto"/>
        </w:rPr>
        <w:t>2018 Plan on May 6, 2024, will become issuable under the 2024 Plan. Awards granted under the 2018 Plan prior to May 6, 2024 will remain in full force and effect and will remain subject to the terms of the 2018 Plan.</w:t>
      </w:r>
    </w:p>
    <w:p>
      <w:pPr>
        <w:spacing w:after="0" w:line="44" w:lineRule="exact"/>
        <w:rPr>
          <w:sz w:val="20"/>
          <w:szCs w:val="20"/>
          <w:color w:val="auto"/>
        </w:rPr>
      </w:pPr>
    </w:p>
    <w:p>
      <w:pPr>
        <w:jc w:val="both"/>
        <w:ind w:left="700" w:right="1980"/>
        <w:spacing w:after="0" w:line="281" w:lineRule="auto"/>
        <w:rPr>
          <w:sz w:val="20"/>
          <w:szCs w:val="20"/>
          <w:color w:val="auto"/>
        </w:rPr>
      </w:pPr>
      <w:r>
        <w:rPr>
          <w:rFonts w:ascii="Arial" w:cs="Arial" w:eastAsia="Arial" w:hAnsi="Arial"/>
          <w:sz w:val="18"/>
          <w:szCs w:val="18"/>
          <w:b w:val="1"/>
          <w:bCs w:val="1"/>
          <w:color w:val="auto"/>
        </w:rPr>
        <w:t>The Board of Directors recommends that stockholders vote FOR the proposal to approve the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21590</wp:posOffset>
            </wp:positionV>
            <wp:extent cx="582930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29300" cy="17145"/>
                    </a:xfrm>
                    <a:prstGeom prst="rect">
                      <a:avLst/>
                    </a:prstGeom>
                    <a:noFill/>
                  </pic:spPr>
                </pic:pic>
              </a:graphicData>
            </a:graphic>
          </wp:anchor>
        </w:drawing>
      </w:r>
    </w:p>
    <w:p>
      <w:pPr>
        <w:spacing w:after="0" w:line="23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360" w:top="114" w:right="11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32"/>
          <w:szCs w:val="32"/>
          <w:b w:val="1"/>
          <w:bCs w:val="1"/>
          <w:color w:val="4B5A89"/>
        </w:rPr>
        <w:t>Virtual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58293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The Virtual Annual Meeting and Voting</w:t>
      </w:r>
    </w:p>
    <w:p>
      <w:pPr>
        <w:spacing w:after="0" w:line="18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Board is soliciting proxies to be used at the Annual Meeting to be held on May 6, 2024. This Proxy Statement contains information about the items being voted on at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How do I participate in the Annual Meeting?</w:t>
      </w:r>
    </w:p>
    <w:p>
      <w:pPr>
        <w:spacing w:after="0" w:line="17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To participate in the Annual Meeting, registered stockholders and beneficial holders should visit </w:t>
      </w:r>
      <w:r>
        <w:rPr>
          <w:rFonts w:ascii="Arial" w:cs="Arial" w:eastAsia="Arial" w:hAnsi="Arial"/>
          <w:sz w:val="18"/>
          <w:szCs w:val="18"/>
          <w:color w:val="0072AF"/>
        </w:rPr>
        <w:t xml:space="preserve">http://www.virtualshareholdermeeting.com/PBI2024 </w:t>
      </w:r>
      <w:r>
        <w:rPr>
          <w:rFonts w:ascii="Arial" w:cs="Arial" w:eastAsia="Arial" w:hAnsi="Arial"/>
          <w:sz w:val="18"/>
          <w:szCs w:val="18"/>
          <w:color w:val="000000"/>
        </w:rPr>
        <w:t>and enter the 16-digit control number included on your proxy</w:t>
      </w:r>
      <w:r>
        <w:rPr>
          <w:rFonts w:ascii="Arial" w:cs="Arial" w:eastAsia="Arial" w:hAnsi="Arial"/>
          <w:sz w:val="18"/>
          <w:szCs w:val="18"/>
          <w:color w:val="0072AF"/>
        </w:rPr>
        <w:t xml:space="preserve"> </w:t>
      </w:r>
      <w:r>
        <w:rPr>
          <w:rFonts w:ascii="Arial" w:cs="Arial" w:eastAsia="Arial" w:hAnsi="Arial"/>
          <w:sz w:val="18"/>
          <w:szCs w:val="18"/>
          <w:color w:val="000000"/>
        </w:rPr>
        <w:t>card or on the instructions that accompanied your proxy materials. Stockholders may log into the meeting platform beginning at 8:45 a.m. Eastern Time on May 6, 2024. Stockholders of record as of the close of business on March 15, 2024 will be able to vote and ask questions during the meeting by remote participation by following the instructions on the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-542290</wp:posOffset>
            </wp:positionV>
            <wp:extent cx="25908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90800" cy="8255"/>
                    </a:xfrm>
                    <a:prstGeom prst="rect">
                      <a:avLst/>
                    </a:prstGeom>
                    <a:noFill/>
                  </pic:spPr>
                </pic:pic>
              </a:graphicData>
            </a:graphic>
          </wp:anchor>
        </w:drawing>
      </w:r>
    </w:p>
    <w:p>
      <w:pPr>
        <w:spacing w:after="0" w:line="13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The list of stockholders will be available for inspection by stockholders during the meeting at </w:t>
      </w:r>
      <w:r>
        <w:rPr>
          <w:rFonts w:ascii="Arial" w:cs="Arial" w:eastAsia="Arial" w:hAnsi="Arial"/>
          <w:sz w:val="18"/>
          <w:szCs w:val="18"/>
          <w:color w:val="0072AF"/>
        </w:rPr>
        <w:t>http://www.virtualshareholdermeeting.com/PBI2024</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-44450</wp:posOffset>
            </wp:positionV>
            <wp:extent cx="25908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080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May I submit questions during the Annual Meeting?</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If you wish to submit a question, you may do so during the meeting by logging into the virtual meeting platform at </w:t>
      </w:r>
      <w:r>
        <w:rPr>
          <w:rFonts w:ascii="Arial" w:cs="Arial" w:eastAsia="Arial" w:hAnsi="Arial"/>
          <w:sz w:val="18"/>
          <w:szCs w:val="18"/>
          <w:color w:val="0072AF"/>
        </w:rPr>
        <w:t>http://www.virtualshareholdermeeting.com/PBI2024</w:t>
      </w:r>
      <w:r>
        <w:rPr>
          <w:rFonts w:ascii="Arial" w:cs="Arial" w:eastAsia="Arial" w:hAnsi="Arial"/>
          <w:sz w:val="18"/>
          <w:szCs w:val="18"/>
          <w:color w:val="000000"/>
        </w:rPr>
        <w:t>, typing your question into the “Ask a Question” field, and</w:t>
      </w:r>
      <w:r>
        <w:rPr>
          <w:rFonts w:ascii="Arial" w:cs="Arial" w:eastAsia="Arial" w:hAnsi="Arial"/>
          <w:sz w:val="18"/>
          <w:szCs w:val="18"/>
          <w:color w:val="0072AF"/>
        </w:rPr>
        <w:t xml:space="preserve"> </w:t>
      </w:r>
      <w:r>
        <w:rPr>
          <w:rFonts w:ascii="Arial" w:cs="Arial" w:eastAsia="Arial" w:hAnsi="Arial"/>
          <w:sz w:val="18"/>
          <w:szCs w:val="18"/>
          <w:color w:val="000000"/>
        </w:rPr>
        <w:t xml:space="preserve">clicking “Submit.” Questions and answers will be grouped by topic and substantially similar questions will be grouped and answered at once. We will try to answer as many stockholder-submitted questions as time permits. Investors are always invited to send questions directly to Investor Relations at </w:t>
      </w:r>
      <w:r>
        <w:rPr>
          <w:rFonts w:ascii="Arial" w:cs="Arial" w:eastAsia="Arial" w:hAnsi="Arial"/>
          <w:sz w:val="18"/>
          <w:szCs w:val="18"/>
          <w:color w:val="0072AF"/>
        </w:rPr>
        <w:t>investorrelations@pb.com</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25908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90800" cy="8890"/>
                    </a:xfrm>
                    <a:prstGeom prst="rect">
                      <a:avLst/>
                    </a:prstGeom>
                    <a:noFill/>
                  </pic:spPr>
                </pic:pic>
              </a:graphicData>
            </a:graphic>
          </wp:anchor>
        </w:drawing>
        <w:drawing>
          <wp:anchor simplePos="0" relativeHeight="251657728" behindDoc="1" locked="0" layoutInCell="0" allowOverlap="1">
            <wp:simplePos x="0" y="0"/>
            <wp:positionH relativeFrom="column">
              <wp:posOffset>3952875</wp:posOffset>
            </wp:positionH>
            <wp:positionV relativeFrom="paragraph">
              <wp:posOffset>-29845</wp:posOffset>
            </wp:positionV>
            <wp:extent cx="13227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2270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What if I experience technical issues with the virtual meeting platform?</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will have technicians ready to assist you with any technical difficulties you may have accessing the virtual meeting. If you encounter any difficulties accessing the virtual meeting during check-in or the meeting, please call the technical support number that will be posted on the virtual meeting platform log-in page. We encourage you to access the meeting prior to the start time.</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Outstanding Shares and Vote Entitlement</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Each share of Pitney Bowes Common Stock has one vote. As of the Record Date, 177,667,659 shares of Common Stock were issued and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How do I vote?</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If you are a registered stockholder, which means you hold shares in your name, you may choose one of three methods to submit your proxy to have your shares voted:</w:t>
      </w:r>
    </w:p>
    <w:p>
      <w:pPr>
        <w:ind w:left="420" w:right="20" w:hanging="210"/>
        <w:spacing w:after="0" w:line="266" w:lineRule="auto"/>
        <w:tabs>
          <w:tab w:leader="none" w:pos="420" w:val="left"/>
        </w:tabs>
        <w:numPr>
          <w:ilvl w:val="0"/>
          <w:numId w:val="8"/>
        </w:numPr>
        <w:rPr>
          <w:rFonts w:ascii="Arial" w:cs="Arial" w:eastAsia="Arial" w:hAnsi="Arial"/>
          <w:sz w:val="18"/>
          <w:szCs w:val="18"/>
          <w:color w:val="0072AF"/>
        </w:rPr>
      </w:pPr>
      <w:r>
        <w:rPr>
          <w:rFonts w:ascii="Arial" w:cs="Arial" w:eastAsia="Arial" w:hAnsi="Arial"/>
          <w:sz w:val="18"/>
          <w:szCs w:val="18"/>
          <w:color w:val="auto"/>
        </w:rPr>
        <w:t xml:space="preserve">you may submit your proxy online via the Internet by accessing the following website and following the instructions provided: </w:t>
      </w:r>
      <w:r>
        <w:rPr>
          <w:rFonts w:ascii="Arial" w:cs="Arial" w:eastAsia="Arial" w:hAnsi="Arial"/>
          <w:sz w:val="18"/>
          <w:szCs w:val="18"/>
          <w:color w:val="0072AF"/>
        </w:rPr>
        <w:t>www.proxyvote.com</w:t>
      </w:r>
      <w:r>
        <w:rPr>
          <w:rFonts w:ascii="Arial" w:cs="Arial" w:eastAsia="Arial" w:hAnsi="Arial"/>
          <w:sz w:val="18"/>
          <w:szCs w:val="18"/>
          <w:color w:val="auto"/>
        </w:rPr>
        <w:t>;</w:t>
      </w:r>
    </w:p>
    <w:p>
      <w:pPr>
        <w:ind w:left="420" w:hanging="210"/>
        <w:spacing w:after="0"/>
        <w:tabs>
          <w:tab w:leader="none" w:pos="420" w:val="left"/>
        </w:tabs>
        <w:numPr>
          <w:ilvl w:val="0"/>
          <w:numId w:val="8"/>
        </w:numPr>
        <w:rPr>
          <w:rFonts w:ascii="Arial" w:cs="Arial" w:eastAsia="Arial" w:hAnsi="Arial"/>
          <w:sz w:val="18"/>
          <w:szCs w:val="18"/>
          <w:color w:val="0072AF"/>
        </w:rPr>
      </w:pPr>
      <w:r>
        <w:rPr>
          <w:rFonts w:ascii="Arial" w:cs="Arial" w:eastAsia="Arial" w:hAnsi="Arial"/>
          <w:sz w:val="18"/>
          <w:szCs w:val="18"/>
          <w:color w:val="auto"/>
        </w:rPr>
        <w:t>you may submit your proxy by telephone by calling 1-800-690-6903; or</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8"/>
        </w:numPr>
        <w:rPr>
          <w:rFonts w:ascii="Arial" w:cs="Arial" w:eastAsia="Arial" w:hAnsi="Arial"/>
          <w:sz w:val="18"/>
          <w:szCs w:val="18"/>
          <w:color w:val="0072AF"/>
        </w:rPr>
      </w:pPr>
      <w:r>
        <w:rPr>
          <w:rFonts w:ascii="Arial" w:cs="Arial" w:eastAsia="Arial" w:hAnsi="Arial"/>
          <w:sz w:val="18"/>
          <w:szCs w:val="18"/>
          <w:color w:val="auto"/>
        </w:rPr>
        <w:t>you may choose to grant your proxy by completing and mailing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-333375</wp:posOffset>
            </wp:positionV>
            <wp:extent cx="1016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16000" cy="8890"/>
                    </a:xfrm>
                    <a:prstGeom prst="rect">
                      <a:avLst/>
                    </a:prstGeom>
                    <a:noFill/>
                  </pic:spPr>
                </pic:pic>
              </a:graphicData>
            </a:graphic>
          </wp:anchor>
        </w:drawing>
      </w:r>
    </w:p>
    <w:p>
      <w:pPr>
        <w:spacing w:after="0" w:line="16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Alternatively, you may participate in the Annual Meeting and vote your shares by following the instructions available on the meeting website at that time.</w:t>
      </w:r>
    </w:p>
    <w:p>
      <w:pPr>
        <w:spacing w:after="0" w:line="11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If you hold your shares through a broker, bank, trustee or other nominee, you are a beneficial owner and should refer to instructions provided by that entity on voting methods.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May I revoke my proxy or change my vote?</w:t>
      </w:r>
    </w:p>
    <w:p>
      <w:pPr>
        <w:spacing w:after="0" w:line="18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If you are a registered stockholder, you may revoke your proxy or change your vote at any time before your proxy is voted at the Annual Meeting by any of the following methods:</w:t>
      </w:r>
    </w:p>
    <w:p>
      <w:pPr>
        <w:spacing w:after="0" w:line="100" w:lineRule="exact"/>
        <w:rPr>
          <w:sz w:val="20"/>
          <w:szCs w:val="20"/>
          <w:color w:val="auto"/>
        </w:rPr>
      </w:pPr>
    </w:p>
    <w:p>
      <w:pPr>
        <w:ind w:left="420" w:hanging="210"/>
        <w:spacing w:after="0"/>
        <w:tabs>
          <w:tab w:leader="none" w:pos="420" w:val="left"/>
        </w:tabs>
        <w:numPr>
          <w:ilvl w:val="0"/>
          <w:numId w:val="9"/>
        </w:numPr>
        <w:rPr>
          <w:rFonts w:ascii="Arial" w:cs="Arial" w:eastAsia="Arial" w:hAnsi="Arial"/>
          <w:sz w:val="18"/>
          <w:szCs w:val="18"/>
          <w:color w:val="0072AF"/>
        </w:rPr>
      </w:pPr>
      <w:r>
        <w:rPr>
          <w:rFonts w:ascii="Arial" w:cs="Arial" w:eastAsia="Arial" w:hAnsi="Arial"/>
          <w:sz w:val="18"/>
          <w:szCs w:val="18"/>
          <w:color w:val="auto"/>
        </w:rPr>
        <w:t>you may send in a revised proxy dated later than the first proxy;</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9"/>
        </w:numPr>
        <w:rPr>
          <w:rFonts w:ascii="Arial" w:cs="Arial" w:eastAsia="Arial" w:hAnsi="Arial"/>
          <w:sz w:val="18"/>
          <w:szCs w:val="18"/>
          <w:color w:val="0072AF"/>
        </w:rPr>
      </w:pPr>
      <w:r>
        <w:rPr>
          <w:rFonts w:ascii="Arial" w:cs="Arial" w:eastAsia="Arial" w:hAnsi="Arial"/>
          <w:sz w:val="18"/>
          <w:szCs w:val="18"/>
          <w:color w:val="auto"/>
        </w:rPr>
        <w:t>you may vote by participating in the meeting; or</w:t>
      </w:r>
    </w:p>
    <w:p>
      <w:pPr>
        <w:spacing w:after="0" w:line="49" w:lineRule="exact"/>
        <w:rPr>
          <w:rFonts w:ascii="Arial" w:cs="Arial" w:eastAsia="Arial" w:hAnsi="Arial"/>
          <w:sz w:val="18"/>
          <w:szCs w:val="18"/>
          <w:color w:val="0072AF"/>
        </w:rPr>
      </w:pPr>
    </w:p>
    <w:p>
      <w:pPr>
        <w:ind w:left="420" w:right="460" w:hanging="210"/>
        <w:spacing w:after="0" w:line="271" w:lineRule="auto"/>
        <w:tabs>
          <w:tab w:leader="none" w:pos="420" w:val="left"/>
        </w:tabs>
        <w:numPr>
          <w:ilvl w:val="0"/>
          <w:numId w:val="9"/>
        </w:numPr>
        <w:rPr>
          <w:rFonts w:ascii="Arial" w:cs="Arial" w:eastAsia="Arial" w:hAnsi="Arial"/>
          <w:sz w:val="18"/>
          <w:szCs w:val="18"/>
          <w:color w:val="0072AF"/>
        </w:rPr>
      </w:pPr>
      <w:r>
        <w:rPr>
          <w:rFonts w:ascii="Arial" w:cs="Arial" w:eastAsia="Arial" w:hAnsi="Arial"/>
          <w:sz w:val="18"/>
          <w:szCs w:val="18"/>
          <w:color w:val="auto"/>
        </w:rPr>
        <w:t>you may notify the Corporate Secretary in writing prior to the meeting stating that you have revoked your proxy.</w:t>
      </w:r>
    </w:p>
    <w:p>
      <w:pPr>
        <w:spacing w:after="0" w:line="11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Attendance at the meeting alone will not revoke your proxy. If you hold your shares through a broker, bank, trustee or other nominee, you are a beneficial owner and should refer to instructions provided by that entity on how to revoke your proxy or change your vote.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What constitutes a quorum?</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holders of shares representing a majority of the votes entitled to be cast at the Annual Meeting constitutes a quorum. If you submit your proxy by Internet, telephone or proxy card, you will be considered part of the quorum. Abstentions and broker non-votes are included in the count to determine a quorum.</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What vote is required for a proposal to pass?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a quorum is present, director candidates receiving the affirmative vote of a majority of “votes cast” will be elected. Proposal 3 will be approved if a quorum is present and at least a majority of the voting power of all shares of the Company entitled to vote generally in the election of directors, voting together as a single class, approves this amendment. Proposals, 2, 4, 5, and 6 will be approved if a quorum is present and a majority of the votes cast by the stockholders are voted for the proposal.</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How are votes counted?</w:t>
      </w:r>
    </w:p>
    <w:p>
      <w:pPr>
        <w:spacing w:after="0" w:line="17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You may vote “for”, “against” or “abstain” with respect to each of the proposals presented. A vote “for” will be counted in favor of the proposal or respective director nominee and a vote “against” will be counted against each proposal or respective nominee.</w:t>
      </w:r>
    </w:p>
    <w:p>
      <w:pPr>
        <w:spacing w:after="0" w:line="12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A broker non-vote occurs with respect to a proposal when a broker, bank, financial institution or other nominee has discretionary authority to vote on one or more proposals to be voted on at a meeting of stockholders but is not permitted to vote on other proposals without instructions from the beneficial owner. Under the rules of the New York Stock Exchange (“NYSE”), brokers, banks, financial institutions or other nominees may generally vote on routine matters without instructions from a beneficial owner but cannot vote on non-routine matters. Note that whether a proposal is considered routine or non-routine is subject to NYSE rules and final determination by the stock exchange. Even with respect to routine matters, some brokers are choosing not to exercise discretionary voting authority. As a result, we urge you to direct your broker, bank, financial institution or other nominee how to vote your shares on all proposals to ensure that your vote is counted.</w:t>
      </w:r>
    </w:p>
    <w:p>
      <w:pPr>
        <w:spacing w:after="0" w:line="15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If your broker </w:t>
      </w:r>
      <w:r>
        <w:rPr>
          <w:rFonts w:ascii="Arial" w:cs="Arial" w:eastAsia="Arial" w:hAnsi="Arial"/>
          <w:sz w:val="18"/>
          <w:szCs w:val="18"/>
          <w:b w:val="1"/>
          <w:bCs w:val="1"/>
          <w:color w:val="auto"/>
        </w:rPr>
        <w:t>does not</w:t>
      </w:r>
      <w:r>
        <w:rPr>
          <w:rFonts w:ascii="Arial" w:cs="Arial" w:eastAsia="Arial" w:hAnsi="Arial"/>
          <w:sz w:val="18"/>
          <w:szCs w:val="18"/>
          <w:color w:val="auto"/>
        </w:rPr>
        <w:t xml:space="preserve"> have discretionary voting authority and you do not provide voting instructions, or if you abstain on one or more agenda items, the effect will be as follows: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Broker non-votes and abstentions will not count as “votes cast” in the election of directors. They will therefore not be counted either for or against the election of any director, and will not be considered in determining whether a director has received the affirmative vote of a majority of the votes cast.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Ratification of Audit Committee’s Appointment of the Independent Accountants for 2024</w:t>
      </w:r>
    </w:p>
    <w:p>
      <w:pPr>
        <w:spacing w:after="0" w:line="171"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Proposal 2 is considered a routine matter. Because a bank, broker, trustee, or other nominee may generally vote in their discretion on routine matters, no broker non-votes are expected in connection with this proposal. Broker non-votes, if any, and abstentions will not count as “votes cast” for this proposal. They will therefore not be considered in determining whether the majority of the votes cast have been voted in favor of the proposal.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Proposal 3: Approval of an Amendment to the Company’s Restated Certificate of Incorporation to Give Holders of 25% of the Company’s Stock the Right to Request a Special Meeting</w:t>
      </w:r>
    </w:p>
    <w:p>
      <w:pPr>
        <w:spacing w:after="0" w:line="10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Broker non-votes and abstentions are considered “outstanding” and therefore will have the same effect as a vote against this proposal.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 Non-binding Advisory Vote to Approve Executive Compensation</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Broker non-votes and abstentions will not be considered “votes cast” and therefore will not be counted either for or against the proposal and will not be considered in determining whether the majority of the votes cast have been voted in favor of the proposal.</w:t>
      </w:r>
    </w:p>
    <w:p>
      <w:pPr>
        <w:spacing w:after="0" w:line="128"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Proposal 5: Approval of an Amendment and Restatement of the Employee Stock Purchase Plan to increase plan shares reserved for issuance</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Broker non-votes and abstentions will not be considered “votes cast” and therefore will not be counted either for or against the proposal and will not be considered in determining whether the majority of the votes cast have been voted in favor of the proposal.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6: Approval of the Pitney Bowes Inc. 2024 Stock Plan</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Broker non-votes and abstentions will not be considered “votes cast” and therefore will not be counted either for or against this proposal and will not be considered in determining whether the majority of the votes cast have been voted in favor of the proposal.</w:t>
      </w:r>
    </w:p>
    <w:p>
      <w:pPr>
        <w:spacing w:after="0" w:line="169" w:lineRule="exact"/>
        <w:rPr>
          <w:sz w:val="20"/>
          <w:szCs w:val="20"/>
          <w:color w:val="auto"/>
        </w:rPr>
      </w:pPr>
    </w:p>
    <w:p>
      <w:pPr>
        <w:ind w:right="440"/>
        <w:spacing w:after="0" w:line="281" w:lineRule="auto"/>
        <w:rPr>
          <w:sz w:val="20"/>
          <w:szCs w:val="20"/>
          <w:color w:val="auto"/>
        </w:rPr>
      </w:pPr>
      <w:r>
        <w:rPr>
          <w:rFonts w:ascii="Arial" w:cs="Arial" w:eastAsia="Arial" w:hAnsi="Arial"/>
          <w:sz w:val="18"/>
          <w:szCs w:val="18"/>
          <w:b w:val="1"/>
          <w:bCs w:val="1"/>
          <w:color w:val="auto"/>
        </w:rPr>
        <w:t>How do Dividend Reinvestment Plan participants or employees with shares in the 401(k) plans vote by proxy?</w:t>
      </w:r>
    </w:p>
    <w:p>
      <w:pPr>
        <w:spacing w:after="0" w:line="9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If you are a registered stockholder and participate in our Dividend Reinvestment Plan, or our employee 401(k) plans, your proxy includes the number of shares acquired through the Dividend Reinvestment Plan and/or credited to your 401(k) plan account.</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Shares held in our 401(k) plans are voted by the plan trustee in accordance with voting instructions received from plan participants. The plans direct the trustee to vote shares for which no instructions are received in the same proportion (for, against or abstain) indicated by the voting instructions given by participants in the plans.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Who will count the votes?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Broadridge Financial Solutions, Inc. (Broadridge) will tabulate the votes and act as Inspector of Election.</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Want more copies of the Proxy Statement? Getting too many copies?</w:t>
      </w:r>
    </w:p>
    <w:p>
      <w:pPr>
        <w:spacing w:after="0" w:line="18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Only one Proxy Statement and Annual Report on Form 10-K for the year ended December 31, 2023 (the “Form 10-K”) will be delivered to multiple stockholders sharing an address unless one or more of the stockholders provide contrary instructions to us or, if applicable, to your bank or broker. This process is commonly referred to as “householding”.</w:t>
      </w:r>
    </w:p>
    <w:p>
      <w:pPr>
        <w:spacing w:after="0" w:line="13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You may request to receive a separate copy of the Annual Meeting materials, and we will promptly deliver the requested materials.</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Similarly, you may request to receive a separate copy of the annual meeting materials in the future, or if you are receiving multiple copies, you may request delivery of a single copy of the annual meeting materials or, as applicable, Notice of Internet Availability in the future.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Requests can be made to: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Broadridge Householding Department by phone at 1-866-540-7095 or by mail to: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Broadridge Householding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 Mercedes Way</w:t>
      </w:r>
    </w:p>
    <w:p>
      <w:pPr>
        <w:spacing w:after="0"/>
        <w:rPr>
          <w:sz w:val="20"/>
          <w:szCs w:val="20"/>
          <w:color w:val="auto"/>
        </w:rPr>
      </w:pPr>
      <w:r>
        <w:rPr>
          <w:rFonts w:ascii="Arial" w:cs="Arial" w:eastAsia="Arial" w:hAnsi="Arial"/>
          <w:sz w:val="18"/>
          <w:szCs w:val="18"/>
          <w:color w:val="auto"/>
        </w:rPr>
        <w:t>Edgewood, New York 11717.</w:t>
      </w:r>
    </w:p>
    <w:p>
      <w:pPr>
        <w:spacing w:after="0" w:line="16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If you own shares of stock through a bank, broker or other nominee, please notify that entity if you no longer wish to participate in householding and would prefer to receive a separate copy of these materials, or if you are receiving duplicate copies of these materials and wish to have householding apply.</w:t>
      </w:r>
    </w:p>
    <w:p>
      <w:pPr>
        <w:spacing w:after="0" w:line="128"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Additional copies of our 2023 Form 10-K or the Proxy Statement will be sent to stockholders free of charge upon written request to:</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Pitney Bowes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3001 Summer Street</w:t>
      </w:r>
    </w:p>
    <w:p>
      <w:pPr>
        <w:spacing w:after="0"/>
        <w:rPr>
          <w:sz w:val="20"/>
          <w:szCs w:val="20"/>
          <w:color w:val="auto"/>
        </w:rPr>
      </w:pPr>
      <w:r>
        <w:rPr>
          <w:rFonts w:ascii="Arial" w:cs="Arial" w:eastAsia="Arial" w:hAnsi="Arial"/>
          <w:sz w:val="18"/>
          <w:szCs w:val="18"/>
          <w:b w:val="1"/>
          <w:bCs w:val="1"/>
          <w:color w:val="auto"/>
        </w:rPr>
        <w:t>Stamford, CT 06926-0700.</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Want electronic delivery of the Proxy Statement and Form 10-K?</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This year stockholders will receive a full set of the Annual Meeting materials, including the Proxy Statement, 2023 Form 10-K and proxy card, by mail, but you may choose to receive future annual meeting materials electronically by following the instructions when you vote online or by telephone. With electronic delivery, you will receive an e-mail for future meetings listing the website locations of these documents and your choice to receive annual meeting materials electronically will remain in effect until you notify us that you wish to resume mail delivery of these documents. If you hold your Pitney Bowes stock through a bank, broker, trustee or other nominee, you should refer to the information provided by that entity for instructions on how to elect this option. This Proxy Statement and our 2023 Form 10-K may be viewed online at </w:t>
      </w:r>
      <w:r>
        <w:rPr>
          <w:rFonts w:ascii="Arial" w:cs="Arial" w:eastAsia="Arial" w:hAnsi="Arial"/>
          <w:sz w:val="18"/>
          <w:szCs w:val="18"/>
          <w:color w:val="0072AF"/>
        </w:rPr>
        <w:t>www.pitneybowes.com</w:t>
      </w:r>
      <w:r>
        <w:rPr>
          <w:rFonts w:ascii="Arial" w:cs="Arial" w:eastAsia="Arial" w:hAnsi="Arial"/>
          <w:sz w:val="18"/>
          <w:szCs w:val="18"/>
          <w:color w:val="auto"/>
        </w:rPr>
        <w:t xml:space="preserve"> under the caption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58293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-27305</wp:posOffset>
            </wp:positionV>
            <wp:extent cx="1155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5570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Stockholder Proposals and Nominations for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Nomination of Director Candidates: </w:t>
      </w:r>
      <w:r>
        <w:rPr>
          <w:rFonts w:ascii="Arial" w:cs="Arial" w:eastAsia="Arial" w:hAnsi="Arial"/>
          <w:sz w:val="18"/>
          <w:szCs w:val="18"/>
          <w:color w:val="auto"/>
        </w:rPr>
        <w:t>Stockholders may nominate candidates to serve on the Board. Our By-laws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stockholders seeking to make a director nomination to give notice at least 90 days, but no more than 120 days, prior to the date of the first anniversary of the preceding year’s annual meeting. As a result, you must deliver notice of a nomination to us no earlier than January 6, 2025 and no later than the close of business on February 5, 2025 in order to nominate a candidate for director at our 2025 Annual Meeting. The notice must contain the information required by our By-laws (which, after giving effect to the By-laws amendments the Board intends to adopt following the Annual Meeting, will require the information required under Rule 14a-19 of the Exchange Act).</w:t>
      </w:r>
    </w:p>
    <w:p>
      <w:pPr>
        <w:spacing w:after="0" w:line="158"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i w:val="1"/>
          <w:iCs w:val="1"/>
          <w:color w:val="auto"/>
        </w:rPr>
        <w:t xml:space="preserve">Rule 14a-8 Stockholder Proposals: </w:t>
      </w:r>
      <w:r>
        <w:rPr>
          <w:rFonts w:ascii="Arial" w:cs="Arial" w:eastAsia="Arial" w:hAnsi="Arial"/>
          <w:sz w:val="18"/>
          <w:szCs w:val="18"/>
          <w:color w:val="auto"/>
        </w:rPr>
        <w:t>To be considered for inclusion in our Proxy Statement for the 2025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the Company must receive notice of a stockholder proposal on or before December [•], 2024. The proposal must comply with the SEC rules regarding eligibility for inclusion in our Proxy Statement, and should be addressed to: Pitney Bowes Inc., 3001 Summer Street, Stamford, Connecticut 06926, Attention: Corporate Secretary.</w:t>
      </w:r>
    </w:p>
    <w:p>
      <w:pPr>
        <w:spacing w:after="0" w:line="136"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Non-Rule 14a-8 Stockholder Proposals: </w:t>
      </w:r>
      <w:r>
        <w:rPr>
          <w:rFonts w:ascii="Arial" w:cs="Arial" w:eastAsia="Arial" w:hAnsi="Arial"/>
          <w:sz w:val="18"/>
          <w:szCs w:val="18"/>
          <w:color w:val="auto"/>
        </w:rPr>
        <w:t>If you intend to present a proposal at an annual meeting other than by</w:t>
      </w:r>
      <w:r>
        <w:rPr>
          <w:rFonts w:ascii="Arial" w:cs="Arial" w:eastAsia="Arial" w:hAnsi="Arial"/>
          <w:sz w:val="18"/>
          <w:szCs w:val="18"/>
          <w:i w:val="1"/>
          <w:iCs w:val="1"/>
          <w:color w:val="auto"/>
        </w:rPr>
        <w:t xml:space="preserve"> </w:t>
      </w:r>
      <w:r>
        <w:rPr>
          <w:rFonts w:ascii="Arial" w:cs="Arial" w:eastAsia="Arial" w:hAnsi="Arial"/>
          <w:sz w:val="18"/>
          <w:szCs w:val="18"/>
          <w:color w:val="auto"/>
        </w:rPr>
        <w:t>submitting a stockholder proposal for inclusion in our Proxy Statement for that meeting, our By-laws require you to give notice at least 90 days, but no more than 120 days, prior to the date of the first anniversary of the preceding year’s annual meeting. As a result, you must deliver notice of a proposal to us no earlier than January 6, 2025 and no later than the close of business on February 5, 2025 in order to present it at the 2025 Annual Meeting. The notice must contain the information required by our By-laws, and should be addressed to: Pitney Bowes Inc., 3001 Summer Street, Stamford, Connecticut 06926, Attention: Corporate Secretary.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32"/>
          <w:szCs w:val="32"/>
          <w:b w:val="1"/>
          <w:bCs w:val="1"/>
          <w:color w:val="4B5A89"/>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58293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We encourage stockholders to visit our Corporate Governance website at </w:t>
      </w:r>
      <w:r>
        <w:rPr>
          <w:rFonts w:ascii="Arial" w:cs="Arial" w:eastAsia="Arial" w:hAnsi="Arial"/>
          <w:sz w:val="18"/>
          <w:szCs w:val="18"/>
          <w:color w:val="0072AF"/>
        </w:rPr>
        <w:t>www.pitneybowes.com</w:t>
      </w:r>
      <w:r>
        <w:rPr>
          <w:rFonts w:ascii="Arial" w:cs="Arial" w:eastAsia="Arial" w:hAnsi="Arial"/>
          <w:sz w:val="18"/>
          <w:szCs w:val="18"/>
          <w:color w:val="auto"/>
        </w:rPr>
        <w:t xml:space="preserve"> under the caption “Our Company—Leadership &amp; Governance—Board of Directors” for information concerning charters of the committees of the Board and “Our Company—Leadership &amp; Governance—Corporate Governance” for information concerning governance practices, including the Governance Principles of the Board and the directors’ Code of Business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-544195</wp:posOffset>
            </wp:positionV>
            <wp:extent cx="1155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spacing w:after="0" w:line="11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Business Practices Guidelines, which is the Code of Ethics for employees, including our Chief Executive Officer (CEO) and our named executive officers (“NEOs”), is also available at “Corporate Responsibility—Ethics &amp; Compliance”. We intend to disclose any future amendments or waivers to certain provisions of the directors’ Code of Business Conduct and Ethics or the Business Practices Guidelines on our website within four business days following the date of such amendment or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5829300" cy="5031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29300" cy="5031740"/>
                    </a:xfrm>
                    <a:prstGeom prst="rect">
                      <a:avLst/>
                    </a:prstGeom>
                    <a:noFill/>
                  </pic:spPr>
                </pic:pic>
              </a:graphicData>
            </a:graphic>
          </wp:anchor>
        </w:drawing>
      </w:r>
    </w:p>
    <w:p>
      <w:pPr>
        <w:spacing w:after="0" w:line="201" w:lineRule="exact"/>
        <w:rPr>
          <w:sz w:val="20"/>
          <w:szCs w:val="20"/>
          <w:color w:val="auto"/>
        </w:rPr>
      </w:pPr>
    </w:p>
    <w:p>
      <w:pPr>
        <w:jc w:val="center"/>
        <w:ind w:right="60"/>
        <w:spacing w:after="0" w:line="272" w:lineRule="auto"/>
        <w:rPr>
          <w:sz w:val="20"/>
          <w:szCs w:val="20"/>
          <w:color w:val="auto"/>
        </w:rPr>
      </w:pPr>
      <w:r>
        <w:rPr>
          <w:rFonts w:ascii="Arial" w:cs="Arial" w:eastAsia="Arial" w:hAnsi="Arial"/>
          <w:sz w:val="22"/>
          <w:szCs w:val="22"/>
          <w:b w:val="1"/>
          <w:bCs w:val="1"/>
          <w:color w:val="FFFFFF"/>
        </w:rPr>
        <w:t>Key Corporate Governance Practices Enhancing the Board’s Independent Leadership, Accountability and Oversight</w:t>
      </w:r>
    </w:p>
    <w:p>
      <w:pPr>
        <w:spacing w:after="0" w:line="23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0072AF"/>
        </w:rPr>
        <w:t>Independence</w:t>
      </w:r>
    </w:p>
    <w:p>
      <w:pPr>
        <w:spacing w:after="0" w:line="102" w:lineRule="exact"/>
        <w:rPr>
          <w:sz w:val="20"/>
          <w:szCs w:val="20"/>
          <w:color w:val="auto"/>
        </w:rPr>
      </w:pPr>
    </w:p>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All directors are independent</w:t>
      </w:r>
    </w:p>
    <w:p>
      <w:pPr>
        <w:spacing w:after="0" w:line="144" w:lineRule="exact"/>
        <w:rPr>
          <w:sz w:val="20"/>
          <w:szCs w:val="20"/>
          <w:color w:val="auto"/>
        </w:rPr>
      </w:pPr>
    </w:p>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Policy that no more than two directors should be employees of the Company</w:t>
      </w:r>
    </w:p>
    <w:p>
      <w:pPr>
        <w:spacing w:after="0" w:line="144" w:lineRule="exact"/>
        <w:rPr>
          <w:sz w:val="20"/>
          <w:szCs w:val="20"/>
          <w:color w:val="auto"/>
        </w:rPr>
      </w:pPr>
    </w:p>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Executive sessions at Board meetings</w:t>
      </w:r>
    </w:p>
    <w:p>
      <w:pPr>
        <w:spacing w:after="0" w:line="254"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0072AF"/>
        </w:rPr>
        <w:t>Stockholder Rights</w:t>
      </w:r>
    </w:p>
    <w:p>
      <w:pPr>
        <w:spacing w:after="0" w:line="102" w:lineRule="exact"/>
        <w:rPr>
          <w:sz w:val="20"/>
          <w:szCs w:val="20"/>
          <w:color w:val="auto"/>
        </w:rPr>
      </w:pPr>
    </w:p>
    <w:p>
      <w:pPr>
        <w:ind w:left="820" w:right="200" w:hanging="285"/>
        <w:spacing w:after="0" w:line="221"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Decision to further enhance stockholder rights this year through the addition of a proxy access right (via an approved By-law change the Company intends to effect following the Annual Meeting) and the proposal to enable stockholders to call a special meeting (via a Charter Amendment, which is proposal 3 on this proxy and subject to stockholder approval)</w:t>
      </w:r>
    </w:p>
    <w:p>
      <w:pPr>
        <w:spacing w:after="0" w:line="75" w:lineRule="exact"/>
        <w:rPr>
          <w:sz w:val="20"/>
          <w:szCs w:val="20"/>
          <w:color w:val="auto"/>
        </w:rPr>
      </w:pPr>
    </w:p>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Majority voting in uncontested director elections</w:t>
      </w:r>
    </w:p>
    <w:p>
      <w:pPr>
        <w:spacing w:after="0" w:line="148" w:lineRule="exact"/>
        <w:rPr>
          <w:sz w:val="20"/>
          <w:szCs w:val="20"/>
          <w:color w:val="auto"/>
        </w:rPr>
      </w:pPr>
    </w:p>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Annual election of directors</w:t>
      </w:r>
    </w:p>
    <w:p>
      <w:pPr>
        <w:spacing w:after="0" w:line="140" w:lineRule="exact"/>
        <w:rPr>
          <w:sz w:val="20"/>
          <w:szCs w:val="20"/>
          <w:color w:val="auto"/>
        </w:rPr>
      </w:pPr>
    </w:p>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Majority vote standard for Charter amendments</w:t>
      </w:r>
    </w:p>
    <w:p>
      <w:pPr>
        <w:spacing w:after="0" w:line="148" w:lineRule="exact"/>
        <w:rPr>
          <w:sz w:val="20"/>
          <w:szCs w:val="20"/>
          <w:color w:val="auto"/>
        </w:rPr>
      </w:pPr>
    </w:p>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Majority vote standard for By-law amendments</w:t>
      </w:r>
    </w:p>
    <w:p>
      <w:pPr>
        <w:spacing w:after="0" w:line="144" w:lineRule="exact"/>
        <w:rPr>
          <w:sz w:val="20"/>
          <w:szCs w:val="20"/>
          <w:color w:val="auto"/>
        </w:rPr>
      </w:pPr>
    </w:p>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Directors can be removed with or without cause</w:t>
      </w:r>
    </w:p>
    <w:p>
      <w:pPr>
        <w:spacing w:after="0" w:line="250"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0072AF"/>
        </w:rPr>
        <w:t>Strong Corporate Governance Practices</w:t>
      </w:r>
    </w:p>
    <w:p>
      <w:pPr>
        <w:spacing w:after="0" w:line="102" w:lineRule="exact"/>
        <w:rPr>
          <w:sz w:val="20"/>
          <w:szCs w:val="20"/>
          <w:color w:val="auto"/>
        </w:rPr>
      </w:pPr>
    </w:p>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Meaningful stock ownership and retention guidelines for directors and CEO and key executive officers</w:t>
      </w:r>
    </w:p>
    <w:p>
      <w:pPr>
        <w:spacing w:after="0" w:line="144" w:lineRule="exact"/>
        <w:rPr>
          <w:sz w:val="20"/>
          <w:szCs w:val="20"/>
          <w:color w:val="auto"/>
        </w:rPr>
      </w:pPr>
    </w:p>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Policy prohibiting hedging and pledging of Company stock by directors and officers</w:t>
      </w:r>
    </w:p>
    <w:p>
      <w:pPr>
        <w:spacing w:after="0" w:line="144" w:lineRule="exact"/>
        <w:rPr>
          <w:sz w:val="20"/>
          <w:szCs w:val="20"/>
          <w:color w:val="auto"/>
        </w:rPr>
      </w:pPr>
    </w:p>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All directors attend 75% or more of Board meetings</w:t>
      </w:r>
    </w:p>
    <w:p>
      <w:pPr>
        <w:spacing w:after="0" w:line="144" w:lineRule="exact"/>
        <w:rPr>
          <w:sz w:val="20"/>
          <w:szCs w:val="20"/>
          <w:color w:val="auto"/>
        </w:rPr>
      </w:pPr>
    </w:p>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Responsive and active stockholder engagement with regular participation by directors</w:t>
      </w:r>
    </w:p>
    <w:p>
      <w:pPr>
        <w:spacing w:after="0" w:line="144" w:lineRule="exact"/>
        <w:rPr>
          <w:sz w:val="20"/>
          <w:szCs w:val="20"/>
          <w:color w:val="auto"/>
        </w:rPr>
      </w:pPr>
    </w:p>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Annual say-on-pay vote</w:t>
      </w:r>
    </w:p>
    <w:p>
      <w:pPr>
        <w:spacing w:after="0" w:line="144" w:lineRule="exact"/>
        <w:rPr>
          <w:sz w:val="20"/>
          <w:szCs w:val="20"/>
          <w:color w:val="auto"/>
        </w:rPr>
      </w:pPr>
    </w:p>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Comprehensive succession planning for CEO and key executive officers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2" w:name="page13"/>
    <w:bookmarkEnd w:id="12"/>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6"/>
          <w:szCs w:val="16"/>
          <w:color w:val="0072AF"/>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20955</wp:posOffset>
            </wp:positionV>
            <wp:extent cx="58293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175260</wp:posOffset>
            </wp:positionV>
            <wp:extent cx="58293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8" w:lineRule="exact"/>
        <w:rPr>
          <w:sz w:val="20"/>
          <w:szCs w:val="20"/>
          <w:color w:val="auto"/>
        </w:rPr>
      </w:pPr>
    </w:p>
    <w:p>
      <w:pPr>
        <w:ind w:left="920"/>
        <w:spacing w:after="0"/>
        <w:rPr>
          <w:sz w:val="20"/>
          <w:szCs w:val="20"/>
          <w:color w:val="auto"/>
        </w:rPr>
      </w:pPr>
      <w:r>
        <w:rPr>
          <w:rFonts w:ascii="Arial" w:cs="Arial" w:eastAsia="Arial" w:hAnsi="Arial"/>
          <w:sz w:val="25"/>
          <w:szCs w:val="25"/>
          <w:b w:val="1"/>
          <w:bCs w:val="1"/>
          <w:color w:val="0072A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38735</wp:posOffset>
            </wp:positionV>
            <wp:extent cx="58293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072AF"/>
        </w:rPr>
        <w:t>Leadership Structure</w:t>
      </w:r>
    </w:p>
    <w:p>
      <w:pPr>
        <w:spacing w:after="0" w:line="175" w:lineRule="exact"/>
        <w:rPr>
          <w:sz w:val="20"/>
          <w:szCs w:val="20"/>
          <w:color w:val="auto"/>
        </w:rPr>
      </w:pPr>
    </w:p>
    <w:p>
      <w:pPr>
        <w:jc w:val="both"/>
        <w:ind w:left="920" w:right="920"/>
        <w:spacing w:after="0" w:line="259" w:lineRule="auto"/>
        <w:rPr>
          <w:sz w:val="20"/>
          <w:szCs w:val="20"/>
          <w:color w:val="auto"/>
        </w:rPr>
      </w:pPr>
      <w:r>
        <w:rPr>
          <w:rFonts w:ascii="Arial" w:cs="Arial" w:eastAsia="Arial" w:hAnsi="Arial"/>
          <w:sz w:val="17"/>
          <w:szCs w:val="17"/>
          <w:color w:val="auto"/>
        </w:rPr>
        <w:t>Currently, the roles of Chairman and CEO are separate and Mary Guilfoile, an independent director, was elected as our Non-Executive Chairman of the Board following the 2023 Annual Meeting. Upon her departure after this year’s Annual Meeting, the Board’s nominees anticipate that they will appoint Ms. Sutton as Non-Executive Chairman of the Board. The Board believes it should have the flexibility to establish a leadership structure that works best for the Company at a particular time, and it reviews that structure from time to time. The Board believes that its current leadership structure best serves the objective of effective Board oversight of risk and management of the Company.</w:t>
      </w:r>
    </w:p>
    <w:p>
      <w:pPr>
        <w:spacing w:after="0" w:line="125" w:lineRule="exact"/>
        <w:rPr>
          <w:sz w:val="20"/>
          <w:szCs w:val="20"/>
          <w:color w:val="auto"/>
        </w:rPr>
      </w:pPr>
    </w:p>
    <w:p>
      <w:pPr>
        <w:jc w:val="both"/>
        <w:ind w:left="920" w:right="920"/>
        <w:spacing w:after="0" w:line="247" w:lineRule="auto"/>
        <w:rPr>
          <w:sz w:val="20"/>
          <w:szCs w:val="20"/>
          <w:color w:val="auto"/>
        </w:rPr>
      </w:pPr>
      <w:r>
        <w:rPr>
          <w:rFonts w:ascii="Arial" w:cs="Arial" w:eastAsia="Arial" w:hAnsi="Arial"/>
          <w:sz w:val="18"/>
          <w:szCs w:val="18"/>
          <w:color w:val="auto"/>
        </w:rPr>
        <w:t xml:space="preserve">The Board has established well-defined responsibilities, qualifications and selection criteria with respect to the Chairman role. This information is set forth in detail in the Governance Principles of the Board of Directors, which can be found on our website at </w:t>
      </w:r>
      <w:r>
        <w:rPr>
          <w:rFonts w:ascii="Arial" w:cs="Arial" w:eastAsia="Arial" w:hAnsi="Arial"/>
          <w:sz w:val="18"/>
          <w:szCs w:val="18"/>
          <w:color w:val="0072AF"/>
        </w:rPr>
        <w:t>www.pitneybowes.com</w:t>
      </w:r>
      <w:r>
        <w:rPr>
          <w:rFonts w:ascii="Arial" w:cs="Arial" w:eastAsia="Arial" w:hAnsi="Arial"/>
          <w:sz w:val="18"/>
          <w:szCs w:val="18"/>
          <w:color w:val="auto"/>
        </w:rPr>
        <w:t xml:space="preserve"> under the caption “Our Company—Leadership &amp; Governance—Corporate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2491740</wp:posOffset>
            </wp:positionH>
            <wp:positionV relativeFrom="paragraph">
              <wp:posOffset>-160020</wp:posOffset>
            </wp:positionV>
            <wp:extent cx="1155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072AF"/>
        </w:rPr>
        <w:t>CEO and Management Succession Planning</w:t>
      </w:r>
    </w:p>
    <w:p>
      <w:pPr>
        <w:spacing w:after="0" w:line="175" w:lineRule="exact"/>
        <w:rPr>
          <w:sz w:val="20"/>
          <w:szCs w:val="20"/>
          <w:color w:val="auto"/>
        </w:rPr>
      </w:pPr>
    </w:p>
    <w:p>
      <w:pPr>
        <w:jc w:val="both"/>
        <w:ind w:left="920" w:right="920"/>
        <w:spacing w:after="0"/>
        <w:rPr>
          <w:sz w:val="20"/>
          <w:szCs w:val="20"/>
          <w:color w:val="auto"/>
        </w:rPr>
      </w:pPr>
      <w:r>
        <w:rPr>
          <w:rFonts w:ascii="Arial" w:cs="Arial" w:eastAsia="Arial" w:hAnsi="Arial"/>
          <w:sz w:val="18"/>
          <w:szCs w:val="18"/>
          <w:color w:val="auto"/>
        </w:rPr>
        <w:t xml:space="preserve">Among the Board’s most important responsibilities is to oversee near- and long-term succession planning and leadership development. The Board is responsible for evaluating the performance of the CEO and for the selection of successors to that position. The criteria used when assessing the qualifications of potential CEO successors include, among others, strategic vision and leadership, operational excellence, financial management, the ability to motivate employees, and an ability to develop an effective working relationship with the Board. The Governance Principles of the Board of Directors, which are posted on the Company’s website at </w:t>
      </w:r>
      <w:r>
        <w:rPr>
          <w:rFonts w:ascii="Arial" w:cs="Arial" w:eastAsia="Arial" w:hAnsi="Arial"/>
          <w:sz w:val="18"/>
          <w:szCs w:val="18"/>
          <w:color w:val="0072AF"/>
        </w:rPr>
        <w:t>www.pitneybowes.com</w:t>
      </w:r>
      <w:r>
        <w:rPr>
          <w:rFonts w:ascii="Arial" w:cs="Arial" w:eastAsia="Arial" w:hAnsi="Arial"/>
          <w:sz w:val="18"/>
          <w:szCs w:val="18"/>
          <w:color w:val="auto"/>
        </w:rPr>
        <w:t xml:space="preserve"> under the caption “Our Company—Leadership &amp; Governance—Corporate Governance,” include additional information about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-284480</wp:posOffset>
            </wp:positionV>
            <wp:extent cx="1155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spacing w:after="0" w:line="133" w:lineRule="exact"/>
        <w:rPr>
          <w:sz w:val="20"/>
          <w:szCs w:val="20"/>
          <w:color w:val="auto"/>
        </w:rPr>
      </w:pPr>
    </w:p>
    <w:p>
      <w:pPr>
        <w:jc w:val="both"/>
        <w:ind w:left="920" w:right="940"/>
        <w:spacing w:after="0" w:line="247" w:lineRule="auto"/>
        <w:rPr>
          <w:sz w:val="20"/>
          <w:szCs w:val="20"/>
          <w:color w:val="auto"/>
        </w:rPr>
      </w:pPr>
      <w:r>
        <w:rPr>
          <w:rFonts w:ascii="Arial" w:cs="Arial" w:eastAsia="Arial" w:hAnsi="Arial"/>
          <w:sz w:val="18"/>
          <w:szCs w:val="18"/>
          <w:color w:val="auto"/>
        </w:rPr>
        <w:t>Periodically, but not less than annually, the Board considers management’s recommendations concerning succession planning for senior management roles other than the role of CEO. As part of this process, the Board reviews development plans to strengthen and supplement the skills and qualifications of internal succession candidates.</w:t>
      </w:r>
    </w:p>
    <w:p>
      <w:pPr>
        <w:spacing w:after="0" w:line="133" w:lineRule="exact"/>
        <w:rPr>
          <w:sz w:val="20"/>
          <w:szCs w:val="20"/>
          <w:color w:val="auto"/>
        </w:rPr>
      </w:pPr>
    </w:p>
    <w:p>
      <w:pPr>
        <w:jc w:val="both"/>
        <w:ind w:left="920" w:right="920"/>
        <w:spacing w:after="0" w:line="244" w:lineRule="auto"/>
        <w:rPr>
          <w:sz w:val="20"/>
          <w:szCs w:val="20"/>
          <w:color w:val="auto"/>
        </w:rPr>
      </w:pPr>
      <w:r>
        <w:rPr>
          <w:rFonts w:ascii="Arial" w:cs="Arial" w:eastAsia="Arial" w:hAnsi="Arial"/>
          <w:sz w:val="18"/>
          <w:szCs w:val="18"/>
          <w:color w:val="auto"/>
        </w:rPr>
        <w:t>Succession planning has been a key priority for the Board this year. The Long-Term Planning Committee and the full Board have been thoughtful and intentional regarding the selection of a permanent CEO. After appointing Jason Dies, an experienced and respected senior executive from Pitney Bowes to serve as interim CEO, the Board undertook an extensive search to identify a permanent CEO and retained Spencer Stuart to assist with the process.</w:t>
      </w:r>
    </w:p>
    <w:p>
      <w:pPr>
        <w:spacing w:after="0" w:line="24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Board Actions</w:t>
      </w:r>
    </w:p>
    <w:p>
      <w:pPr>
        <w:spacing w:after="0" w:line="185" w:lineRule="exact"/>
        <w:rPr>
          <w:sz w:val="20"/>
          <w:szCs w:val="20"/>
          <w:color w:val="auto"/>
        </w:rPr>
      </w:pPr>
    </w:p>
    <w:p>
      <w:pPr>
        <w:jc w:val="both"/>
        <w:ind w:left="920" w:right="920"/>
        <w:spacing w:after="0" w:line="253" w:lineRule="auto"/>
        <w:rPr>
          <w:sz w:val="20"/>
          <w:szCs w:val="20"/>
          <w:color w:val="auto"/>
        </w:rPr>
      </w:pPr>
      <w:r>
        <w:rPr>
          <w:rFonts w:ascii="Arial" w:cs="Arial" w:eastAsia="Arial" w:hAnsi="Arial"/>
          <w:sz w:val="18"/>
          <w:szCs w:val="18"/>
          <w:color w:val="auto"/>
        </w:rPr>
        <w:t>Following last year’s annual meeting, the newly constituted Board immediately focused on key priorities for its first few months, which included a CEO review, a focus on capital allocation, and a focus on cost structure. The Board has taken prompt, thoughtful and decisive actions on those items, including:</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350"/>
        </w:trPr>
        <w:tc>
          <w:tcPr>
            <w:tcW w:w="940" w:type="dxa"/>
            <w:vAlign w:val="bottom"/>
            <w:tcBorders>
              <w:right w:val="single" w:sz="8" w:color="auto"/>
            </w:tcBorders>
          </w:tcPr>
          <w:p>
            <w:pPr>
              <w:spacing w:after="0"/>
              <w:rPr>
                <w:sz w:val="24"/>
                <w:szCs w:val="24"/>
                <w:color w:val="auto"/>
              </w:rPr>
            </w:pPr>
          </w:p>
        </w:tc>
        <w:tc>
          <w:tcPr>
            <w:tcW w:w="1820" w:type="dxa"/>
            <w:vAlign w:val="bottom"/>
            <w:tcBorders>
              <w:top w:val="single" w:sz="8" w:color="auto"/>
              <w:right w:val="single" w:sz="8" w:color="auto"/>
            </w:tcBorders>
            <w:shd w:val="clear" w:color="auto" w:fill="0072AF"/>
          </w:tcPr>
          <w:p>
            <w:pPr>
              <w:spacing w:after="0"/>
              <w:rPr>
                <w:sz w:val="24"/>
                <w:szCs w:val="24"/>
                <w:color w:val="auto"/>
              </w:rPr>
            </w:pPr>
          </w:p>
        </w:tc>
        <w:tc>
          <w:tcPr>
            <w:tcW w:w="7340" w:type="dxa"/>
            <w:vAlign w:val="bottom"/>
            <w:tcBorders>
              <w:top w:val="single" w:sz="8" w:color="auto"/>
              <w:right w:val="single" w:sz="8" w:color="auto"/>
            </w:tcBorders>
            <w:shd w:val="clear" w:color="auto" w:fill="0072AF"/>
          </w:tcPr>
          <w:p>
            <w:pPr>
              <w:ind w:left="80"/>
              <w:spacing w:after="0"/>
              <w:rPr>
                <w:sz w:val="20"/>
                <w:szCs w:val="20"/>
                <w:color w:val="auto"/>
              </w:rPr>
            </w:pPr>
            <w:r>
              <w:rPr>
                <w:rFonts w:ascii="Arial" w:cs="Arial" w:eastAsia="Arial" w:hAnsi="Arial"/>
                <w:sz w:val="18"/>
                <w:szCs w:val="18"/>
                <w:b w:val="1"/>
                <w:bCs w:val="1"/>
                <w:color w:val="FFFFFF"/>
              </w:rPr>
              <w:t>Description</w:t>
            </w:r>
          </w:p>
        </w:tc>
        <w:tc>
          <w:tcPr>
            <w:tcW w:w="920" w:type="dxa"/>
            <w:vAlign w:val="bottom"/>
          </w:tcPr>
          <w:p>
            <w:pPr>
              <w:spacing w:after="0"/>
              <w:rPr>
                <w:sz w:val="24"/>
                <w:szCs w:val="24"/>
                <w:color w:val="auto"/>
              </w:rPr>
            </w:pPr>
          </w:p>
        </w:tc>
      </w:tr>
      <w:tr>
        <w:trPr>
          <w:trHeight w:val="69"/>
        </w:trPr>
        <w:tc>
          <w:tcPr>
            <w:tcW w:w="940" w:type="dxa"/>
            <w:vAlign w:val="bottom"/>
            <w:tcBorders>
              <w:right w:val="single" w:sz="8" w:color="auto"/>
            </w:tcBorders>
          </w:tcPr>
          <w:p>
            <w:pPr>
              <w:spacing w:after="0"/>
              <w:rPr>
                <w:sz w:val="6"/>
                <w:szCs w:val="6"/>
                <w:color w:val="auto"/>
              </w:rPr>
            </w:pPr>
          </w:p>
        </w:tc>
        <w:tc>
          <w:tcPr>
            <w:tcW w:w="1820" w:type="dxa"/>
            <w:vAlign w:val="bottom"/>
            <w:tcBorders>
              <w:bottom w:val="single" w:sz="8" w:color="auto"/>
              <w:right w:val="single" w:sz="8" w:color="auto"/>
            </w:tcBorders>
            <w:shd w:val="clear" w:color="auto" w:fill="0072AF"/>
          </w:tcPr>
          <w:p>
            <w:pPr>
              <w:spacing w:after="0"/>
              <w:rPr>
                <w:sz w:val="6"/>
                <w:szCs w:val="6"/>
                <w:color w:val="auto"/>
              </w:rPr>
            </w:pPr>
          </w:p>
        </w:tc>
        <w:tc>
          <w:tcPr>
            <w:tcW w:w="7340" w:type="dxa"/>
            <w:vAlign w:val="bottom"/>
            <w:tcBorders>
              <w:bottom w:val="single" w:sz="8" w:color="auto"/>
              <w:right w:val="single" w:sz="8" w:color="auto"/>
            </w:tcBorders>
            <w:shd w:val="clear" w:color="auto" w:fill="0072AF"/>
          </w:tcPr>
          <w:p>
            <w:pPr>
              <w:spacing w:after="0"/>
              <w:rPr>
                <w:sz w:val="6"/>
                <w:szCs w:val="6"/>
                <w:color w:val="auto"/>
              </w:rPr>
            </w:pPr>
          </w:p>
        </w:tc>
        <w:tc>
          <w:tcPr>
            <w:tcW w:w="920" w:type="dxa"/>
            <w:vAlign w:val="bottom"/>
          </w:tcPr>
          <w:p>
            <w:pPr>
              <w:spacing w:after="0"/>
              <w:rPr>
                <w:sz w:val="6"/>
                <w:szCs w:val="6"/>
                <w:color w:val="auto"/>
              </w:rPr>
            </w:pPr>
          </w:p>
        </w:tc>
      </w:tr>
      <w:tr>
        <w:trPr>
          <w:trHeight w:val="272"/>
        </w:trPr>
        <w:tc>
          <w:tcPr>
            <w:tcW w:w="940" w:type="dxa"/>
            <w:vAlign w:val="bottom"/>
            <w:tcBorders>
              <w:right w:val="single" w:sz="8" w:color="auto"/>
            </w:tcBorders>
          </w:tcPr>
          <w:p>
            <w:pPr>
              <w:spacing w:after="0"/>
              <w:rPr>
                <w:sz w:val="23"/>
                <w:szCs w:val="23"/>
                <w:color w:val="auto"/>
              </w:rPr>
            </w:pPr>
          </w:p>
        </w:tc>
        <w:tc>
          <w:tcPr>
            <w:tcW w:w="1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CEO Change</w:t>
            </w:r>
          </w:p>
        </w:tc>
        <w:tc>
          <w:tcPr>
            <w:tcW w:w="7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After extensive deliberation about the best path to drive transformation, the Board made</w:t>
            </w:r>
          </w:p>
        </w:tc>
        <w:tc>
          <w:tcPr>
            <w:tcW w:w="920" w:type="dxa"/>
            <w:vAlign w:val="bottom"/>
          </w:tcPr>
          <w:p>
            <w:pPr>
              <w:spacing w:after="0"/>
              <w:rPr>
                <w:sz w:val="23"/>
                <w:szCs w:val="23"/>
                <w:color w:val="auto"/>
              </w:rPr>
            </w:pPr>
          </w:p>
        </w:tc>
      </w:tr>
      <w:tr>
        <w:trPr>
          <w:trHeight w:val="203"/>
        </w:trPr>
        <w:tc>
          <w:tcPr>
            <w:tcW w:w="94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73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 decision on October 2, 2023 for the CEO to leave the Company and installed Jason</w:t>
            </w:r>
          </w:p>
        </w:tc>
        <w:tc>
          <w:tcPr>
            <w:tcW w:w="920" w:type="dxa"/>
            <w:vAlign w:val="bottom"/>
          </w:tcPr>
          <w:p>
            <w:pPr>
              <w:spacing w:after="0"/>
              <w:rPr>
                <w:sz w:val="17"/>
                <w:szCs w:val="17"/>
                <w:color w:val="auto"/>
              </w:rPr>
            </w:pPr>
          </w:p>
        </w:tc>
      </w:tr>
      <w:tr>
        <w:trPr>
          <w:trHeight w:val="203"/>
        </w:trPr>
        <w:tc>
          <w:tcPr>
            <w:tcW w:w="94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73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Dies, a longtime executive of the Company, as interim CEO.</w:t>
            </w:r>
          </w:p>
        </w:tc>
        <w:tc>
          <w:tcPr>
            <w:tcW w:w="920" w:type="dxa"/>
            <w:vAlign w:val="bottom"/>
          </w:tcPr>
          <w:p>
            <w:pPr>
              <w:spacing w:after="0"/>
              <w:rPr>
                <w:sz w:val="17"/>
                <w:szCs w:val="17"/>
                <w:color w:val="auto"/>
              </w:rPr>
            </w:pPr>
          </w:p>
        </w:tc>
      </w:tr>
      <w:tr>
        <w:trPr>
          <w:trHeight w:val="203"/>
        </w:trPr>
        <w:tc>
          <w:tcPr>
            <w:tcW w:w="94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73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 </w:t>
            </w:r>
          </w:p>
        </w:tc>
        <w:tc>
          <w:tcPr>
            <w:tcW w:w="920" w:type="dxa"/>
            <w:vAlign w:val="bottom"/>
          </w:tcPr>
          <w:p>
            <w:pPr>
              <w:spacing w:after="0"/>
              <w:rPr>
                <w:sz w:val="17"/>
                <w:szCs w:val="17"/>
                <w:color w:val="auto"/>
              </w:rPr>
            </w:pPr>
          </w:p>
        </w:tc>
      </w:tr>
      <w:tr>
        <w:trPr>
          <w:trHeight w:val="203"/>
        </w:trPr>
        <w:tc>
          <w:tcPr>
            <w:tcW w:w="94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73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Board formed a Long-Term Planning Committee to oversee the CEO succession</w:t>
            </w:r>
          </w:p>
        </w:tc>
        <w:tc>
          <w:tcPr>
            <w:tcW w:w="920" w:type="dxa"/>
            <w:vAlign w:val="bottom"/>
          </w:tcPr>
          <w:p>
            <w:pPr>
              <w:spacing w:after="0"/>
              <w:rPr>
                <w:sz w:val="17"/>
                <w:szCs w:val="17"/>
                <w:color w:val="auto"/>
              </w:rPr>
            </w:pPr>
          </w:p>
        </w:tc>
      </w:tr>
      <w:tr>
        <w:trPr>
          <w:trHeight w:val="203"/>
        </w:trPr>
        <w:tc>
          <w:tcPr>
            <w:tcW w:w="94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73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process, which has included retaining Spencer Stuart to assist with the search,</w:t>
            </w:r>
          </w:p>
        </w:tc>
        <w:tc>
          <w:tcPr>
            <w:tcW w:w="920" w:type="dxa"/>
            <w:vAlign w:val="bottom"/>
          </w:tcPr>
          <w:p>
            <w:pPr>
              <w:spacing w:after="0"/>
              <w:rPr>
                <w:sz w:val="17"/>
                <w:szCs w:val="17"/>
                <w:color w:val="auto"/>
              </w:rPr>
            </w:pPr>
          </w:p>
        </w:tc>
      </w:tr>
      <w:tr>
        <w:trPr>
          <w:trHeight w:val="202"/>
        </w:trPr>
        <w:tc>
          <w:tcPr>
            <w:tcW w:w="94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73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conducting meetings with senior leadership of the Company, and holding extensive Board</w:t>
            </w:r>
          </w:p>
        </w:tc>
        <w:tc>
          <w:tcPr>
            <w:tcW w:w="920" w:type="dxa"/>
            <w:vAlign w:val="bottom"/>
          </w:tcPr>
          <w:p>
            <w:pPr>
              <w:spacing w:after="0"/>
              <w:rPr>
                <w:sz w:val="17"/>
                <w:szCs w:val="17"/>
                <w:color w:val="auto"/>
              </w:rPr>
            </w:pPr>
          </w:p>
        </w:tc>
      </w:tr>
      <w:tr>
        <w:trPr>
          <w:trHeight w:val="239"/>
        </w:trPr>
        <w:tc>
          <w:tcPr>
            <w:tcW w:w="9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7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discussions about candidate profile, and review of internal and external candidates.</w:t>
            </w:r>
          </w:p>
        </w:tc>
        <w:tc>
          <w:tcPr>
            <w:tcW w:w="920" w:type="dxa"/>
            <w:vAlign w:val="bottom"/>
          </w:tcPr>
          <w:p>
            <w:pPr>
              <w:spacing w:after="0"/>
              <w:rPr>
                <w:sz w:val="20"/>
                <w:szCs w:val="20"/>
                <w:color w:val="auto"/>
              </w:rPr>
            </w:pPr>
          </w:p>
        </w:tc>
      </w:tr>
      <w:tr>
        <w:trPr>
          <w:trHeight w:val="77"/>
        </w:trPr>
        <w:tc>
          <w:tcPr>
            <w:tcW w:w="940" w:type="dxa"/>
            <w:vAlign w:val="bottom"/>
            <w:tcBorders>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7340" w:type="dxa"/>
            <w:vAlign w:val="bottom"/>
            <w:tcBorders>
              <w:bottom w:val="single" w:sz="8" w:color="auto"/>
              <w:right w:val="single" w:sz="8" w:color="auto"/>
            </w:tcBorders>
          </w:tcPr>
          <w:p>
            <w:pPr>
              <w:spacing w:after="0"/>
              <w:rPr>
                <w:sz w:val="6"/>
                <w:szCs w:val="6"/>
                <w:color w:val="auto"/>
              </w:rPr>
            </w:pPr>
          </w:p>
        </w:tc>
        <w:tc>
          <w:tcPr>
            <w:tcW w:w="920" w:type="dxa"/>
            <w:vAlign w:val="bottom"/>
          </w:tcPr>
          <w:p>
            <w:pPr>
              <w:spacing w:after="0"/>
              <w:rPr>
                <w:sz w:val="6"/>
                <w:szCs w:val="6"/>
                <w:color w:val="auto"/>
              </w:rPr>
            </w:pPr>
          </w:p>
        </w:tc>
      </w:tr>
      <w:tr>
        <w:trPr>
          <w:trHeight w:val="272"/>
        </w:trPr>
        <w:tc>
          <w:tcPr>
            <w:tcW w:w="940" w:type="dxa"/>
            <w:vAlign w:val="bottom"/>
            <w:tcBorders>
              <w:right w:val="single" w:sz="8" w:color="auto"/>
            </w:tcBorders>
          </w:tcPr>
          <w:p>
            <w:pPr>
              <w:spacing w:after="0"/>
              <w:rPr>
                <w:sz w:val="23"/>
                <w:szCs w:val="23"/>
                <w:color w:val="auto"/>
              </w:rPr>
            </w:pPr>
          </w:p>
        </w:tc>
        <w:tc>
          <w:tcPr>
            <w:tcW w:w="1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Capital Allocation</w:t>
            </w:r>
          </w:p>
        </w:tc>
        <w:tc>
          <w:tcPr>
            <w:tcW w:w="7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 June 2023, we amended our Credit Agreement to provide the Company with additional</w:t>
            </w:r>
          </w:p>
        </w:tc>
        <w:tc>
          <w:tcPr>
            <w:tcW w:w="920" w:type="dxa"/>
            <w:vAlign w:val="bottom"/>
          </w:tcPr>
          <w:p>
            <w:pPr>
              <w:spacing w:after="0"/>
              <w:rPr>
                <w:sz w:val="23"/>
                <w:szCs w:val="23"/>
                <w:color w:val="auto"/>
              </w:rPr>
            </w:pPr>
          </w:p>
        </w:tc>
      </w:tr>
      <w:tr>
        <w:trPr>
          <w:trHeight w:val="203"/>
        </w:trPr>
        <w:tc>
          <w:tcPr>
            <w:tcW w:w="94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73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flexibility in managing its capital structure.</w:t>
            </w:r>
          </w:p>
        </w:tc>
        <w:tc>
          <w:tcPr>
            <w:tcW w:w="920" w:type="dxa"/>
            <w:vAlign w:val="bottom"/>
          </w:tcPr>
          <w:p>
            <w:pPr>
              <w:spacing w:after="0"/>
              <w:rPr>
                <w:sz w:val="17"/>
                <w:szCs w:val="17"/>
                <w:color w:val="auto"/>
              </w:rPr>
            </w:pPr>
          </w:p>
        </w:tc>
      </w:tr>
      <w:tr>
        <w:trPr>
          <w:trHeight w:val="203"/>
        </w:trPr>
        <w:tc>
          <w:tcPr>
            <w:tcW w:w="94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73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 </w:t>
            </w:r>
          </w:p>
        </w:tc>
        <w:tc>
          <w:tcPr>
            <w:tcW w:w="920" w:type="dxa"/>
            <w:vAlign w:val="bottom"/>
          </w:tcPr>
          <w:p>
            <w:pPr>
              <w:spacing w:after="0"/>
              <w:rPr>
                <w:sz w:val="17"/>
                <w:szCs w:val="17"/>
                <w:color w:val="auto"/>
              </w:rPr>
            </w:pPr>
          </w:p>
        </w:tc>
      </w:tr>
      <w:tr>
        <w:trPr>
          <w:trHeight w:val="203"/>
        </w:trPr>
        <w:tc>
          <w:tcPr>
            <w:tcW w:w="94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73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 July 2023, we issued senior secured notes in an aggregate principal amount of $275</w:t>
            </w:r>
          </w:p>
        </w:tc>
        <w:tc>
          <w:tcPr>
            <w:tcW w:w="920" w:type="dxa"/>
            <w:vAlign w:val="bottom"/>
          </w:tcPr>
          <w:p>
            <w:pPr>
              <w:spacing w:after="0"/>
              <w:rPr>
                <w:sz w:val="17"/>
                <w:szCs w:val="17"/>
                <w:color w:val="auto"/>
              </w:rPr>
            </w:pPr>
          </w:p>
        </w:tc>
      </w:tr>
      <w:tr>
        <w:trPr>
          <w:trHeight w:val="203"/>
        </w:trPr>
        <w:tc>
          <w:tcPr>
            <w:tcW w:w="94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73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million, pursuant to a private placement. The notes mature in March 2028. The net</w:t>
            </w:r>
          </w:p>
        </w:tc>
        <w:tc>
          <w:tcPr>
            <w:tcW w:w="920" w:type="dxa"/>
            <w:vAlign w:val="bottom"/>
          </w:tcPr>
          <w:p>
            <w:pPr>
              <w:spacing w:after="0"/>
              <w:rPr>
                <w:sz w:val="17"/>
                <w:szCs w:val="17"/>
                <w:color w:val="auto"/>
              </w:rPr>
            </w:pPr>
          </w:p>
        </w:tc>
      </w:tr>
      <w:tr>
        <w:trPr>
          <w:trHeight w:val="203"/>
        </w:trPr>
        <w:tc>
          <w:tcPr>
            <w:tcW w:w="94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73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proceeds were used to redeem our March 2024 notes and a portion of our tranche A term</w:t>
            </w:r>
          </w:p>
        </w:tc>
        <w:tc>
          <w:tcPr>
            <w:tcW w:w="920" w:type="dxa"/>
            <w:vAlign w:val="bottom"/>
          </w:tcPr>
          <w:p>
            <w:pPr>
              <w:spacing w:after="0"/>
              <w:rPr>
                <w:sz w:val="17"/>
                <w:szCs w:val="17"/>
                <w:color w:val="auto"/>
              </w:rPr>
            </w:pPr>
          </w:p>
        </w:tc>
      </w:tr>
      <w:tr>
        <w:trPr>
          <w:trHeight w:val="239"/>
        </w:trPr>
        <w:tc>
          <w:tcPr>
            <w:tcW w:w="94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7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loan due March 2026.</w:t>
            </w:r>
          </w:p>
        </w:tc>
        <w:tc>
          <w:tcPr>
            <w:tcW w:w="920" w:type="dxa"/>
            <w:vAlign w:val="bottom"/>
          </w:tcPr>
          <w:p>
            <w:pPr>
              <w:spacing w:after="0"/>
              <w:rPr>
                <w:sz w:val="20"/>
                <w:szCs w:val="20"/>
                <w:color w:val="auto"/>
              </w:rPr>
            </w:pPr>
          </w:p>
        </w:tc>
      </w:tr>
      <w:tr>
        <w:trPr>
          <w:trHeight w:val="64"/>
        </w:trPr>
        <w:tc>
          <w:tcPr>
            <w:tcW w:w="940" w:type="dxa"/>
            <w:vAlign w:val="bottom"/>
            <w:tcBorders>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7340" w:type="dxa"/>
            <w:vAlign w:val="bottom"/>
            <w:tcBorders>
              <w:bottom w:val="single" w:sz="8" w:color="auto"/>
              <w:right w:val="single" w:sz="8" w:color="auto"/>
            </w:tcBorders>
          </w:tcPr>
          <w:p>
            <w:pPr>
              <w:spacing w:after="0"/>
              <w:rPr>
                <w:sz w:val="5"/>
                <w:szCs w:val="5"/>
                <w:color w:val="auto"/>
              </w:rPr>
            </w:pPr>
          </w:p>
        </w:tc>
        <w:tc>
          <w:tcPr>
            <w:tcW w:w="920" w:type="dxa"/>
            <w:vAlign w:val="bottom"/>
          </w:tcPr>
          <w:p>
            <w:pPr>
              <w:spacing w:after="0"/>
              <w:rPr>
                <w:sz w:val="5"/>
                <w:szCs w:val="5"/>
                <w:color w:val="auto"/>
              </w:rPr>
            </w:pPr>
          </w:p>
        </w:tc>
      </w:tr>
      <w:tr>
        <w:trPr>
          <w:trHeight w:val="429"/>
        </w:trPr>
        <w:tc>
          <w:tcPr>
            <w:tcW w:w="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340" w:type="dxa"/>
            <w:vAlign w:val="bottom"/>
          </w:tcPr>
          <w:p>
            <w:pPr>
              <w:ind w:left="2640"/>
              <w:spacing w:after="0"/>
              <w:rPr>
                <w:sz w:val="20"/>
                <w:szCs w:val="20"/>
                <w:color w:val="auto"/>
              </w:rPr>
            </w:pPr>
            <w:r>
              <w:rPr>
                <w:rFonts w:ascii="Arial" w:cs="Arial" w:eastAsia="Arial" w:hAnsi="Arial"/>
                <w:sz w:val="18"/>
                <w:szCs w:val="18"/>
                <w:color w:val="auto"/>
              </w:rPr>
              <w:t>12</w:t>
            </w:r>
          </w:p>
        </w:tc>
        <w:tc>
          <w:tcPr>
            <w:tcW w:w="920" w:type="dxa"/>
            <w:vAlign w:val="bottom"/>
          </w:tcPr>
          <w:p>
            <w:pPr>
              <w:spacing w:after="0"/>
              <w:rPr>
                <w:sz w:val="24"/>
                <w:szCs w:val="24"/>
                <w:color w:val="auto"/>
              </w:rPr>
            </w:pPr>
          </w:p>
        </w:tc>
      </w:tr>
      <w:tr>
        <w:trPr>
          <w:trHeight w:val="179"/>
        </w:trPr>
        <w:tc>
          <w:tcPr>
            <w:tcW w:w="9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7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305"/>
        </w:trPr>
        <w:tc>
          <w:tcPr>
            <w:tcW w:w="184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Cost Structure</w:t>
            </w:r>
          </w:p>
        </w:tc>
        <w:tc>
          <w:tcPr>
            <w:tcW w:w="73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 May 2023, we approved a worldwide restructuring plan (the 2023 Plan) designed to</w:t>
            </w:r>
          </w:p>
        </w:tc>
      </w:tr>
      <w:tr>
        <w:trPr>
          <w:trHeight w:val="203"/>
        </w:trPr>
        <w:tc>
          <w:tcPr>
            <w:tcW w:w="1840" w:type="dxa"/>
            <w:vAlign w:val="bottom"/>
            <w:tcBorders>
              <w:left w:val="single" w:sz="8" w:color="auto"/>
              <w:right w:val="single" w:sz="8" w:color="auto"/>
            </w:tcBorders>
          </w:tcPr>
          <w:p>
            <w:pPr>
              <w:spacing w:after="0"/>
              <w:rPr>
                <w:sz w:val="17"/>
                <w:szCs w:val="17"/>
                <w:color w:val="auto"/>
              </w:rPr>
            </w:pPr>
          </w:p>
        </w:tc>
        <w:tc>
          <w:tcPr>
            <w:tcW w:w="73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improve profitability and cash flow by reducing complexity, streamlining operating</w:t>
            </w:r>
          </w:p>
        </w:tc>
      </w:tr>
      <w:tr>
        <w:trPr>
          <w:trHeight w:val="203"/>
        </w:trPr>
        <w:tc>
          <w:tcPr>
            <w:tcW w:w="1840" w:type="dxa"/>
            <w:vAlign w:val="bottom"/>
            <w:tcBorders>
              <w:left w:val="single" w:sz="8" w:color="auto"/>
              <w:right w:val="single" w:sz="8" w:color="auto"/>
            </w:tcBorders>
          </w:tcPr>
          <w:p>
            <w:pPr>
              <w:spacing w:after="0"/>
              <w:rPr>
                <w:sz w:val="17"/>
                <w:szCs w:val="17"/>
                <w:color w:val="auto"/>
              </w:rPr>
            </w:pPr>
          </w:p>
        </w:tc>
        <w:tc>
          <w:tcPr>
            <w:tcW w:w="73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processes, and driving further operational efficiencies. We have identified additional</w:t>
            </w:r>
          </w:p>
        </w:tc>
      </w:tr>
      <w:tr>
        <w:trPr>
          <w:trHeight w:val="203"/>
        </w:trPr>
        <w:tc>
          <w:tcPr>
            <w:tcW w:w="1840" w:type="dxa"/>
            <w:vAlign w:val="bottom"/>
            <w:tcBorders>
              <w:left w:val="single" w:sz="8" w:color="auto"/>
              <w:right w:val="single" w:sz="8" w:color="auto"/>
            </w:tcBorders>
          </w:tcPr>
          <w:p>
            <w:pPr>
              <w:spacing w:after="0"/>
              <w:rPr>
                <w:sz w:val="17"/>
                <w:szCs w:val="17"/>
                <w:color w:val="auto"/>
              </w:rPr>
            </w:pPr>
          </w:p>
        </w:tc>
        <w:tc>
          <w:tcPr>
            <w:tcW w:w="73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actions under the 2023 Plan and are updating our initial estimates. The updated 2023</w:t>
            </w:r>
          </w:p>
        </w:tc>
      </w:tr>
      <w:tr>
        <w:trPr>
          <w:trHeight w:val="203"/>
        </w:trPr>
        <w:tc>
          <w:tcPr>
            <w:tcW w:w="1840" w:type="dxa"/>
            <w:vAlign w:val="bottom"/>
            <w:tcBorders>
              <w:left w:val="single" w:sz="8" w:color="auto"/>
              <w:right w:val="single" w:sz="8" w:color="auto"/>
            </w:tcBorders>
          </w:tcPr>
          <w:p>
            <w:pPr>
              <w:spacing w:after="0"/>
              <w:rPr>
                <w:sz w:val="17"/>
                <w:szCs w:val="17"/>
                <w:color w:val="auto"/>
              </w:rPr>
            </w:pPr>
          </w:p>
        </w:tc>
        <w:tc>
          <w:tcPr>
            <w:tcW w:w="73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Plan includes the elimination of 850-950 positions worldwide in part through further</w:t>
            </w:r>
          </w:p>
        </w:tc>
      </w:tr>
      <w:tr>
        <w:trPr>
          <w:trHeight w:val="203"/>
        </w:trPr>
        <w:tc>
          <w:tcPr>
            <w:tcW w:w="1840" w:type="dxa"/>
            <w:vAlign w:val="bottom"/>
            <w:tcBorders>
              <w:left w:val="single" w:sz="8" w:color="auto"/>
              <w:right w:val="single" w:sz="8" w:color="auto"/>
            </w:tcBorders>
          </w:tcPr>
          <w:p>
            <w:pPr>
              <w:spacing w:after="0"/>
              <w:rPr>
                <w:sz w:val="17"/>
                <w:szCs w:val="17"/>
                <w:color w:val="auto"/>
              </w:rPr>
            </w:pPr>
          </w:p>
        </w:tc>
        <w:tc>
          <w:tcPr>
            <w:tcW w:w="73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centralization and standardization of processes, including the expansion of our shared</w:t>
            </w:r>
          </w:p>
        </w:tc>
      </w:tr>
      <w:tr>
        <w:trPr>
          <w:trHeight w:val="203"/>
        </w:trPr>
        <w:tc>
          <w:tcPr>
            <w:tcW w:w="1840" w:type="dxa"/>
            <w:vAlign w:val="bottom"/>
            <w:tcBorders>
              <w:left w:val="single" w:sz="8" w:color="auto"/>
              <w:right w:val="single" w:sz="8" w:color="auto"/>
            </w:tcBorders>
          </w:tcPr>
          <w:p>
            <w:pPr>
              <w:spacing w:after="0"/>
              <w:rPr>
                <w:sz w:val="17"/>
                <w:szCs w:val="17"/>
                <w:color w:val="auto"/>
              </w:rPr>
            </w:pPr>
          </w:p>
        </w:tc>
        <w:tc>
          <w:tcPr>
            <w:tcW w:w="73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services activities, increased automation, and the consolidation or closure of select</w:t>
            </w:r>
          </w:p>
        </w:tc>
      </w:tr>
      <w:tr>
        <w:trPr>
          <w:trHeight w:val="203"/>
        </w:trPr>
        <w:tc>
          <w:tcPr>
            <w:tcW w:w="1840" w:type="dxa"/>
            <w:vAlign w:val="bottom"/>
            <w:tcBorders>
              <w:left w:val="single" w:sz="8" w:color="auto"/>
              <w:right w:val="single" w:sz="8" w:color="auto"/>
            </w:tcBorders>
          </w:tcPr>
          <w:p>
            <w:pPr>
              <w:spacing w:after="0"/>
              <w:rPr>
                <w:sz w:val="17"/>
                <w:szCs w:val="17"/>
                <w:color w:val="auto"/>
              </w:rPr>
            </w:pPr>
          </w:p>
        </w:tc>
        <w:tc>
          <w:tcPr>
            <w:tcW w:w="73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facilities in North America. The 2023 Plan is expected to generate annualized cost</w:t>
            </w:r>
          </w:p>
        </w:tc>
      </w:tr>
      <w:tr>
        <w:trPr>
          <w:trHeight w:val="239"/>
        </w:trPr>
        <w:tc>
          <w:tcPr>
            <w:tcW w:w="1840" w:type="dxa"/>
            <w:vAlign w:val="bottom"/>
            <w:tcBorders>
              <w:left w:val="single" w:sz="8" w:color="auto"/>
              <w:right w:val="single" w:sz="8" w:color="auto"/>
            </w:tcBorders>
          </w:tcPr>
          <w:p>
            <w:pPr>
              <w:spacing w:after="0"/>
              <w:rPr>
                <w:sz w:val="20"/>
                <w:szCs w:val="20"/>
                <w:color w:val="auto"/>
              </w:rPr>
            </w:pPr>
          </w:p>
        </w:tc>
        <w:tc>
          <w:tcPr>
            <w:tcW w:w="7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savings of $75 million-$85 million by the end of 2024.</w:t>
            </w:r>
          </w:p>
        </w:tc>
      </w:tr>
      <w:tr>
        <w:trPr>
          <w:trHeight w:val="77"/>
        </w:trPr>
        <w:tc>
          <w:tcPr>
            <w:tcW w:w="1840" w:type="dxa"/>
            <w:vAlign w:val="bottom"/>
            <w:tcBorders>
              <w:left w:val="single" w:sz="8" w:color="auto"/>
              <w:bottom w:val="single" w:sz="8" w:color="auto"/>
              <w:right w:val="single" w:sz="8" w:color="auto"/>
            </w:tcBorders>
          </w:tcPr>
          <w:p>
            <w:pPr>
              <w:spacing w:after="0"/>
              <w:rPr>
                <w:sz w:val="6"/>
                <w:szCs w:val="6"/>
                <w:color w:val="auto"/>
              </w:rPr>
            </w:pPr>
          </w:p>
        </w:tc>
        <w:tc>
          <w:tcPr>
            <w:tcW w:w="7340" w:type="dxa"/>
            <w:vAlign w:val="bottom"/>
            <w:tcBorders>
              <w:bottom w:val="single" w:sz="8" w:color="auto"/>
              <w:right w:val="single" w:sz="8" w:color="auto"/>
            </w:tcBorders>
          </w:tcPr>
          <w:p>
            <w:pPr>
              <w:spacing w:after="0"/>
              <w:rPr>
                <w:sz w:val="6"/>
                <w:szCs w:val="6"/>
                <w:color w:val="auto"/>
              </w:rPr>
            </w:pPr>
          </w:p>
        </w:tc>
      </w:tr>
      <w:tr>
        <w:trPr>
          <w:trHeight w:val="272"/>
        </w:trPr>
        <w:tc>
          <w:tcPr>
            <w:tcW w:w="18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Stockholder Rights</w:t>
            </w:r>
          </w:p>
        </w:tc>
        <w:tc>
          <w:tcPr>
            <w:tcW w:w="7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Board has approved an amendment to the By-laws to provide stockholders with a</w:t>
            </w:r>
          </w:p>
        </w:tc>
      </w:tr>
      <w:tr>
        <w:trPr>
          <w:trHeight w:val="203"/>
        </w:trPr>
        <w:tc>
          <w:tcPr>
            <w:tcW w:w="1840" w:type="dxa"/>
            <w:vAlign w:val="bottom"/>
            <w:tcBorders>
              <w:left w:val="single" w:sz="8" w:color="auto"/>
              <w:right w:val="single" w:sz="8" w:color="auto"/>
            </w:tcBorders>
          </w:tcPr>
          <w:p>
            <w:pPr>
              <w:spacing w:after="0"/>
              <w:rPr>
                <w:sz w:val="17"/>
                <w:szCs w:val="17"/>
                <w:color w:val="auto"/>
              </w:rPr>
            </w:pPr>
          </w:p>
        </w:tc>
        <w:tc>
          <w:tcPr>
            <w:tcW w:w="73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proxy access right and intends to effect the amendment following the Annual Meeting.</w:t>
            </w:r>
          </w:p>
        </w:tc>
      </w:tr>
      <w:tr>
        <w:trPr>
          <w:trHeight w:val="203"/>
        </w:trPr>
        <w:tc>
          <w:tcPr>
            <w:tcW w:w="1840" w:type="dxa"/>
            <w:vAlign w:val="bottom"/>
            <w:tcBorders>
              <w:left w:val="single" w:sz="8" w:color="auto"/>
              <w:right w:val="single" w:sz="8" w:color="auto"/>
            </w:tcBorders>
          </w:tcPr>
          <w:p>
            <w:pPr>
              <w:spacing w:after="0"/>
              <w:rPr>
                <w:sz w:val="17"/>
                <w:szCs w:val="17"/>
                <w:color w:val="auto"/>
              </w:rPr>
            </w:pPr>
          </w:p>
        </w:tc>
        <w:tc>
          <w:tcPr>
            <w:tcW w:w="73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Board has also included a proposal on this Proxy to amend its charter to provide</w:t>
            </w:r>
          </w:p>
        </w:tc>
      </w:tr>
      <w:tr>
        <w:trPr>
          <w:trHeight w:val="239"/>
        </w:trPr>
        <w:tc>
          <w:tcPr>
            <w:tcW w:w="1840" w:type="dxa"/>
            <w:vAlign w:val="bottom"/>
            <w:tcBorders>
              <w:left w:val="single" w:sz="8" w:color="auto"/>
              <w:right w:val="single" w:sz="8" w:color="auto"/>
            </w:tcBorders>
          </w:tcPr>
          <w:p>
            <w:pPr>
              <w:spacing w:after="0"/>
              <w:rPr>
                <w:sz w:val="20"/>
                <w:szCs w:val="20"/>
                <w:color w:val="auto"/>
              </w:rPr>
            </w:pPr>
          </w:p>
        </w:tc>
        <w:tc>
          <w:tcPr>
            <w:tcW w:w="7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stockholders the right to call a special meeting.</w:t>
            </w:r>
          </w:p>
        </w:tc>
      </w:tr>
      <w:tr>
        <w:trPr>
          <w:trHeight w:val="63"/>
        </w:trPr>
        <w:tc>
          <w:tcPr>
            <w:tcW w:w="1840" w:type="dxa"/>
            <w:vAlign w:val="bottom"/>
            <w:tcBorders>
              <w:left w:val="single" w:sz="8" w:color="auto"/>
              <w:bottom w:val="single" w:sz="8" w:color="auto"/>
              <w:right w:val="single" w:sz="8" w:color="auto"/>
            </w:tcBorders>
          </w:tcPr>
          <w:p>
            <w:pPr>
              <w:spacing w:after="0"/>
              <w:rPr>
                <w:sz w:val="5"/>
                <w:szCs w:val="5"/>
                <w:color w:val="auto"/>
              </w:rPr>
            </w:pPr>
          </w:p>
        </w:tc>
        <w:tc>
          <w:tcPr>
            <w:tcW w:w="7340" w:type="dxa"/>
            <w:vAlign w:val="bottom"/>
            <w:tcBorders>
              <w:bottom w:val="single" w:sz="8" w:color="auto"/>
              <w:right w:val="single" w:sz="8" w:color="auto"/>
            </w:tcBorders>
          </w:tcPr>
          <w:p>
            <w:pPr>
              <w:spacing w:after="0"/>
              <w:rPr>
                <w:sz w:val="5"/>
                <w:szCs w:val="5"/>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Director Independence</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Board conducts an annual review of the independence of each director under the New York Stock Exchange listing standards and our own standards of independence, which are set forth in the Governance Principles of the Board available on our website at </w:t>
      </w:r>
      <w:r>
        <w:rPr>
          <w:rFonts w:ascii="Arial" w:cs="Arial" w:eastAsia="Arial" w:hAnsi="Arial"/>
          <w:sz w:val="18"/>
          <w:szCs w:val="18"/>
          <w:color w:val="4B5A89"/>
        </w:rPr>
        <w:t>www.pitneybowes.com</w:t>
      </w:r>
      <w:r>
        <w:rPr>
          <w:rFonts w:ascii="Arial" w:cs="Arial" w:eastAsia="Arial" w:hAnsi="Arial"/>
          <w:sz w:val="18"/>
          <w:szCs w:val="18"/>
          <w:color w:val="auto"/>
        </w:rPr>
        <w:t xml:space="preserve"> under the caption “Our Company—Leadership &amp; Governance—Corporate Governance.” In making these determinations, the Board considers, among other things, whether any director or the director’s immediate family members have had any direct or indirect material relationship with Pitney Bowes or its management, including current or past employment with Pitney Bowes or its independent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1948815</wp:posOffset>
            </wp:positionH>
            <wp:positionV relativeFrom="paragraph">
              <wp:posOffset>-539115</wp:posOffset>
            </wp:positionV>
            <wp:extent cx="1155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spacing w:after="0" w:line="13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Board has determined that all Board members and nominees are independent under the NYSE listing standards and the standards set forth in the Governance Principles of the Board. All former directors who served on the Board since the beginning of the last fiscal year (other than former President and CEO Marc B. Lautenbach) were independent during the portion of that period that they served on the Board. The Board has also determined that all members of the Audit Committee and Executive Compensation Committee meet the heightened independence standards applicable to those committees.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Role of the Board of Directors in Risk Oversight</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Board is responsible for oversight of risk. Management is responsible for risk management, including identification and mitigation planning. The Company has an enterprise risk management program to identify, assess, monitor and address risks across the entire Company and its business operations. The description, assessments, mitigation plans and status for each enterprise risk are developed and monitored by management, including management “risk owners” and an oversight management risk committee.</w:t>
      </w:r>
    </w:p>
    <w:p>
      <w:pPr>
        <w:spacing w:after="0" w:line="13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Both the Audit Committee and the entire Board review on an ongoing basis the structure of the Company’s enterprise risk management program, including the overall process by which management identifies and manages risks. As part of this review, the Board regularly provides feedback to management on its view of ways to continually improve the program. Upon the recommendation of the Governance Committee, the Board assigns oversight responsibility for each of the enterprise-wide risks to either a specific committee of the Board, or to the full Board. The Board and each committee are responsible for oversight of one or more risks. The assignments are generally made based upon the type of enterprise risk and the linkage of the subject matter to the responsibilities of the committee as described in its charter or the nature of the enterprise risk warranting review by the full Board. For example, the Finance Committee oversees risks relating to liquidity, the Audit Committee oversees risks relating to internal controls, the Governance Committee oversees risks relating to ESG, and the Executive Compensation Committee oversees risks relating to the Company’s compensation programs.</w:t>
      </w:r>
    </w:p>
    <w:p>
      <w:pPr>
        <w:spacing w:after="0" w:line="14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Audit Committee also has oversight of the technology functions, including management’s processes for identifying and mitigating technology-related risks, including cybersecurity risks, to help align our risk exposure with our strategic objectives. Senior technology leadership, including our Chief Information Security Officer (CISO), briefs the Audit Committee on our cybersecurity and information security posture semi-annually and on an as needed basis, and the full Board is apprised on an annual basis.</w:t>
      </w:r>
    </w:p>
    <w:p>
      <w:pPr>
        <w:spacing w:after="0" w:line="14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Each enterprise risk and its related mitigation plan is reviewed by either the Board or the designated Board committee on an annual basis. On an annual basis, the Board receives a report on the status of all enterprise risks and their related mitigation plans.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Management and the Board monitor the risks and determine, from time to time, whether new risks should be considered either due to changes in the external environment, changes in the Company’s business, or for other reasons. Management also determines whether previously identified risks should be combined with new or emerging risks. Management reviews with the Board its recommendations on how to adjust the specific enterprise risk for Board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58293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It is our practice to contact many of our stockholders over the course of the year to seek their views on various governance topics and executive compensation matters. Our comprehensive stockholder engagement program is supplemented by our year-round investor relations outreach program that includes post-earnings communications, one-on-one conferences, individual meetings and general availability to respond to investor inquiries. We also periodically engage proxy advisory firms for their viewpoints.</w:t>
      </w:r>
    </w:p>
    <w:p>
      <w:pPr>
        <w:spacing w:after="0" w:line="14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multifaceted nature of this program allows us to maintain meaningful engagement with a broad audience, including large institutional investors, smaller to mid-size institutions, pension funds, advisory firms, and individual investors. The chart below details the engagements that we had to discuss the governance and compensation changes following the 2023 Annual Meeting.</w:t>
      </w:r>
    </w:p>
    <w:p>
      <w:pPr>
        <w:spacing w:after="0" w:line="24" w:lineRule="exact"/>
        <w:rPr>
          <w:sz w:val="20"/>
          <w:szCs w:val="20"/>
          <w:color w:val="auto"/>
        </w:rPr>
      </w:pPr>
    </w:p>
    <w:tbl>
      <w:tblPr>
        <w:tblLayout w:type="fixed"/>
        <w:tblInd w:w="10" w:type="dxa"/>
        <w:tblCellMar>
          <w:top w:w="0" w:type="dxa"/>
          <w:left w:w="0" w:type="dxa"/>
          <w:bottom w:w="0" w:type="dxa"/>
          <w:right w:w="0" w:type="dxa"/>
        </w:tblCellMar>
      </w:tblPr>
      <w:tr>
        <w:trPr>
          <w:trHeight w:val="305"/>
        </w:trPr>
        <w:tc>
          <w:tcPr>
            <w:tcW w:w="360" w:type="dxa"/>
            <w:vAlign w:val="bottom"/>
            <w:tcBorders>
              <w:top w:val="single" w:sz="8" w:color="auto"/>
              <w:left w:val="single" w:sz="8" w:color="auto"/>
            </w:tcBorders>
            <w:shd w:val="clear" w:color="auto" w:fill="0072AF"/>
          </w:tcPr>
          <w:p>
            <w:pPr>
              <w:spacing w:after="0"/>
              <w:rPr>
                <w:sz w:val="24"/>
                <w:szCs w:val="24"/>
                <w:color w:val="auto"/>
              </w:rPr>
            </w:pPr>
          </w:p>
        </w:tc>
        <w:tc>
          <w:tcPr>
            <w:tcW w:w="300" w:type="dxa"/>
            <w:vAlign w:val="bottom"/>
            <w:tcBorders>
              <w:top w:val="single" w:sz="8" w:color="auto"/>
            </w:tcBorders>
            <w:shd w:val="clear" w:color="auto" w:fill="0072AF"/>
          </w:tcPr>
          <w:p>
            <w:pPr>
              <w:spacing w:after="0"/>
              <w:rPr>
                <w:sz w:val="24"/>
                <w:szCs w:val="24"/>
                <w:color w:val="auto"/>
              </w:rPr>
            </w:pPr>
          </w:p>
        </w:tc>
        <w:tc>
          <w:tcPr>
            <w:tcW w:w="2460" w:type="dxa"/>
            <w:vAlign w:val="bottom"/>
            <w:tcBorders>
              <w:top w:val="single" w:sz="8" w:color="auto"/>
              <w:right w:val="single" w:sz="8" w:color="auto"/>
            </w:tcBorders>
            <w:shd w:val="clear" w:color="auto" w:fill="0072AF"/>
          </w:tcPr>
          <w:p>
            <w:pPr>
              <w:spacing w:after="0"/>
              <w:rPr>
                <w:sz w:val="24"/>
                <w:szCs w:val="24"/>
                <w:color w:val="auto"/>
              </w:rPr>
            </w:pPr>
          </w:p>
        </w:tc>
        <w:tc>
          <w:tcPr>
            <w:tcW w:w="3080" w:type="dxa"/>
            <w:vAlign w:val="bottom"/>
            <w:tcBorders>
              <w:top w:val="single" w:sz="8" w:color="auto"/>
              <w:right w:val="single" w:sz="8" w:color="auto"/>
            </w:tcBorders>
            <w:gridSpan w:val="3"/>
            <w:shd w:val="clear" w:color="auto" w:fill="0072AF"/>
          </w:tcPr>
          <w:p>
            <w:pPr>
              <w:ind w:left="560"/>
              <w:spacing w:after="0"/>
              <w:rPr>
                <w:sz w:val="20"/>
                <w:szCs w:val="20"/>
                <w:color w:val="auto"/>
              </w:rPr>
            </w:pPr>
            <w:r>
              <w:rPr>
                <w:rFonts w:ascii="Arial" w:cs="Arial" w:eastAsia="Arial" w:hAnsi="Arial"/>
                <w:sz w:val="18"/>
                <w:szCs w:val="18"/>
                <w:b w:val="1"/>
                <w:bCs w:val="1"/>
                <w:color w:val="FFFFFF"/>
              </w:rPr>
              <w:t>What did we hear from</w:t>
            </w:r>
          </w:p>
        </w:tc>
        <w:tc>
          <w:tcPr>
            <w:tcW w:w="1400" w:type="dxa"/>
            <w:vAlign w:val="bottom"/>
            <w:tcBorders>
              <w:top w:val="single" w:sz="8" w:color="auto"/>
            </w:tcBorders>
            <w:shd w:val="clear" w:color="auto" w:fill="0072AF"/>
          </w:tcPr>
          <w:p>
            <w:pPr>
              <w:spacing w:after="0"/>
              <w:rPr>
                <w:sz w:val="24"/>
                <w:szCs w:val="24"/>
                <w:color w:val="auto"/>
              </w:rPr>
            </w:pPr>
          </w:p>
        </w:tc>
        <w:tc>
          <w:tcPr>
            <w:tcW w:w="200" w:type="dxa"/>
            <w:vAlign w:val="bottom"/>
            <w:tcBorders>
              <w:top w:val="single" w:sz="8" w:color="auto"/>
            </w:tcBorders>
            <w:shd w:val="clear" w:color="auto" w:fill="0072AF"/>
          </w:tcPr>
          <w:p>
            <w:pPr>
              <w:spacing w:after="0"/>
              <w:rPr>
                <w:sz w:val="24"/>
                <w:szCs w:val="24"/>
                <w:color w:val="auto"/>
              </w:rPr>
            </w:pPr>
          </w:p>
        </w:tc>
        <w:tc>
          <w:tcPr>
            <w:tcW w:w="1380" w:type="dxa"/>
            <w:vAlign w:val="bottom"/>
            <w:tcBorders>
              <w:top w:val="single" w:sz="8" w:color="auto"/>
              <w:right w:val="single" w:sz="8" w:color="auto"/>
            </w:tcBorders>
            <w:shd w:val="clear" w:color="auto" w:fill="0072AF"/>
          </w:tcPr>
          <w:p>
            <w:pPr>
              <w:spacing w:after="0"/>
              <w:rPr>
                <w:sz w:val="24"/>
                <w:szCs w:val="24"/>
                <w:color w:val="auto"/>
              </w:rPr>
            </w:pPr>
          </w:p>
        </w:tc>
      </w:tr>
      <w:tr>
        <w:trPr>
          <w:trHeight w:val="247"/>
        </w:trPr>
        <w:tc>
          <w:tcPr>
            <w:tcW w:w="660" w:type="dxa"/>
            <w:vAlign w:val="bottom"/>
            <w:tcBorders>
              <w:left w:val="single" w:sz="8" w:color="auto"/>
            </w:tcBorders>
            <w:gridSpan w:val="2"/>
            <w:shd w:val="clear" w:color="auto" w:fill="0072AF"/>
          </w:tcPr>
          <w:p>
            <w:pPr>
              <w:ind w:left="240"/>
              <w:spacing w:after="0"/>
              <w:rPr>
                <w:sz w:val="20"/>
                <w:szCs w:val="20"/>
                <w:color w:val="auto"/>
              </w:rPr>
            </w:pPr>
            <w:r>
              <w:rPr>
                <w:rFonts w:ascii="Arial" w:cs="Arial" w:eastAsia="Arial" w:hAnsi="Arial"/>
                <w:sz w:val="18"/>
                <w:szCs w:val="18"/>
                <w:b w:val="1"/>
                <w:bCs w:val="1"/>
                <w:color w:val="FFFFFF"/>
                <w:w w:val="99"/>
              </w:rPr>
              <w:t>2023</w:t>
            </w:r>
            <w:r>
              <w:rPr>
                <w:rFonts w:ascii="Arial" w:cs="Arial" w:eastAsia="Arial" w:hAnsi="Arial"/>
                <w:sz w:val="18"/>
                <w:szCs w:val="18"/>
                <w:color w:val="FFFFFF"/>
                <w:w w:val="99"/>
              </w:rPr>
              <w:t>​</w:t>
            </w:r>
          </w:p>
        </w:tc>
        <w:tc>
          <w:tcPr>
            <w:tcW w:w="2460" w:type="dxa"/>
            <w:vAlign w:val="bottom"/>
            <w:tcBorders>
              <w:right w:val="single" w:sz="8" w:color="auto"/>
            </w:tcBorders>
            <w:shd w:val="clear" w:color="auto" w:fill="0072AF"/>
          </w:tcPr>
          <w:p>
            <w:pPr>
              <w:ind w:left="40"/>
              <w:spacing w:after="0"/>
              <w:rPr>
                <w:sz w:val="20"/>
                <w:szCs w:val="20"/>
                <w:color w:val="auto"/>
              </w:rPr>
            </w:pPr>
            <w:r>
              <w:rPr>
                <w:rFonts w:ascii="Arial" w:cs="Arial" w:eastAsia="Arial" w:hAnsi="Arial"/>
                <w:sz w:val="18"/>
                <w:szCs w:val="18"/>
                <w:b w:val="1"/>
                <w:bCs w:val="1"/>
                <w:color w:val="FFFFFF"/>
              </w:rPr>
              <w:t>Stockholder Engagement</w:t>
            </w:r>
          </w:p>
        </w:tc>
        <w:tc>
          <w:tcPr>
            <w:tcW w:w="3080" w:type="dxa"/>
            <w:vAlign w:val="bottom"/>
            <w:tcBorders>
              <w:right w:val="single" w:sz="8" w:color="auto"/>
            </w:tcBorders>
            <w:gridSpan w:val="3"/>
            <w:shd w:val="clear" w:color="auto" w:fill="0072AF"/>
          </w:tcPr>
          <w:p>
            <w:pPr>
              <w:ind w:left="900"/>
              <w:spacing w:after="0"/>
              <w:rPr>
                <w:sz w:val="20"/>
                <w:szCs w:val="20"/>
                <w:color w:val="auto"/>
              </w:rPr>
            </w:pPr>
            <w:r>
              <w:rPr>
                <w:rFonts w:ascii="Arial" w:cs="Arial" w:eastAsia="Arial" w:hAnsi="Arial"/>
                <w:sz w:val="18"/>
                <w:szCs w:val="18"/>
                <w:b w:val="1"/>
                <w:bCs w:val="1"/>
                <w:color w:val="FFFFFF"/>
              </w:rPr>
              <w:t>stockholders?</w:t>
            </w:r>
          </w:p>
        </w:tc>
        <w:tc>
          <w:tcPr>
            <w:tcW w:w="2980" w:type="dxa"/>
            <w:vAlign w:val="bottom"/>
            <w:tcBorders>
              <w:right w:val="single" w:sz="8" w:color="auto"/>
            </w:tcBorders>
            <w:gridSpan w:val="3"/>
            <w:shd w:val="clear" w:color="auto" w:fill="0072AF"/>
          </w:tcPr>
          <w:p>
            <w:pPr>
              <w:ind w:left="400"/>
              <w:spacing w:after="0"/>
              <w:rPr>
                <w:sz w:val="20"/>
                <w:szCs w:val="20"/>
                <w:color w:val="auto"/>
              </w:rPr>
            </w:pPr>
            <w:r>
              <w:rPr>
                <w:rFonts w:ascii="Arial" w:cs="Arial" w:eastAsia="Arial" w:hAnsi="Arial"/>
                <w:sz w:val="18"/>
                <w:szCs w:val="18"/>
                <w:b w:val="1"/>
                <w:bCs w:val="1"/>
                <w:color w:val="FFFFFF"/>
              </w:rPr>
              <w:t>What did we do about it?</w:t>
            </w:r>
          </w:p>
        </w:tc>
      </w:tr>
      <w:tr>
        <w:trPr>
          <w:trHeight w:val="69"/>
        </w:trPr>
        <w:tc>
          <w:tcPr>
            <w:tcW w:w="3120" w:type="dxa"/>
            <w:vAlign w:val="bottom"/>
            <w:tcBorders>
              <w:left w:val="single" w:sz="8" w:color="auto"/>
              <w:bottom w:val="single" w:sz="8" w:color="auto"/>
              <w:right w:val="single" w:sz="8" w:color="auto"/>
            </w:tcBorders>
            <w:gridSpan w:val="3"/>
            <w:shd w:val="clear" w:color="auto" w:fill="0072AF"/>
          </w:tcPr>
          <w:p>
            <w:pPr>
              <w:spacing w:after="0"/>
              <w:rPr>
                <w:sz w:val="6"/>
                <w:szCs w:val="6"/>
                <w:color w:val="auto"/>
              </w:rPr>
            </w:pPr>
          </w:p>
        </w:tc>
        <w:tc>
          <w:tcPr>
            <w:tcW w:w="1400" w:type="dxa"/>
            <w:vAlign w:val="bottom"/>
            <w:tcBorders>
              <w:bottom w:val="single" w:sz="8" w:color="auto"/>
            </w:tcBorders>
            <w:shd w:val="clear" w:color="auto" w:fill="0072AF"/>
          </w:tcPr>
          <w:p>
            <w:pPr>
              <w:spacing w:after="0"/>
              <w:rPr>
                <w:sz w:val="6"/>
                <w:szCs w:val="6"/>
                <w:color w:val="auto"/>
              </w:rPr>
            </w:pPr>
          </w:p>
        </w:tc>
        <w:tc>
          <w:tcPr>
            <w:tcW w:w="200" w:type="dxa"/>
            <w:vAlign w:val="bottom"/>
            <w:tcBorders>
              <w:bottom w:val="single" w:sz="8" w:color="auto"/>
            </w:tcBorders>
            <w:shd w:val="clear" w:color="auto" w:fill="0072AF"/>
          </w:tcPr>
          <w:p>
            <w:pPr>
              <w:spacing w:after="0"/>
              <w:rPr>
                <w:sz w:val="6"/>
                <w:szCs w:val="6"/>
                <w:color w:val="auto"/>
              </w:rPr>
            </w:pPr>
          </w:p>
        </w:tc>
        <w:tc>
          <w:tcPr>
            <w:tcW w:w="1480" w:type="dxa"/>
            <w:vAlign w:val="bottom"/>
            <w:tcBorders>
              <w:bottom w:val="single" w:sz="8" w:color="auto"/>
              <w:right w:val="single" w:sz="8" w:color="auto"/>
            </w:tcBorders>
            <w:shd w:val="clear" w:color="auto" w:fill="0072AF"/>
          </w:tcPr>
          <w:p>
            <w:pPr>
              <w:spacing w:after="0"/>
              <w:rPr>
                <w:sz w:val="6"/>
                <w:szCs w:val="6"/>
                <w:color w:val="auto"/>
              </w:rPr>
            </w:pPr>
          </w:p>
        </w:tc>
        <w:tc>
          <w:tcPr>
            <w:tcW w:w="1400" w:type="dxa"/>
            <w:vAlign w:val="bottom"/>
            <w:tcBorders>
              <w:bottom w:val="single" w:sz="8" w:color="auto"/>
            </w:tcBorders>
            <w:shd w:val="clear" w:color="auto" w:fill="0072AF"/>
          </w:tcPr>
          <w:p>
            <w:pPr>
              <w:spacing w:after="0"/>
              <w:rPr>
                <w:sz w:val="6"/>
                <w:szCs w:val="6"/>
                <w:color w:val="auto"/>
              </w:rPr>
            </w:pPr>
          </w:p>
        </w:tc>
        <w:tc>
          <w:tcPr>
            <w:tcW w:w="200" w:type="dxa"/>
            <w:vAlign w:val="bottom"/>
            <w:tcBorders>
              <w:bottom w:val="single" w:sz="8" w:color="auto"/>
            </w:tcBorders>
            <w:shd w:val="clear" w:color="auto" w:fill="0072AF"/>
          </w:tcPr>
          <w:p>
            <w:pPr>
              <w:spacing w:after="0"/>
              <w:rPr>
                <w:sz w:val="6"/>
                <w:szCs w:val="6"/>
                <w:color w:val="auto"/>
              </w:rPr>
            </w:pPr>
          </w:p>
        </w:tc>
        <w:tc>
          <w:tcPr>
            <w:tcW w:w="1380" w:type="dxa"/>
            <w:vAlign w:val="bottom"/>
            <w:tcBorders>
              <w:bottom w:val="single" w:sz="8" w:color="auto"/>
              <w:right w:val="single" w:sz="8" w:color="auto"/>
            </w:tcBorders>
            <w:shd w:val="clear" w:color="auto" w:fill="0072AF"/>
          </w:tcPr>
          <w:p>
            <w:pPr>
              <w:spacing w:after="0"/>
              <w:rPr>
                <w:sz w:val="6"/>
                <w:szCs w:val="6"/>
                <w:color w:val="auto"/>
              </w:rPr>
            </w:pPr>
          </w:p>
        </w:tc>
      </w:tr>
      <w:tr>
        <w:trPr>
          <w:trHeight w:val="272"/>
        </w:trPr>
        <w:tc>
          <w:tcPr>
            <w:tcW w:w="3120" w:type="dxa"/>
            <w:vAlign w:val="bottom"/>
            <w:tcBorders>
              <w:left w:val="single" w:sz="8" w:color="auto"/>
              <w:right w:val="single" w:sz="8" w:color="auto"/>
            </w:tcBorders>
            <w:gridSpan w:val="3"/>
          </w:tcPr>
          <w:p>
            <w:pPr>
              <w:ind w:left="180"/>
              <w:spacing w:after="0"/>
              <w:rPr>
                <w:sz w:val="20"/>
                <w:szCs w:val="20"/>
                <w:color w:val="auto"/>
              </w:rPr>
            </w:pPr>
            <w:r>
              <w:rPr>
                <w:rFonts w:ascii="Arial" w:cs="Arial" w:eastAsia="Arial" w:hAnsi="Arial"/>
                <w:sz w:val="18"/>
                <w:szCs w:val="18"/>
                <w:color w:val="auto"/>
              </w:rPr>
              <w:t>We reached out to holders of</w:t>
            </w:r>
          </w:p>
        </w:tc>
        <w:tc>
          <w:tcPr>
            <w:tcW w:w="30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Our investors asked questions</w:t>
            </w:r>
          </w:p>
        </w:tc>
        <w:tc>
          <w:tcPr>
            <w:tcW w:w="29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We shared insights and</w:t>
            </w:r>
          </w:p>
        </w:tc>
      </w:tr>
      <w:tr>
        <w:trPr>
          <w:trHeight w:val="203"/>
        </w:trPr>
        <w:tc>
          <w:tcPr>
            <w:tcW w:w="3120" w:type="dxa"/>
            <w:vAlign w:val="bottom"/>
            <w:tcBorders>
              <w:left w:val="single" w:sz="8" w:color="auto"/>
              <w:right w:val="single" w:sz="8" w:color="auto"/>
            </w:tcBorders>
            <w:gridSpan w:val="3"/>
          </w:tcPr>
          <w:p>
            <w:pPr>
              <w:ind w:left="180"/>
              <w:spacing w:after="0" w:line="202" w:lineRule="exact"/>
              <w:rPr>
                <w:sz w:val="20"/>
                <w:szCs w:val="20"/>
                <w:color w:val="auto"/>
              </w:rPr>
            </w:pPr>
            <w:r>
              <w:rPr>
                <w:rFonts w:ascii="Arial" w:cs="Arial" w:eastAsia="Arial" w:hAnsi="Arial"/>
                <w:sz w:val="18"/>
                <w:szCs w:val="18"/>
                <w:color w:val="auto"/>
              </w:rPr>
              <w:t>approximately 68% of our</w:t>
            </w:r>
          </w:p>
        </w:tc>
        <w:tc>
          <w:tcPr>
            <w:tcW w:w="30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about the Board refreshment and</w:t>
            </w:r>
          </w:p>
        </w:tc>
        <w:tc>
          <w:tcPr>
            <w:tcW w:w="29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perspectives of our stockholders</w:t>
            </w:r>
          </w:p>
        </w:tc>
      </w:tr>
      <w:tr>
        <w:trPr>
          <w:trHeight w:val="203"/>
        </w:trPr>
        <w:tc>
          <w:tcPr>
            <w:tcW w:w="3120" w:type="dxa"/>
            <w:vAlign w:val="bottom"/>
            <w:tcBorders>
              <w:left w:val="single" w:sz="8" w:color="auto"/>
              <w:right w:val="single" w:sz="8" w:color="auto"/>
            </w:tcBorders>
            <w:gridSpan w:val="3"/>
          </w:tcPr>
          <w:p>
            <w:pPr>
              <w:ind w:left="180"/>
              <w:spacing w:after="0" w:line="202" w:lineRule="exact"/>
              <w:rPr>
                <w:sz w:val="20"/>
                <w:szCs w:val="20"/>
                <w:color w:val="auto"/>
              </w:rPr>
            </w:pPr>
            <w:r>
              <w:rPr>
                <w:rFonts w:ascii="Arial" w:cs="Arial" w:eastAsia="Arial" w:hAnsi="Arial"/>
                <w:sz w:val="18"/>
                <w:szCs w:val="18"/>
                <w:color w:val="auto"/>
              </w:rPr>
              <w:t>outstanding shares to invite them</w:t>
            </w:r>
          </w:p>
        </w:tc>
        <w:tc>
          <w:tcPr>
            <w:tcW w:w="30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the CEO transition and asked about</w:t>
            </w:r>
          </w:p>
        </w:tc>
        <w:tc>
          <w:tcPr>
            <w:tcW w:w="29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with the Governance Committee,</w:t>
            </w:r>
          </w:p>
        </w:tc>
      </w:tr>
      <w:tr>
        <w:trPr>
          <w:trHeight w:val="203"/>
        </w:trPr>
        <w:tc>
          <w:tcPr>
            <w:tcW w:w="3120" w:type="dxa"/>
            <w:vAlign w:val="bottom"/>
            <w:tcBorders>
              <w:left w:val="single" w:sz="8" w:color="auto"/>
              <w:right w:val="single" w:sz="8" w:color="auto"/>
            </w:tcBorders>
            <w:gridSpan w:val="3"/>
          </w:tcPr>
          <w:p>
            <w:pPr>
              <w:ind w:left="180"/>
              <w:spacing w:after="0" w:line="202" w:lineRule="exact"/>
              <w:rPr>
                <w:sz w:val="20"/>
                <w:szCs w:val="20"/>
                <w:color w:val="auto"/>
              </w:rPr>
            </w:pPr>
            <w:r>
              <w:rPr>
                <w:rFonts w:ascii="Arial" w:cs="Arial" w:eastAsia="Arial" w:hAnsi="Arial"/>
                <w:sz w:val="18"/>
                <w:szCs w:val="18"/>
                <w:color w:val="auto"/>
              </w:rPr>
              <w:t>to engage with us on various</w:t>
            </w:r>
          </w:p>
        </w:tc>
        <w:tc>
          <w:tcPr>
            <w:tcW w:w="30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the onboarding of new directors to</w:t>
            </w:r>
          </w:p>
        </w:tc>
        <w:tc>
          <w:tcPr>
            <w:tcW w:w="29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Executive Compensation</w:t>
            </w:r>
          </w:p>
        </w:tc>
      </w:tr>
      <w:tr>
        <w:trPr>
          <w:trHeight w:val="203"/>
        </w:trPr>
        <w:tc>
          <w:tcPr>
            <w:tcW w:w="3120" w:type="dxa"/>
            <w:vAlign w:val="bottom"/>
            <w:tcBorders>
              <w:left w:val="single" w:sz="8" w:color="auto"/>
              <w:right w:val="single" w:sz="8" w:color="auto"/>
            </w:tcBorders>
            <w:gridSpan w:val="3"/>
          </w:tcPr>
          <w:p>
            <w:pPr>
              <w:ind w:left="180"/>
              <w:spacing w:after="0" w:line="202" w:lineRule="exact"/>
              <w:rPr>
                <w:sz w:val="20"/>
                <w:szCs w:val="20"/>
                <w:color w:val="auto"/>
              </w:rPr>
            </w:pPr>
            <w:r>
              <w:rPr>
                <w:rFonts w:ascii="Arial" w:cs="Arial" w:eastAsia="Arial" w:hAnsi="Arial"/>
                <w:sz w:val="18"/>
                <w:szCs w:val="18"/>
                <w:color w:val="auto"/>
              </w:rPr>
              <w:t>governance topics and executive</w:t>
            </w:r>
          </w:p>
        </w:tc>
        <w:tc>
          <w:tcPr>
            <w:tcW w:w="30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the Board.</w:t>
            </w:r>
          </w:p>
        </w:tc>
        <w:tc>
          <w:tcPr>
            <w:tcW w:w="29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Committee and with the Board.</w:t>
            </w:r>
          </w:p>
        </w:tc>
      </w:tr>
      <w:tr>
        <w:trPr>
          <w:trHeight w:val="203"/>
        </w:trPr>
        <w:tc>
          <w:tcPr>
            <w:tcW w:w="3120" w:type="dxa"/>
            <w:vAlign w:val="bottom"/>
            <w:tcBorders>
              <w:left w:val="single" w:sz="8" w:color="auto"/>
              <w:right w:val="single" w:sz="8" w:color="auto"/>
            </w:tcBorders>
            <w:gridSpan w:val="3"/>
          </w:tcPr>
          <w:p>
            <w:pPr>
              <w:ind w:left="180"/>
              <w:spacing w:after="0" w:line="202" w:lineRule="exact"/>
              <w:rPr>
                <w:sz w:val="20"/>
                <w:szCs w:val="20"/>
                <w:color w:val="auto"/>
              </w:rPr>
            </w:pPr>
            <w:r>
              <w:rPr>
                <w:rFonts w:ascii="Arial" w:cs="Arial" w:eastAsia="Arial" w:hAnsi="Arial"/>
                <w:sz w:val="18"/>
                <w:szCs w:val="18"/>
                <w:color w:val="auto"/>
              </w:rPr>
              <w:t>compensation matters.</w:t>
            </w:r>
          </w:p>
        </w:tc>
        <w:tc>
          <w:tcPr>
            <w:tcW w:w="30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 </w:t>
            </w:r>
          </w:p>
        </w:tc>
        <w:tc>
          <w:tcPr>
            <w:tcW w:w="29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 </w:t>
            </w:r>
          </w:p>
        </w:tc>
      </w:tr>
      <w:tr>
        <w:trPr>
          <w:trHeight w:val="203"/>
        </w:trPr>
        <w:tc>
          <w:tcPr>
            <w:tcW w:w="360" w:type="dxa"/>
            <w:vAlign w:val="bottom"/>
            <w:tcBorders>
              <w:left w:val="single" w:sz="8" w:color="auto"/>
            </w:tcBorders>
          </w:tcPr>
          <w:p>
            <w:pPr>
              <w:ind w:left="180"/>
              <w:spacing w:after="0" w:line="202" w:lineRule="exact"/>
              <w:rPr>
                <w:sz w:val="20"/>
                <w:szCs w:val="20"/>
                <w:color w:val="auto"/>
              </w:rPr>
            </w:pPr>
            <w:r>
              <w:rPr>
                <w:rFonts w:ascii="Arial" w:cs="Arial" w:eastAsia="Arial" w:hAnsi="Arial"/>
                <w:sz w:val="18"/>
                <w:szCs w:val="18"/>
                <w:color w:val="auto"/>
                <w:w w:val="88"/>
              </w:rPr>
              <w:t> </w:t>
            </w:r>
          </w:p>
        </w:tc>
        <w:tc>
          <w:tcPr>
            <w:tcW w:w="300" w:type="dxa"/>
            <w:vAlign w:val="bottom"/>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The Company also received</w:t>
            </w:r>
          </w:p>
        </w:tc>
        <w:tc>
          <w:tcPr>
            <w:tcW w:w="29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We made changes to the</w:t>
            </w:r>
          </w:p>
        </w:tc>
      </w:tr>
      <w:tr>
        <w:trPr>
          <w:trHeight w:val="203"/>
        </w:trPr>
        <w:tc>
          <w:tcPr>
            <w:tcW w:w="3120" w:type="dxa"/>
            <w:vAlign w:val="bottom"/>
            <w:tcBorders>
              <w:left w:val="single" w:sz="8" w:color="auto"/>
              <w:right w:val="single" w:sz="8" w:color="auto"/>
            </w:tcBorders>
            <w:gridSpan w:val="3"/>
          </w:tcPr>
          <w:p>
            <w:pPr>
              <w:ind w:left="180"/>
              <w:spacing w:after="0" w:line="202" w:lineRule="exact"/>
              <w:rPr>
                <w:sz w:val="20"/>
                <w:szCs w:val="20"/>
                <w:color w:val="auto"/>
              </w:rPr>
            </w:pPr>
            <w:r>
              <w:rPr>
                <w:rFonts w:ascii="Arial" w:cs="Arial" w:eastAsia="Arial" w:hAnsi="Arial"/>
                <w:sz w:val="18"/>
                <w:szCs w:val="18"/>
                <w:color w:val="auto"/>
              </w:rPr>
              <w:t>From the Fall 2023 invitations:</w:t>
            </w:r>
          </w:p>
        </w:tc>
        <w:tc>
          <w:tcPr>
            <w:tcW w:w="30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feedback on the Company’s</w:t>
            </w:r>
          </w:p>
        </w:tc>
        <w:tc>
          <w:tcPr>
            <w:tcW w:w="29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compensation plans, including</w:t>
            </w:r>
          </w:p>
        </w:tc>
      </w:tr>
      <w:tr>
        <w:trPr>
          <w:trHeight w:val="203"/>
        </w:trPr>
        <w:tc>
          <w:tcPr>
            <w:tcW w:w="360" w:type="dxa"/>
            <w:vAlign w:val="bottom"/>
            <w:tcBorders>
              <w:left w:val="single" w:sz="8" w:color="auto"/>
            </w:tcBorders>
          </w:tcPr>
          <w:p>
            <w:pPr>
              <w:ind w:left="180"/>
              <w:spacing w:after="0" w:line="202" w:lineRule="exact"/>
              <w:rPr>
                <w:sz w:val="20"/>
                <w:szCs w:val="20"/>
                <w:color w:val="auto"/>
              </w:rPr>
            </w:pPr>
            <w:r>
              <w:rPr>
                <w:rFonts w:ascii="Arial" w:cs="Arial" w:eastAsia="Arial" w:hAnsi="Arial"/>
                <w:sz w:val="18"/>
                <w:szCs w:val="18"/>
                <w:color w:val="auto"/>
                <w:w w:val="88"/>
              </w:rPr>
              <w:t> </w:t>
            </w:r>
          </w:p>
        </w:tc>
        <w:tc>
          <w:tcPr>
            <w:tcW w:w="300" w:type="dxa"/>
            <w:vAlign w:val="bottom"/>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compensation program, which is</w:t>
            </w:r>
          </w:p>
        </w:tc>
        <w:tc>
          <w:tcPr>
            <w:tcW w:w="29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changes in the short- and long-</w:t>
            </w:r>
          </w:p>
        </w:tc>
      </w:tr>
      <w:tr>
        <w:trPr>
          <w:trHeight w:val="203"/>
        </w:trPr>
        <w:tc>
          <w:tcPr>
            <w:tcW w:w="360" w:type="dxa"/>
            <w:vAlign w:val="bottom"/>
            <w:tcBorders>
              <w:left w:val="single" w:sz="8" w:color="auto"/>
            </w:tcBorders>
          </w:tcPr>
          <w:p>
            <w:pPr>
              <w:ind w:left="180"/>
              <w:spacing w:after="0"/>
              <w:rPr>
                <w:sz w:val="20"/>
                <w:szCs w:val="20"/>
                <w:color w:val="auto"/>
              </w:rPr>
            </w:pPr>
            <w:r>
              <w:rPr>
                <w:rFonts w:ascii="Arial" w:cs="Arial" w:eastAsia="Arial" w:hAnsi="Arial"/>
                <w:sz w:val="16"/>
                <w:szCs w:val="16"/>
                <w:color w:val="auto"/>
                <w:w w:val="73"/>
              </w:rPr>
              <w:t>• </w:t>
            </w:r>
          </w:p>
        </w:tc>
        <w:tc>
          <w:tcPr>
            <w:tcW w:w="27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We met with nine stockholders</w:t>
            </w:r>
          </w:p>
        </w:tc>
        <w:tc>
          <w:tcPr>
            <w:tcW w:w="30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discussed more fully in the “Board</w:t>
            </w:r>
          </w:p>
        </w:tc>
        <w:tc>
          <w:tcPr>
            <w:tcW w:w="29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term incentive designs for 2024,</w:t>
            </w:r>
          </w:p>
        </w:tc>
      </w:tr>
      <w:tr>
        <w:trPr>
          <w:trHeight w:val="203"/>
        </w:trPr>
        <w:tc>
          <w:tcPr>
            <w:tcW w:w="360" w:type="dxa"/>
            <w:vAlign w:val="bottom"/>
            <w:tcBorders>
              <w:left w:val="single" w:sz="8" w:color="auto"/>
            </w:tcBorders>
          </w:tcPr>
          <w:p>
            <w:pPr>
              <w:spacing w:after="0"/>
              <w:rPr>
                <w:sz w:val="17"/>
                <w:szCs w:val="17"/>
                <w:color w:val="auto"/>
              </w:rPr>
            </w:pPr>
          </w:p>
        </w:tc>
        <w:tc>
          <w:tcPr>
            <w:tcW w:w="27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representing approximately</w:t>
            </w:r>
          </w:p>
        </w:tc>
        <w:tc>
          <w:tcPr>
            <w:tcW w:w="30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Responsiveness and</w:t>
            </w:r>
          </w:p>
        </w:tc>
        <w:tc>
          <w:tcPr>
            <w:tcW w:w="29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changes to the peer group</w:t>
            </w:r>
          </w:p>
        </w:tc>
      </w:tr>
      <w:tr>
        <w:trPr>
          <w:trHeight w:val="203"/>
        </w:trPr>
        <w:tc>
          <w:tcPr>
            <w:tcW w:w="360" w:type="dxa"/>
            <w:vAlign w:val="bottom"/>
            <w:tcBorders>
              <w:left w:val="single" w:sz="8" w:color="auto"/>
            </w:tcBorders>
          </w:tcPr>
          <w:p>
            <w:pPr>
              <w:spacing w:after="0"/>
              <w:rPr>
                <w:sz w:val="17"/>
                <w:szCs w:val="17"/>
                <w:color w:val="auto"/>
              </w:rPr>
            </w:pPr>
          </w:p>
        </w:tc>
        <w:tc>
          <w:tcPr>
            <w:tcW w:w="27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37% of the outstanding shares</w:t>
            </w:r>
          </w:p>
        </w:tc>
        <w:tc>
          <w:tcPr>
            <w:tcW w:w="30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Compensation Design Changes”</w:t>
            </w:r>
          </w:p>
        </w:tc>
        <w:tc>
          <w:tcPr>
            <w:tcW w:w="29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effective in 2024, and other</w:t>
            </w:r>
          </w:p>
        </w:tc>
      </w:tr>
      <w:tr>
        <w:trPr>
          <w:trHeight w:val="194"/>
        </w:trPr>
        <w:tc>
          <w:tcPr>
            <w:tcW w:w="360" w:type="dxa"/>
            <w:vAlign w:val="bottom"/>
            <w:tcBorders>
              <w:left w:val="single" w:sz="8" w:color="auto"/>
            </w:tcBorders>
          </w:tcPr>
          <w:p>
            <w:pPr>
              <w:spacing w:after="0"/>
              <w:rPr>
                <w:sz w:val="16"/>
                <w:szCs w:val="16"/>
                <w:color w:val="auto"/>
              </w:rPr>
            </w:pPr>
          </w:p>
        </w:tc>
        <w:tc>
          <w:tcPr>
            <w:tcW w:w="276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of the Company.</w:t>
            </w:r>
          </w:p>
        </w:tc>
        <w:tc>
          <w:tcPr>
            <w:tcW w:w="3080" w:type="dxa"/>
            <w:vAlign w:val="bottom"/>
            <w:tcBorders>
              <w:right w:val="single" w:sz="8" w:color="auto"/>
            </w:tcBorders>
            <w:gridSpan w:val="3"/>
          </w:tcPr>
          <w:p>
            <w:pPr>
              <w:ind w:left="80"/>
              <w:spacing w:after="0" w:line="195" w:lineRule="exact"/>
              <w:rPr>
                <w:sz w:val="20"/>
                <w:szCs w:val="20"/>
                <w:color w:val="auto"/>
              </w:rPr>
            </w:pPr>
            <w:r>
              <w:rPr>
                <w:rFonts w:ascii="Arial" w:cs="Arial" w:eastAsia="Arial" w:hAnsi="Arial"/>
                <w:sz w:val="18"/>
                <w:szCs w:val="18"/>
                <w:color w:val="auto"/>
              </w:rPr>
              <w:t xml:space="preserve">section on page </w:t>
            </w:r>
            <w:r>
              <w:rPr>
                <w:rFonts w:ascii="Arial" w:cs="Arial" w:eastAsia="Arial" w:hAnsi="Arial"/>
                <w:sz w:val="18"/>
                <w:szCs w:val="18"/>
                <w:color w:val="0000EE"/>
              </w:rPr>
              <w:t>57</w:t>
            </w:r>
            <w:r>
              <w:rPr>
                <w:rFonts w:ascii="Arial" w:cs="Arial" w:eastAsia="Arial" w:hAnsi="Arial"/>
                <w:sz w:val="18"/>
                <w:szCs w:val="18"/>
                <w:color w:val="auto"/>
              </w:rPr>
              <w:t>.</w:t>
            </w:r>
          </w:p>
        </w:tc>
        <w:tc>
          <w:tcPr>
            <w:tcW w:w="2980" w:type="dxa"/>
            <w:vAlign w:val="bottom"/>
            <w:tcBorders>
              <w:right w:val="single" w:sz="8" w:color="auto"/>
            </w:tcBorders>
            <w:gridSpan w:val="3"/>
          </w:tcPr>
          <w:p>
            <w:pPr>
              <w:ind w:left="80"/>
              <w:spacing w:after="0" w:line="195" w:lineRule="exact"/>
              <w:rPr>
                <w:sz w:val="20"/>
                <w:szCs w:val="20"/>
                <w:color w:val="auto"/>
              </w:rPr>
            </w:pPr>
            <w:r>
              <w:rPr>
                <w:rFonts w:ascii="Arial" w:cs="Arial" w:eastAsia="Arial" w:hAnsi="Arial"/>
                <w:sz w:val="18"/>
                <w:szCs w:val="18"/>
                <w:color w:val="auto"/>
              </w:rPr>
              <w:t>compensation changes are</w:t>
            </w:r>
          </w:p>
        </w:tc>
      </w:tr>
      <w:tr>
        <w:trPr>
          <w:trHeight w:val="191"/>
        </w:trPr>
        <w:tc>
          <w:tcPr>
            <w:tcW w:w="360" w:type="dxa"/>
            <w:vAlign w:val="bottom"/>
            <w:tcBorders>
              <w:left w:val="single" w:sz="8" w:color="auto"/>
            </w:tcBorders>
          </w:tcPr>
          <w:p>
            <w:pPr>
              <w:ind w:left="180"/>
              <w:spacing w:after="0"/>
              <w:rPr>
                <w:sz w:val="20"/>
                <w:szCs w:val="20"/>
                <w:color w:val="auto"/>
              </w:rPr>
            </w:pPr>
            <w:r>
              <w:rPr>
                <w:rFonts w:ascii="Arial" w:cs="Arial" w:eastAsia="Arial" w:hAnsi="Arial"/>
                <w:sz w:val="16"/>
                <w:szCs w:val="16"/>
                <w:color w:val="auto"/>
                <w:w w:val="73"/>
              </w:rPr>
              <w:t>• </w:t>
            </w:r>
          </w:p>
        </w:tc>
        <w:tc>
          <w:tcPr>
            <w:tcW w:w="2760" w:type="dxa"/>
            <w:vAlign w:val="bottom"/>
            <w:tcBorders>
              <w:right w:val="single" w:sz="8" w:color="auto"/>
            </w:tcBorders>
            <w:gridSpan w:val="2"/>
          </w:tcPr>
          <w:p>
            <w:pPr>
              <w:ind w:left="60"/>
              <w:spacing w:after="0" w:line="191" w:lineRule="exact"/>
              <w:rPr>
                <w:sz w:val="20"/>
                <w:szCs w:val="20"/>
                <w:color w:val="auto"/>
              </w:rPr>
            </w:pPr>
            <w:r>
              <w:rPr>
                <w:rFonts w:ascii="Arial" w:cs="Arial" w:eastAsia="Arial" w:hAnsi="Arial"/>
                <w:sz w:val="18"/>
                <w:szCs w:val="18"/>
                <w:color w:val="auto"/>
              </w:rPr>
              <w:t>Independent directors met with</w:t>
            </w:r>
          </w:p>
        </w:tc>
        <w:tc>
          <w:tcPr>
            <w:tcW w:w="140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2980" w:type="dxa"/>
            <w:vAlign w:val="bottom"/>
            <w:tcBorders>
              <w:right w:val="single" w:sz="8" w:color="auto"/>
            </w:tcBorders>
            <w:gridSpan w:val="3"/>
          </w:tcPr>
          <w:p>
            <w:pPr>
              <w:ind w:left="80"/>
              <w:spacing w:after="0" w:line="191" w:lineRule="exact"/>
              <w:rPr>
                <w:sz w:val="20"/>
                <w:szCs w:val="20"/>
                <w:color w:val="auto"/>
              </w:rPr>
            </w:pPr>
            <w:r>
              <w:rPr>
                <w:rFonts w:ascii="Arial" w:cs="Arial" w:eastAsia="Arial" w:hAnsi="Arial"/>
                <w:sz w:val="18"/>
                <w:szCs w:val="18"/>
                <w:color w:val="auto"/>
              </w:rPr>
              <w:t>discussed more fully in the “Board</w:t>
            </w:r>
          </w:p>
        </w:tc>
      </w:tr>
      <w:tr>
        <w:trPr>
          <w:trHeight w:val="203"/>
        </w:trPr>
        <w:tc>
          <w:tcPr>
            <w:tcW w:w="360" w:type="dxa"/>
            <w:vAlign w:val="bottom"/>
            <w:tcBorders>
              <w:left w:val="single" w:sz="8" w:color="auto"/>
            </w:tcBorders>
          </w:tcPr>
          <w:p>
            <w:pPr>
              <w:spacing w:after="0"/>
              <w:rPr>
                <w:sz w:val="17"/>
                <w:szCs w:val="17"/>
                <w:color w:val="auto"/>
              </w:rPr>
            </w:pPr>
          </w:p>
        </w:tc>
        <w:tc>
          <w:tcPr>
            <w:tcW w:w="27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holders of 33% of the</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Responsiveness and</w:t>
            </w:r>
          </w:p>
        </w:tc>
      </w:tr>
      <w:tr>
        <w:trPr>
          <w:trHeight w:val="203"/>
        </w:trPr>
        <w:tc>
          <w:tcPr>
            <w:tcW w:w="360" w:type="dxa"/>
            <w:vAlign w:val="bottom"/>
            <w:tcBorders>
              <w:left w:val="single" w:sz="8" w:color="auto"/>
            </w:tcBorders>
          </w:tcPr>
          <w:p>
            <w:pPr>
              <w:spacing w:after="0"/>
              <w:rPr>
                <w:sz w:val="17"/>
                <w:szCs w:val="17"/>
                <w:color w:val="auto"/>
              </w:rPr>
            </w:pPr>
          </w:p>
        </w:tc>
        <w:tc>
          <w:tcPr>
            <w:tcW w:w="27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outstanding shares of the</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color w:val="auto"/>
              </w:rPr>
              <w:t>Compensation Design Changes”</w:t>
            </w:r>
          </w:p>
        </w:tc>
      </w:tr>
      <w:tr>
        <w:trPr>
          <w:trHeight w:val="194"/>
        </w:trPr>
        <w:tc>
          <w:tcPr>
            <w:tcW w:w="360" w:type="dxa"/>
            <w:vAlign w:val="bottom"/>
            <w:tcBorders>
              <w:left w:val="single" w:sz="8" w:color="auto"/>
            </w:tcBorders>
          </w:tcPr>
          <w:p>
            <w:pPr>
              <w:spacing w:after="0"/>
              <w:rPr>
                <w:sz w:val="16"/>
                <w:szCs w:val="16"/>
                <w:color w:val="auto"/>
              </w:rPr>
            </w:pPr>
          </w:p>
        </w:tc>
        <w:tc>
          <w:tcPr>
            <w:tcW w:w="276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Company.</w:t>
            </w: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2980" w:type="dxa"/>
            <w:vAlign w:val="bottom"/>
            <w:tcBorders>
              <w:right w:val="single" w:sz="8" w:color="auto"/>
            </w:tcBorders>
            <w:gridSpan w:val="3"/>
          </w:tcPr>
          <w:p>
            <w:pPr>
              <w:ind w:left="80"/>
              <w:spacing w:after="0" w:line="195" w:lineRule="exact"/>
              <w:rPr>
                <w:sz w:val="20"/>
                <w:szCs w:val="20"/>
                <w:color w:val="auto"/>
              </w:rPr>
            </w:pPr>
            <w:r>
              <w:rPr>
                <w:rFonts w:ascii="Arial" w:cs="Arial" w:eastAsia="Arial" w:hAnsi="Arial"/>
                <w:sz w:val="18"/>
                <w:szCs w:val="18"/>
                <w:color w:val="auto"/>
              </w:rPr>
              <w:t xml:space="preserve">section on page </w:t>
            </w:r>
            <w:r>
              <w:rPr>
                <w:rFonts w:ascii="Arial" w:cs="Arial" w:eastAsia="Arial" w:hAnsi="Arial"/>
                <w:sz w:val="18"/>
                <w:szCs w:val="18"/>
                <w:color w:val="0000EE"/>
              </w:rPr>
              <w:t>57</w:t>
            </w:r>
            <w:r>
              <w:rPr>
                <w:rFonts w:ascii="Arial" w:cs="Arial" w:eastAsia="Arial" w:hAnsi="Arial"/>
                <w:sz w:val="18"/>
                <w:szCs w:val="18"/>
                <w:color w:val="auto"/>
              </w:rPr>
              <w:t>.</w:t>
            </w:r>
          </w:p>
        </w:tc>
      </w:tr>
      <w:tr>
        <w:trPr>
          <w:trHeight w:val="88"/>
        </w:trPr>
        <w:tc>
          <w:tcPr>
            <w:tcW w:w="360" w:type="dxa"/>
            <w:vAlign w:val="bottom"/>
            <w:tcBorders>
              <w:left w:val="single" w:sz="8" w:color="auto"/>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Communications with the Board of Directors</w:t>
      </w:r>
    </w:p>
    <w:p>
      <w:pPr>
        <w:spacing w:after="0" w:line="175"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 xml:space="preserve">Stockholders and other interested parties may communicate with the Non-Executive Chair of the Board via e-mail at </w:t>
      </w:r>
      <w:r>
        <w:rPr>
          <w:rFonts w:ascii="Arial" w:cs="Arial" w:eastAsia="Arial" w:hAnsi="Arial"/>
          <w:sz w:val="18"/>
          <w:szCs w:val="18"/>
          <w:color w:val="0072AF"/>
        </w:rPr>
        <w:t>boardchairman@pb.com</w:t>
      </w:r>
      <w:r>
        <w:rPr>
          <w:rFonts w:ascii="Arial" w:cs="Arial" w:eastAsia="Arial" w:hAnsi="Arial"/>
          <w:sz w:val="18"/>
          <w:szCs w:val="18"/>
          <w:color w:val="auto"/>
        </w:rPr>
        <w:t xml:space="preserve">, the Audit Committee Chair via e-mail at </w:t>
      </w:r>
      <w:r>
        <w:rPr>
          <w:rFonts w:ascii="Arial" w:cs="Arial" w:eastAsia="Arial" w:hAnsi="Arial"/>
          <w:sz w:val="18"/>
          <w:szCs w:val="18"/>
          <w:color w:val="0072AF"/>
        </w:rPr>
        <w:t>audit.chair@pb.com</w:t>
      </w:r>
      <w:r>
        <w:rPr>
          <w:rFonts w:ascii="Arial" w:cs="Arial" w:eastAsia="Arial" w:hAnsi="Arial"/>
          <w:sz w:val="18"/>
          <w:szCs w:val="18"/>
          <w:color w:val="auto"/>
        </w:rPr>
        <w:t xml:space="preserve"> or they may write to one or more directors, care of the Corporate Secretary, Pitney Bowes Inc., 3001 Summer Street, Stamford, CT 06926-0700.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-288290</wp:posOffset>
            </wp:positionV>
            <wp:extent cx="12528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52855"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-288290</wp:posOffset>
            </wp:positionV>
            <wp:extent cx="10179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17905" cy="8890"/>
                    </a:xfrm>
                    <a:prstGeom prst="rect">
                      <a:avLst/>
                    </a:prstGeom>
                    <a:noFill/>
                  </pic:spPr>
                </pic:pic>
              </a:graphicData>
            </a:graphic>
          </wp:anchor>
        </w:drawing>
      </w:r>
    </w:p>
    <w:p>
      <w:pPr>
        <w:spacing w:after="0" w:line="11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The Board has instructed the Corporate Secretary to assist the Non-Executive Chair, Audit Committee Chair and the Board in reviewing all electronic and written communications, as described above, as follows:</w:t>
      </w:r>
    </w:p>
    <w:p>
      <w:pPr>
        <w:ind w:left="420" w:right="20" w:hanging="210"/>
        <w:spacing w:after="0" w:line="266" w:lineRule="auto"/>
        <w:tabs>
          <w:tab w:leader="none" w:pos="420" w:val="left"/>
        </w:tabs>
        <w:numPr>
          <w:ilvl w:val="0"/>
          <w:numId w:val="10"/>
        </w:numPr>
        <w:rPr>
          <w:rFonts w:ascii="Arial" w:cs="Arial" w:eastAsia="Arial" w:hAnsi="Arial"/>
          <w:sz w:val="18"/>
          <w:szCs w:val="18"/>
          <w:color w:val="0072AF"/>
        </w:rPr>
      </w:pPr>
      <w:r>
        <w:rPr>
          <w:rFonts w:ascii="Arial" w:cs="Arial" w:eastAsia="Arial" w:hAnsi="Arial"/>
          <w:sz w:val="18"/>
          <w:szCs w:val="18"/>
          <w:color w:val="auto"/>
        </w:rPr>
        <w:t>Customer, vendor or employee complaints or concerns are investigated by management and copies are forwarded to the Chair;</w:t>
      </w:r>
    </w:p>
    <w:p>
      <w:pPr>
        <w:jc w:val="both"/>
        <w:ind w:left="420" w:hanging="210"/>
        <w:spacing w:after="0" w:line="247" w:lineRule="auto"/>
        <w:tabs>
          <w:tab w:leader="none" w:pos="420" w:val="left"/>
        </w:tabs>
        <w:numPr>
          <w:ilvl w:val="0"/>
          <w:numId w:val="10"/>
        </w:numPr>
        <w:rPr>
          <w:rFonts w:ascii="Arial" w:cs="Arial" w:eastAsia="Arial" w:hAnsi="Arial"/>
          <w:sz w:val="18"/>
          <w:szCs w:val="18"/>
          <w:color w:val="0072AF"/>
        </w:rPr>
      </w:pPr>
      <w:r>
        <w:rPr>
          <w:rFonts w:ascii="Arial" w:cs="Arial" w:eastAsia="Arial" w:hAnsi="Arial"/>
          <w:sz w:val="18"/>
          <w:szCs w:val="18"/>
          <w:color w:val="auto"/>
        </w:rPr>
        <w:t>If any complaints or similar communications regarding accounting, internal accounting controls or auditing matters are received, they are forwarded by the Corporate Secretary to the General Auditor and to the Audit Committee Chair for review and copies are also forwarded to the Chair. Any such matter will be investigated in accordance with the procedures established by the Audit Committee; and</w:t>
      </w:r>
    </w:p>
    <w:p>
      <w:pPr>
        <w:spacing w:after="0" w:line="11" w:lineRule="exact"/>
        <w:rPr>
          <w:rFonts w:ascii="Arial" w:cs="Arial" w:eastAsia="Arial" w:hAnsi="Arial"/>
          <w:sz w:val="18"/>
          <w:szCs w:val="18"/>
          <w:color w:val="0072AF"/>
        </w:rPr>
      </w:pPr>
    </w:p>
    <w:p>
      <w:pPr>
        <w:jc w:val="both"/>
        <w:ind w:left="420" w:right="20" w:hanging="210"/>
        <w:spacing w:after="0" w:line="253" w:lineRule="auto"/>
        <w:tabs>
          <w:tab w:leader="none" w:pos="420" w:val="left"/>
        </w:tabs>
        <w:numPr>
          <w:ilvl w:val="0"/>
          <w:numId w:val="10"/>
        </w:numPr>
        <w:rPr>
          <w:rFonts w:ascii="Arial" w:cs="Arial" w:eastAsia="Arial" w:hAnsi="Arial"/>
          <w:sz w:val="18"/>
          <w:szCs w:val="18"/>
          <w:color w:val="0072AF"/>
        </w:rPr>
      </w:pPr>
      <w:r>
        <w:rPr>
          <w:rFonts w:ascii="Arial" w:cs="Arial" w:eastAsia="Arial" w:hAnsi="Arial"/>
          <w:sz w:val="18"/>
          <w:szCs w:val="18"/>
          <w:color w:val="auto"/>
        </w:rPr>
        <w:t>Other communications raising matters that require investigation are shared with appropriate members of management to permit the gathering of information relevant to the directors’ review and are also forwarded to the director or directors to whom the communication was addressed.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Except as provided above, the Corporate Secretary forwards appropriate written communications, as applicable to the full Board, or to individual directors. Advertisements, solicitations for periodical or other subscriptions, and other similar communications generally are not forwarded to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153670</wp:posOffset>
            </wp:positionV>
            <wp:extent cx="58293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Environmental, Social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11"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Company has had a long-standing commitment to Environmental, Social and Governance (“ESG”) initiatives. Included within its oversight is the responsibility of delegating to different Board committees’ oversight of different aspects of the overall ESG program. The Board modelled this approach on the Audit Committee’s oversight of enterprise risk to include delegation to different committees’ oversight over specific risks.</w:t>
      </w:r>
    </w:p>
    <w:p>
      <w:pPr>
        <w:spacing w:after="0" w:line="14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full range of the Company’s efforts with respect to ESG are detailed in the Company’s annual Corporate Responsibility Report. The report published in 2023 can be found at </w:t>
      </w:r>
      <w:r>
        <w:rPr>
          <w:rFonts w:ascii="Arial" w:cs="Arial" w:eastAsia="Arial" w:hAnsi="Arial"/>
          <w:sz w:val="18"/>
          <w:szCs w:val="18"/>
          <w:color w:val="4B5A89"/>
        </w:rPr>
        <w:t>www.pitneybowes.com</w:t>
      </w:r>
      <w:r>
        <w:rPr>
          <w:rFonts w:ascii="Arial" w:cs="Arial" w:eastAsia="Arial" w:hAnsi="Arial"/>
          <w:sz w:val="18"/>
          <w:szCs w:val="18"/>
          <w:color w:val="auto"/>
        </w:rPr>
        <w:t xml:space="preserve"> under the caption “Corporate Responsibility.” Below, is a chart summarizing some of the key metrics in these areas, as well as a more detailed discussion of our focus on the Environmental and Social aspects of 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wp:posOffset>
            </wp:positionV>
            <wp:extent cx="5829300" cy="54349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29300" cy="5434965"/>
                    </a:xfrm>
                    <a:prstGeom prst="rect">
                      <a:avLst/>
                    </a:prstGeom>
                    <a:noFill/>
                  </pic:spPr>
                </pic:pic>
              </a:graphicData>
            </a:graphic>
          </wp:anchor>
        </w:drawing>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FFFF"/>
        </w:rPr>
        <w:t>Environmental</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target of carbon neutrality by 2040 in our operations (scope 1 &amp; 2) via</w:t>
      </w:r>
    </w:p>
    <w:p>
      <w:pPr>
        <w:spacing w:after="0" w:line="9" w:lineRule="exact"/>
        <w:rPr>
          <w:sz w:val="20"/>
          <w:szCs w:val="20"/>
          <w:color w:val="auto"/>
        </w:rPr>
      </w:pPr>
    </w:p>
    <w:p>
      <w:pPr>
        <w:ind w:left="520" w:hanging="184"/>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Efficient use of energy in our sites and fleet</w:t>
      </w:r>
    </w:p>
    <w:p>
      <w:pPr>
        <w:ind w:left="520" w:hanging="184"/>
        <w:spacing w:after="0" w:line="234"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Increased use of renewable energy</w:t>
      </w:r>
    </w:p>
    <w:p>
      <w:pPr>
        <w:ind w:left="520" w:hanging="184"/>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Offset of remaining carbon emissions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reduction in the environmental impact of our products via</w:t>
      </w:r>
    </w:p>
    <w:p>
      <w:pPr>
        <w:spacing w:after="0" w:line="9" w:lineRule="exact"/>
        <w:rPr>
          <w:sz w:val="20"/>
          <w:szCs w:val="20"/>
          <w:color w:val="auto"/>
        </w:rPr>
      </w:pPr>
    </w:p>
    <w:p>
      <w:pPr>
        <w:ind w:left="520" w:hanging="184"/>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Sustainable life cycles of our SendTech products</w:t>
      </w:r>
    </w:p>
    <w:p>
      <w:pPr>
        <w:ind w:left="520" w:hanging="184"/>
        <w:spacing w:after="0" w:line="234"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Responsible packaging</w:t>
      </w:r>
    </w:p>
    <w:p>
      <w:pPr>
        <w:ind w:left="520" w:hanging="184"/>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Minimizing impact of waste</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target of carbon neutrality by 2050 in our value chain (scope 3) via</w:t>
      </w:r>
    </w:p>
    <w:p>
      <w:pPr>
        <w:spacing w:after="0" w:line="9"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color w:val="auto"/>
        </w:rPr>
        <w:t>   • </w:t>
      </w:r>
      <w:r>
        <w:rPr>
          <w:sz w:val="20"/>
          <w:szCs w:val="20"/>
          <w:color w:val="auto"/>
        </w:rPr>
        <w:tab/>
      </w:r>
      <w:r>
        <w:rPr>
          <w:rFonts w:ascii="Arial" w:cs="Arial" w:eastAsia="Arial" w:hAnsi="Arial"/>
          <w:sz w:val="17"/>
          <w:szCs w:val="17"/>
          <w:color w:val="auto"/>
        </w:rPr>
        <w:t>Better understanding of the sustainability practices of our suppliers</w:t>
      </w:r>
    </w:p>
    <w:p>
      <w:pPr>
        <w:ind w:left="520" w:hanging="184"/>
        <w:spacing w:after="0" w:line="234"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Increased accuracy of suppliers’ CO2 reporting</w:t>
      </w:r>
    </w:p>
    <w:p>
      <w:pPr>
        <w:ind w:left="520" w:hanging="184"/>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Partner with suppliers engaged in sustainable practice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520" w:type="dxa"/>
            <w:vAlign w:val="bottom"/>
            <w:shd w:val="clear" w:color="auto" w:fill="0072AF"/>
          </w:tcPr>
          <w:p>
            <w:pPr>
              <w:spacing w:after="0"/>
              <w:rPr>
                <w:sz w:val="24"/>
                <w:szCs w:val="24"/>
                <w:color w:val="auto"/>
              </w:rPr>
            </w:pPr>
          </w:p>
        </w:tc>
        <w:tc>
          <w:tcPr>
            <w:tcW w:w="200" w:type="dxa"/>
            <w:vAlign w:val="bottom"/>
            <w:shd w:val="clear" w:color="auto" w:fill="0072AF"/>
          </w:tcPr>
          <w:p>
            <w:pPr>
              <w:spacing w:after="0"/>
              <w:rPr>
                <w:sz w:val="24"/>
                <w:szCs w:val="24"/>
                <w:color w:val="auto"/>
              </w:rPr>
            </w:pPr>
          </w:p>
        </w:tc>
        <w:tc>
          <w:tcPr>
            <w:tcW w:w="8440" w:type="dxa"/>
            <w:vAlign w:val="bottom"/>
            <w:shd w:val="clear" w:color="auto" w:fill="0072AF"/>
          </w:tcPr>
          <w:p>
            <w:pPr>
              <w:ind w:left="3600"/>
              <w:spacing w:after="0"/>
              <w:rPr>
                <w:sz w:val="20"/>
                <w:szCs w:val="20"/>
                <w:color w:val="auto"/>
              </w:rPr>
            </w:pPr>
            <w:r>
              <w:rPr>
                <w:rFonts w:ascii="Arial" w:cs="Arial" w:eastAsia="Arial" w:hAnsi="Arial"/>
                <w:sz w:val="18"/>
                <w:szCs w:val="18"/>
                <w:b w:val="1"/>
                <w:bCs w:val="1"/>
                <w:color w:val="FFFFFF"/>
              </w:rPr>
              <w:t>Social</w:t>
            </w:r>
          </w:p>
        </w:tc>
        <w:tc>
          <w:tcPr>
            <w:tcW w:w="20" w:type="dxa"/>
            <w:vAlign w:val="bottom"/>
          </w:tcPr>
          <w:p>
            <w:pPr>
              <w:spacing w:after="0"/>
              <w:rPr>
                <w:sz w:val="24"/>
                <w:szCs w:val="24"/>
                <w:color w:val="auto"/>
              </w:rPr>
            </w:pPr>
          </w:p>
        </w:tc>
      </w:tr>
      <w:tr>
        <w:trPr>
          <w:trHeight w:val="69"/>
        </w:trPr>
        <w:tc>
          <w:tcPr>
            <w:tcW w:w="520" w:type="dxa"/>
            <w:vAlign w:val="bottom"/>
            <w:tcBorders>
              <w:bottom w:val="single" w:sz="8" w:color="auto"/>
            </w:tcBorders>
            <w:shd w:val="clear" w:color="auto" w:fill="0072AF"/>
          </w:tcPr>
          <w:p>
            <w:pPr>
              <w:spacing w:after="0"/>
              <w:rPr>
                <w:sz w:val="6"/>
                <w:szCs w:val="6"/>
                <w:color w:val="auto"/>
              </w:rPr>
            </w:pPr>
          </w:p>
        </w:tc>
        <w:tc>
          <w:tcPr>
            <w:tcW w:w="8640" w:type="dxa"/>
            <w:vAlign w:val="bottom"/>
            <w:tcBorders>
              <w:bottom w:val="single" w:sz="8" w:color="auto"/>
            </w:tcBorders>
            <w:gridSpan w:val="2"/>
            <w:shd w:val="clear" w:color="auto" w:fill="0072AF"/>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72"/>
        </w:trPr>
        <w:tc>
          <w:tcPr>
            <w:tcW w:w="520" w:type="dxa"/>
            <w:vAlign w:val="bottom"/>
          </w:tcPr>
          <w:p>
            <w:pPr>
              <w:ind w:left="340"/>
              <w:spacing w:after="0"/>
              <w:rPr>
                <w:sz w:val="20"/>
                <w:szCs w:val="20"/>
                <w:color w:val="auto"/>
              </w:rPr>
            </w:pPr>
            <w:r>
              <w:rPr>
                <w:rFonts w:ascii="Arial" w:cs="Arial" w:eastAsia="Arial" w:hAnsi="Arial"/>
                <w:sz w:val="16"/>
                <w:szCs w:val="16"/>
                <w:color w:val="auto"/>
                <w:w w:val="73"/>
              </w:rPr>
              <w:t>• </w:t>
            </w:r>
          </w:p>
        </w:tc>
        <w:tc>
          <w:tcPr>
            <w:tcW w:w="8640" w:type="dxa"/>
            <w:vAlign w:val="bottom"/>
            <w:gridSpan w:val="2"/>
          </w:tcPr>
          <w:p>
            <w:pPr>
              <w:ind w:left="60"/>
              <w:spacing w:after="0"/>
              <w:rPr>
                <w:sz w:val="20"/>
                <w:szCs w:val="20"/>
                <w:color w:val="auto"/>
              </w:rPr>
            </w:pPr>
            <w:r>
              <w:rPr>
                <w:rFonts w:ascii="Arial" w:cs="Arial" w:eastAsia="Arial" w:hAnsi="Arial"/>
                <w:sz w:val="18"/>
                <w:szCs w:val="18"/>
                <w:color w:val="auto"/>
              </w:rPr>
              <w:t>Recognized for our culture and commitment to diversity and inclusion:</w:t>
            </w:r>
          </w:p>
        </w:tc>
        <w:tc>
          <w:tcPr>
            <w:tcW w:w="20" w:type="dxa"/>
            <w:vAlign w:val="bottom"/>
          </w:tcPr>
          <w:p>
            <w:pPr>
              <w:spacing w:after="0"/>
              <w:rPr>
                <w:sz w:val="23"/>
                <w:szCs w:val="23"/>
                <w:color w:val="auto"/>
              </w:rPr>
            </w:pPr>
          </w:p>
        </w:tc>
      </w:tr>
      <w:tr>
        <w:trPr>
          <w:trHeight w:val="203"/>
        </w:trPr>
        <w:tc>
          <w:tcPr>
            <w:tcW w:w="520" w:type="dxa"/>
            <w:vAlign w:val="bottom"/>
          </w:tcPr>
          <w:p>
            <w:pPr>
              <w:ind w:left="340"/>
              <w:spacing w:after="0" w:line="202" w:lineRule="exact"/>
              <w:rPr>
                <w:sz w:val="20"/>
                <w:szCs w:val="20"/>
                <w:color w:val="auto"/>
              </w:rPr>
            </w:pPr>
            <w:r>
              <w:rPr>
                <w:rFonts w:ascii="Arial" w:cs="Arial" w:eastAsia="Arial" w:hAnsi="Arial"/>
                <w:sz w:val="18"/>
                <w:szCs w:val="18"/>
                <w:color w:val="auto"/>
              </w:rPr>
              <w:t xml:space="preserve">   </w:t>
            </w:r>
          </w:p>
        </w:tc>
        <w:tc>
          <w:tcPr>
            <w:tcW w:w="200" w:type="dxa"/>
            <w:vAlign w:val="bottom"/>
          </w:tcPr>
          <w:p>
            <w:pPr>
              <w:ind w:left="80"/>
              <w:spacing w:after="0"/>
              <w:rPr>
                <w:sz w:val="20"/>
                <w:szCs w:val="20"/>
                <w:color w:val="auto"/>
              </w:rPr>
            </w:pPr>
            <w:r>
              <w:rPr>
                <w:rFonts w:ascii="Arial" w:cs="Arial" w:eastAsia="Arial" w:hAnsi="Arial"/>
                <w:sz w:val="13"/>
                <w:szCs w:val="13"/>
                <w:color w:val="auto"/>
                <w:w w:val="76"/>
              </w:rPr>
              <w:t> </w:t>
            </w:r>
          </w:p>
        </w:tc>
        <w:tc>
          <w:tcPr>
            <w:tcW w:w="8440" w:type="dxa"/>
            <w:vAlign w:val="bottom"/>
          </w:tcPr>
          <w:p>
            <w:pPr>
              <w:ind w:left="60"/>
              <w:spacing w:after="0" w:line="202" w:lineRule="exact"/>
              <w:rPr>
                <w:sz w:val="20"/>
                <w:szCs w:val="20"/>
                <w:color w:val="auto"/>
              </w:rPr>
            </w:pPr>
            <w:r>
              <w:rPr>
                <w:rFonts w:ascii="Arial" w:cs="Arial" w:eastAsia="Arial" w:hAnsi="Arial"/>
                <w:sz w:val="5"/>
                <w:szCs w:val="5"/>
                <w:color w:val="auto"/>
                <w:w w:val="99"/>
              </w:rPr>
              <w:t>○</w:t>
            </w:r>
            <w:r>
              <w:rPr>
                <w:rFonts w:ascii="Arial" w:cs="Arial" w:eastAsia="Arial" w:hAnsi="Arial"/>
                <w:sz w:val="17"/>
                <w:szCs w:val="17"/>
                <w:color w:val="auto"/>
                <w:w w:val="99"/>
              </w:rPr>
              <w:t xml:space="preserve"> </w:t>
            </w:r>
            <w:r>
              <w:rPr>
                <w:rFonts w:ascii="Arial" w:cs="Arial" w:eastAsia="Arial" w:hAnsi="Arial"/>
                <w:sz w:val="18"/>
                <w:szCs w:val="18"/>
                <w:color w:val="auto"/>
                <w:w w:val="99"/>
              </w:rPr>
              <w:t>Forbes “America’s Best Employers” (2023, 2022, 2021)</w:t>
            </w:r>
          </w:p>
        </w:tc>
        <w:tc>
          <w:tcPr>
            <w:tcW w:w="20" w:type="dxa"/>
            <w:vAlign w:val="bottom"/>
          </w:tcPr>
          <w:p>
            <w:pPr>
              <w:spacing w:after="0"/>
              <w:rPr>
                <w:sz w:val="17"/>
                <w:szCs w:val="17"/>
                <w:color w:val="auto"/>
              </w:rPr>
            </w:pPr>
          </w:p>
        </w:tc>
      </w:tr>
      <w:tr>
        <w:trPr>
          <w:trHeight w:val="203"/>
        </w:trPr>
        <w:tc>
          <w:tcPr>
            <w:tcW w:w="520" w:type="dxa"/>
            <w:vAlign w:val="bottom"/>
          </w:tcPr>
          <w:p>
            <w:pPr>
              <w:ind w:left="340"/>
              <w:spacing w:after="0" w:line="202" w:lineRule="exact"/>
              <w:rPr>
                <w:sz w:val="20"/>
                <w:szCs w:val="20"/>
                <w:color w:val="auto"/>
              </w:rPr>
            </w:pPr>
            <w:r>
              <w:rPr>
                <w:rFonts w:ascii="Arial" w:cs="Arial" w:eastAsia="Arial" w:hAnsi="Arial"/>
                <w:sz w:val="18"/>
                <w:szCs w:val="18"/>
                <w:color w:val="auto"/>
              </w:rPr>
              <w:t xml:space="preserve">   </w:t>
            </w:r>
          </w:p>
        </w:tc>
        <w:tc>
          <w:tcPr>
            <w:tcW w:w="200" w:type="dxa"/>
            <w:vAlign w:val="bottom"/>
          </w:tcPr>
          <w:p>
            <w:pPr>
              <w:ind w:left="80"/>
              <w:spacing w:after="0"/>
              <w:rPr>
                <w:sz w:val="20"/>
                <w:szCs w:val="20"/>
                <w:color w:val="auto"/>
              </w:rPr>
            </w:pPr>
            <w:r>
              <w:rPr>
                <w:rFonts w:ascii="Arial" w:cs="Arial" w:eastAsia="Arial" w:hAnsi="Arial"/>
                <w:sz w:val="13"/>
                <w:szCs w:val="13"/>
                <w:color w:val="auto"/>
                <w:w w:val="76"/>
              </w:rPr>
              <w:t> </w:t>
            </w:r>
          </w:p>
        </w:tc>
        <w:tc>
          <w:tcPr>
            <w:tcW w:w="8440" w:type="dxa"/>
            <w:vAlign w:val="bottom"/>
          </w:tcPr>
          <w:p>
            <w:pPr>
              <w:ind w:left="60"/>
              <w:spacing w:after="0" w:line="202" w:lineRule="exact"/>
              <w:rPr>
                <w:sz w:val="20"/>
                <w:szCs w:val="20"/>
                <w:color w:val="auto"/>
              </w:rPr>
            </w:pPr>
            <w:r>
              <w:rPr>
                <w:rFonts w:ascii="Arial" w:cs="Arial" w:eastAsia="Arial" w:hAnsi="Arial"/>
                <w:sz w:val="5"/>
                <w:szCs w:val="5"/>
                <w:color w:val="auto"/>
                <w:w w:val="99"/>
              </w:rPr>
              <w:t>○</w:t>
            </w:r>
            <w:r>
              <w:rPr>
                <w:rFonts w:ascii="Arial" w:cs="Arial" w:eastAsia="Arial" w:hAnsi="Arial"/>
                <w:sz w:val="17"/>
                <w:szCs w:val="17"/>
                <w:color w:val="auto"/>
                <w:w w:val="99"/>
              </w:rPr>
              <w:t xml:space="preserve"> </w:t>
            </w:r>
            <w:r>
              <w:rPr>
                <w:rFonts w:ascii="Arial" w:cs="Arial" w:eastAsia="Arial" w:hAnsi="Arial"/>
                <w:sz w:val="18"/>
                <w:szCs w:val="18"/>
                <w:color w:val="auto"/>
                <w:w w:val="99"/>
              </w:rPr>
              <w:t>Forbes “Best Employers for Diversity” (2023, 2022, 2021, 2020)</w:t>
            </w:r>
          </w:p>
        </w:tc>
        <w:tc>
          <w:tcPr>
            <w:tcW w:w="20" w:type="dxa"/>
            <w:vAlign w:val="bottom"/>
          </w:tcPr>
          <w:p>
            <w:pPr>
              <w:spacing w:after="0"/>
              <w:rPr>
                <w:sz w:val="17"/>
                <w:szCs w:val="17"/>
                <w:color w:val="auto"/>
              </w:rPr>
            </w:pPr>
          </w:p>
        </w:tc>
      </w:tr>
      <w:tr>
        <w:trPr>
          <w:trHeight w:val="203"/>
        </w:trPr>
        <w:tc>
          <w:tcPr>
            <w:tcW w:w="520" w:type="dxa"/>
            <w:vAlign w:val="bottom"/>
          </w:tcPr>
          <w:p>
            <w:pPr>
              <w:ind w:left="340"/>
              <w:spacing w:after="0" w:line="202" w:lineRule="exact"/>
              <w:rPr>
                <w:sz w:val="20"/>
                <w:szCs w:val="20"/>
                <w:color w:val="auto"/>
              </w:rPr>
            </w:pPr>
            <w:r>
              <w:rPr>
                <w:rFonts w:ascii="Arial" w:cs="Arial" w:eastAsia="Arial" w:hAnsi="Arial"/>
                <w:sz w:val="18"/>
                <w:szCs w:val="18"/>
                <w:color w:val="auto"/>
              </w:rPr>
              <w:t xml:space="preserve">   </w:t>
            </w:r>
          </w:p>
        </w:tc>
        <w:tc>
          <w:tcPr>
            <w:tcW w:w="200" w:type="dxa"/>
            <w:vAlign w:val="bottom"/>
          </w:tcPr>
          <w:p>
            <w:pPr>
              <w:ind w:left="80"/>
              <w:spacing w:after="0"/>
              <w:rPr>
                <w:sz w:val="20"/>
                <w:szCs w:val="20"/>
                <w:color w:val="auto"/>
              </w:rPr>
            </w:pPr>
            <w:r>
              <w:rPr>
                <w:rFonts w:ascii="Arial" w:cs="Arial" w:eastAsia="Arial" w:hAnsi="Arial"/>
                <w:sz w:val="13"/>
                <w:szCs w:val="13"/>
                <w:color w:val="auto"/>
                <w:w w:val="76"/>
              </w:rPr>
              <w:t> </w:t>
            </w:r>
          </w:p>
        </w:tc>
        <w:tc>
          <w:tcPr>
            <w:tcW w:w="8440" w:type="dxa"/>
            <w:vAlign w:val="bottom"/>
          </w:tcPr>
          <w:p>
            <w:pPr>
              <w:ind w:left="60"/>
              <w:spacing w:after="0" w:line="202" w:lineRule="exact"/>
              <w:rPr>
                <w:sz w:val="20"/>
                <w:szCs w:val="20"/>
                <w:color w:val="auto"/>
              </w:rPr>
            </w:pPr>
            <w:r>
              <w:rPr>
                <w:rFonts w:ascii="Arial" w:cs="Arial" w:eastAsia="Arial" w:hAnsi="Arial"/>
                <w:sz w:val="5"/>
                <w:szCs w:val="5"/>
                <w:color w:val="auto"/>
                <w:w w:val="99"/>
              </w:rPr>
              <w:t>○</w:t>
            </w:r>
            <w:r>
              <w:rPr>
                <w:rFonts w:ascii="Arial" w:cs="Arial" w:eastAsia="Arial" w:hAnsi="Arial"/>
                <w:sz w:val="17"/>
                <w:szCs w:val="17"/>
                <w:color w:val="auto"/>
                <w:w w:val="99"/>
              </w:rPr>
              <w:t xml:space="preserve"> </w:t>
            </w:r>
            <w:r>
              <w:rPr>
                <w:rFonts w:ascii="Arial" w:cs="Arial" w:eastAsia="Arial" w:hAnsi="Arial"/>
                <w:sz w:val="18"/>
                <w:szCs w:val="18"/>
                <w:color w:val="auto"/>
                <w:w w:val="99"/>
              </w:rPr>
              <w:t>Forbes “World’s Top Companies for Women” (2023)</w:t>
            </w:r>
          </w:p>
        </w:tc>
        <w:tc>
          <w:tcPr>
            <w:tcW w:w="20" w:type="dxa"/>
            <w:vAlign w:val="bottom"/>
          </w:tcPr>
          <w:p>
            <w:pPr>
              <w:spacing w:after="0"/>
              <w:rPr>
                <w:sz w:val="17"/>
                <w:szCs w:val="17"/>
                <w:color w:val="auto"/>
              </w:rPr>
            </w:pPr>
          </w:p>
        </w:tc>
      </w:tr>
      <w:tr>
        <w:trPr>
          <w:trHeight w:val="203"/>
        </w:trPr>
        <w:tc>
          <w:tcPr>
            <w:tcW w:w="520" w:type="dxa"/>
            <w:vAlign w:val="bottom"/>
          </w:tcPr>
          <w:p>
            <w:pPr>
              <w:ind w:left="340"/>
              <w:spacing w:after="0" w:line="202" w:lineRule="exact"/>
              <w:rPr>
                <w:sz w:val="20"/>
                <w:szCs w:val="20"/>
                <w:color w:val="auto"/>
              </w:rPr>
            </w:pPr>
            <w:r>
              <w:rPr>
                <w:rFonts w:ascii="Arial" w:cs="Arial" w:eastAsia="Arial" w:hAnsi="Arial"/>
                <w:sz w:val="18"/>
                <w:szCs w:val="18"/>
                <w:color w:val="auto"/>
              </w:rPr>
              <w:t xml:space="preserve">   </w:t>
            </w:r>
          </w:p>
        </w:tc>
        <w:tc>
          <w:tcPr>
            <w:tcW w:w="200" w:type="dxa"/>
            <w:vAlign w:val="bottom"/>
          </w:tcPr>
          <w:p>
            <w:pPr>
              <w:ind w:left="80"/>
              <w:spacing w:after="0"/>
              <w:rPr>
                <w:sz w:val="20"/>
                <w:szCs w:val="20"/>
                <w:color w:val="auto"/>
              </w:rPr>
            </w:pPr>
            <w:r>
              <w:rPr>
                <w:rFonts w:ascii="Arial" w:cs="Arial" w:eastAsia="Arial" w:hAnsi="Arial"/>
                <w:sz w:val="13"/>
                <w:szCs w:val="13"/>
                <w:color w:val="auto"/>
                <w:w w:val="76"/>
              </w:rPr>
              <w:t> </w:t>
            </w:r>
          </w:p>
        </w:tc>
        <w:tc>
          <w:tcPr>
            <w:tcW w:w="8440" w:type="dxa"/>
            <w:vAlign w:val="bottom"/>
          </w:tcPr>
          <w:p>
            <w:pPr>
              <w:ind w:left="60"/>
              <w:spacing w:after="0" w:line="202" w:lineRule="exact"/>
              <w:rPr>
                <w:sz w:val="20"/>
                <w:szCs w:val="20"/>
                <w:color w:val="auto"/>
              </w:rPr>
            </w:pPr>
            <w:r>
              <w:rPr>
                <w:rFonts w:ascii="Arial" w:cs="Arial" w:eastAsia="Arial" w:hAnsi="Arial"/>
                <w:sz w:val="5"/>
                <w:szCs w:val="5"/>
                <w:color w:val="auto"/>
                <w:w w:val="99"/>
              </w:rPr>
              <w:t>○</w:t>
            </w:r>
            <w:r>
              <w:rPr>
                <w:rFonts w:ascii="Arial" w:cs="Arial" w:eastAsia="Arial" w:hAnsi="Arial"/>
                <w:sz w:val="17"/>
                <w:szCs w:val="17"/>
                <w:color w:val="auto"/>
                <w:w w:val="99"/>
              </w:rPr>
              <w:t xml:space="preserve"> </w:t>
            </w:r>
            <w:r>
              <w:rPr>
                <w:rFonts w:ascii="Arial" w:cs="Arial" w:eastAsia="Arial" w:hAnsi="Arial"/>
                <w:sz w:val="18"/>
                <w:szCs w:val="18"/>
                <w:color w:val="auto"/>
                <w:w w:val="99"/>
              </w:rPr>
              <w:t>Forbes “Best Employers for Women” (2022, 2021, 2020, 2019, 2018)</w:t>
            </w:r>
          </w:p>
        </w:tc>
        <w:tc>
          <w:tcPr>
            <w:tcW w:w="20" w:type="dxa"/>
            <w:vAlign w:val="bottom"/>
          </w:tcPr>
          <w:p>
            <w:pPr>
              <w:spacing w:after="0"/>
              <w:rPr>
                <w:sz w:val="17"/>
                <w:szCs w:val="17"/>
                <w:color w:val="auto"/>
              </w:rPr>
            </w:pPr>
          </w:p>
        </w:tc>
      </w:tr>
      <w:tr>
        <w:trPr>
          <w:trHeight w:val="203"/>
        </w:trPr>
        <w:tc>
          <w:tcPr>
            <w:tcW w:w="520" w:type="dxa"/>
            <w:vAlign w:val="bottom"/>
          </w:tcPr>
          <w:p>
            <w:pPr>
              <w:ind w:left="340"/>
              <w:spacing w:after="0" w:line="202" w:lineRule="exact"/>
              <w:rPr>
                <w:sz w:val="20"/>
                <w:szCs w:val="20"/>
                <w:color w:val="auto"/>
              </w:rPr>
            </w:pPr>
            <w:r>
              <w:rPr>
                <w:rFonts w:ascii="Arial" w:cs="Arial" w:eastAsia="Arial" w:hAnsi="Arial"/>
                <w:sz w:val="18"/>
                <w:szCs w:val="18"/>
                <w:color w:val="auto"/>
              </w:rPr>
              <w:t xml:space="preserve">   </w:t>
            </w:r>
          </w:p>
        </w:tc>
        <w:tc>
          <w:tcPr>
            <w:tcW w:w="200" w:type="dxa"/>
            <w:vAlign w:val="bottom"/>
          </w:tcPr>
          <w:p>
            <w:pPr>
              <w:ind w:left="80"/>
              <w:spacing w:after="0"/>
              <w:rPr>
                <w:sz w:val="20"/>
                <w:szCs w:val="20"/>
                <w:color w:val="auto"/>
              </w:rPr>
            </w:pPr>
            <w:r>
              <w:rPr>
                <w:rFonts w:ascii="Arial" w:cs="Arial" w:eastAsia="Arial" w:hAnsi="Arial"/>
                <w:sz w:val="13"/>
                <w:szCs w:val="13"/>
                <w:color w:val="auto"/>
                <w:w w:val="76"/>
              </w:rPr>
              <w:t> </w:t>
            </w:r>
          </w:p>
        </w:tc>
        <w:tc>
          <w:tcPr>
            <w:tcW w:w="8440" w:type="dxa"/>
            <w:vAlign w:val="bottom"/>
          </w:tcPr>
          <w:p>
            <w:pPr>
              <w:ind w:left="60"/>
              <w:spacing w:after="0" w:line="202" w:lineRule="exact"/>
              <w:rPr>
                <w:sz w:val="20"/>
                <w:szCs w:val="20"/>
                <w:color w:val="auto"/>
              </w:rPr>
            </w:pPr>
            <w:r>
              <w:rPr>
                <w:rFonts w:ascii="Arial" w:cs="Arial" w:eastAsia="Arial" w:hAnsi="Arial"/>
                <w:sz w:val="5"/>
                <w:szCs w:val="5"/>
                <w:color w:val="auto"/>
                <w:w w:val="99"/>
              </w:rPr>
              <w:t>○</w:t>
            </w:r>
            <w:r>
              <w:rPr>
                <w:rFonts w:ascii="Arial" w:cs="Arial" w:eastAsia="Arial" w:hAnsi="Arial"/>
                <w:sz w:val="17"/>
                <w:szCs w:val="17"/>
                <w:color w:val="auto"/>
                <w:w w:val="99"/>
              </w:rPr>
              <w:t xml:space="preserve"> </w:t>
            </w:r>
            <w:r>
              <w:rPr>
                <w:rFonts w:ascii="Arial" w:cs="Arial" w:eastAsia="Arial" w:hAnsi="Arial"/>
                <w:sz w:val="18"/>
                <w:szCs w:val="18"/>
                <w:color w:val="auto"/>
                <w:w w:val="99"/>
              </w:rPr>
              <w:t>Bloomberg Gender Equality Index (2022, 2021, 2020)</w:t>
            </w:r>
          </w:p>
        </w:tc>
        <w:tc>
          <w:tcPr>
            <w:tcW w:w="20" w:type="dxa"/>
            <w:vAlign w:val="bottom"/>
          </w:tcPr>
          <w:p>
            <w:pPr>
              <w:spacing w:after="0"/>
              <w:rPr>
                <w:sz w:val="17"/>
                <w:szCs w:val="17"/>
                <w:color w:val="auto"/>
              </w:rPr>
            </w:pPr>
          </w:p>
        </w:tc>
      </w:tr>
      <w:tr>
        <w:trPr>
          <w:trHeight w:val="203"/>
        </w:trPr>
        <w:tc>
          <w:tcPr>
            <w:tcW w:w="520" w:type="dxa"/>
            <w:vAlign w:val="bottom"/>
          </w:tcPr>
          <w:p>
            <w:pPr>
              <w:ind w:left="340"/>
              <w:spacing w:after="0" w:line="202" w:lineRule="exact"/>
              <w:rPr>
                <w:sz w:val="20"/>
                <w:szCs w:val="20"/>
                <w:color w:val="auto"/>
              </w:rPr>
            </w:pPr>
            <w:r>
              <w:rPr>
                <w:rFonts w:ascii="Arial" w:cs="Arial" w:eastAsia="Arial" w:hAnsi="Arial"/>
                <w:sz w:val="18"/>
                <w:szCs w:val="18"/>
                <w:color w:val="auto"/>
              </w:rPr>
              <w:t xml:space="preserve">   </w:t>
            </w:r>
          </w:p>
        </w:tc>
        <w:tc>
          <w:tcPr>
            <w:tcW w:w="200" w:type="dxa"/>
            <w:vAlign w:val="bottom"/>
          </w:tcPr>
          <w:p>
            <w:pPr>
              <w:ind w:left="80"/>
              <w:spacing w:after="0"/>
              <w:rPr>
                <w:sz w:val="20"/>
                <w:szCs w:val="20"/>
                <w:color w:val="auto"/>
              </w:rPr>
            </w:pPr>
            <w:r>
              <w:rPr>
                <w:rFonts w:ascii="Arial" w:cs="Arial" w:eastAsia="Arial" w:hAnsi="Arial"/>
                <w:sz w:val="13"/>
                <w:szCs w:val="13"/>
                <w:color w:val="auto"/>
                <w:w w:val="76"/>
              </w:rPr>
              <w:t> </w:t>
            </w:r>
          </w:p>
        </w:tc>
        <w:tc>
          <w:tcPr>
            <w:tcW w:w="8440" w:type="dxa"/>
            <w:vAlign w:val="bottom"/>
          </w:tcPr>
          <w:p>
            <w:pPr>
              <w:ind w:left="60"/>
              <w:spacing w:after="0" w:line="202" w:lineRule="exact"/>
              <w:rPr>
                <w:sz w:val="20"/>
                <w:szCs w:val="20"/>
                <w:color w:val="auto"/>
              </w:rPr>
            </w:pPr>
            <w:r>
              <w:rPr>
                <w:rFonts w:ascii="Arial" w:cs="Arial" w:eastAsia="Arial" w:hAnsi="Arial"/>
                <w:sz w:val="5"/>
                <w:szCs w:val="5"/>
                <w:color w:val="auto"/>
                <w:w w:val="99"/>
              </w:rPr>
              <w:t>○</w:t>
            </w:r>
            <w:r>
              <w:rPr>
                <w:rFonts w:ascii="Arial" w:cs="Arial" w:eastAsia="Arial" w:hAnsi="Arial"/>
                <w:sz w:val="17"/>
                <w:szCs w:val="17"/>
                <w:color w:val="auto"/>
                <w:w w:val="99"/>
              </w:rPr>
              <w:t xml:space="preserve"> </w:t>
            </w:r>
            <w:r>
              <w:rPr>
                <w:rFonts w:ascii="Arial" w:cs="Arial" w:eastAsia="Arial" w:hAnsi="Arial"/>
                <w:sz w:val="18"/>
                <w:szCs w:val="18"/>
                <w:color w:val="auto"/>
                <w:w w:val="99"/>
              </w:rPr>
              <w:t>DiversityMBA 50 Out Front: Best Places to Work for Women and Diverse Managers (2023)</w:t>
            </w:r>
          </w:p>
        </w:tc>
        <w:tc>
          <w:tcPr>
            <w:tcW w:w="20" w:type="dxa"/>
            <w:vAlign w:val="bottom"/>
          </w:tcPr>
          <w:p>
            <w:pPr>
              <w:spacing w:after="0"/>
              <w:rPr>
                <w:sz w:val="17"/>
                <w:szCs w:val="17"/>
                <w:color w:val="auto"/>
              </w:rPr>
            </w:pPr>
          </w:p>
        </w:tc>
      </w:tr>
      <w:tr>
        <w:trPr>
          <w:trHeight w:val="220"/>
        </w:trPr>
        <w:tc>
          <w:tcPr>
            <w:tcW w:w="520" w:type="dxa"/>
            <w:vAlign w:val="bottom"/>
          </w:tcPr>
          <w:p>
            <w:pPr>
              <w:ind w:left="340"/>
              <w:spacing w:after="0"/>
              <w:rPr>
                <w:sz w:val="20"/>
                <w:szCs w:val="20"/>
                <w:color w:val="auto"/>
              </w:rPr>
            </w:pPr>
            <w:r>
              <w:rPr>
                <w:rFonts w:ascii="Arial" w:cs="Arial" w:eastAsia="Arial" w:hAnsi="Arial"/>
                <w:sz w:val="18"/>
                <w:szCs w:val="18"/>
                <w:color w:val="auto"/>
              </w:rPr>
              <w:t xml:space="preserve">   </w:t>
            </w:r>
          </w:p>
        </w:tc>
        <w:tc>
          <w:tcPr>
            <w:tcW w:w="200" w:type="dxa"/>
            <w:vAlign w:val="bottom"/>
          </w:tcPr>
          <w:p>
            <w:pPr>
              <w:ind w:left="80"/>
              <w:spacing w:after="0"/>
              <w:rPr>
                <w:sz w:val="20"/>
                <w:szCs w:val="20"/>
                <w:color w:val="auto"/>
              </w:rPr>
            </w:pPr>
            <w:r>
              <w:rPr>
                <w:rFonts w:ascii="Arial" w:cs="Arial" w:eastAsia="Arial" w:hAnsi="Arial"/>
                <w:sz w:val="13"/>
                <w:szCs w:val="13"/>
                <w:color w:val="auto"/>
                <w:w w:val="76"/>
              </w:rPr>
              <w:t> </w:t>
            </w:r>
          </w:p>
        </w:tc>
        <w:tc>
          <w:tcPr>
            <w:tcW w:w="8440" w:type="dxa"/>
            <w:vAlign w:val="bottom"/>
          </w:tcPr>
          <w:p>
            <w:pPr>
              <w:ind w:left="60"/>
              <w:spacing w:after="0"/>
              <w:rPr>
                <w:sz w:val="20"/>
                <w:szCs w:val="20"/>
                <w:color w:val="auto"/>
              </w:rPr>
            </w:pPr>
            <w:r>
              <w:rPr>
                <w:rFonts w:ascii="Arial" w:cs="Arial" w:eastAsia="Arial" w:hAnsi="Arial"/>
                <w:sz w:val="5"/>
                <w:szCs w:val="5"/>
                <w:color w:val="auto"/>
                <w:w w:val="99"/>
              </w:rPr>
              <w:t>○</w:t>
            </w:r>
            <w:r>
              <w:rPr>
                <w:rFonts w:ascii="Arial" w:cs="Arial" w:eastAsia="Arial" w:hAnsi="Arial"/>
                <w:sz w:val="17"/>
                <w:szCs w:val="17"/>
                <w:color w:val="auto"/>
                <w:w w:val="99"/>
              </w:rPr>
              <w:t xml:space="preserve"> </w:t>
            </w:r>
            <w:r>
              <w:rPr>
                <w:rFonts w:ascii="Arial" w:cs="Arial" w:eastAsia="Arial" w:hAnsi="Arial"/>
                <w:sz w:val="18"/>
                <w:szCs w:val="18"/>
                <w:color w:val="auto"/>
                <w:w w:val="99"/>
              </w:rPr>
              <w:t>LATINO Equity 100 (2023, 2022)</w:t>
            </w:r>
          </w:p>
        </w:tc>
        <w:tc>
          <w:tcPr>
            <w:tcW w:w="20" w:type="dxa"/>
            <w:vAlign w:val="bottom"/>
          </w:tcPr>
          <w:p>
            <w:pPr>
              <w:spacing w:after="0"/>
              <w:rPr>
                <w:sz w:val="19"/>
                <w:szCs w:val="19"/>
                <w:color w:val="auto"/>
              </w:rPr>
            </w:pPr>
          </w:p>
        </w:tc>
      </w:tr>
    </w:tbl>
    <w:p>
      <w:pPr>
        <w:ind w:left="1000" w:right="820" w:hanging="664"/>
        <w:spacing w:after="0" w:line="248" w:lineRule="auto"/>
        <w:tabs>
          <w:tab w:leader="none" w:pos="425"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5"/>
          <w:szCs w:val="5"/>
          <w:color w:val="auto"/>
        </w:rPr>
        <w:t>○</w:t>
      </w:r>
      <w:r>
        <w:rPr>
          <w:rFonts w:ascii="Arial" w:cs="Arial" w:eastAsia="Arial" w:hAnsi="Arial"/>
          <w:sz w:val="17"/>
          <w:szCs w:val="17"/>
          <w:color w:val="auto"/>
        </w:rPr>
        <w:t xml:space="preserve">  Human Rights Campaign “Equality 100”. Scoring 100% on the Corporate Equality Index as a Leader in LGBTQ+ Workplace Inclusion (2024-2023, 2022, 2021)</w:t>
      </w:r>
    </w:p>
    <w:p>
      <w:pPr>
        <w:spacing w:after="0" w:line="1" w:lineRule="exact"/>
        <w:rPr>
          <w:rFonts w:ascii="Arial" w:cs="Arial" w:eastAsia="Arial" w:hAnsi="Arial"/>
          <w:sz w:val="17"/>
          <w:szCs w:val="17"/>
          <w:color w:val="auto"/>
        </w:rPr>
      </w:pPr>
    </w:p>
    <w:p>
      <w:pPr>
        <w:ind w:left="1000" w:right="380" w:hanging="664"/>
        <w:spacing w:after="0" w:line="248" w:lineRule="auto"/>
        <w:tabs>
          <w:tab w:leader="none" w:pos="425"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5"/>
          <w:szCs w:val="5"/>
          <w:color w:val="auto"/>
        </w:rPr>
        <w:t>○</w:t>
      </w:r>
      <w:r>
        <w:rPr>
          <w:rFonts w:ascii="Arial" w:cs="Arial" w:eastAsia="Arial" w:hAnsi="Arial"/>
          <w:sz w:val="17"/>
          <w:szCs w:val="17"/>
          <w:color w:val="auto"/>
        </w:rPr>
        <w:t xml:space="preserve">  Great Places to Work Institute: Brazil Great Place to Work (2023-2022); Asia Best Large Workplaces (2022, 2021); India 2023 marks 10th time Best Places to work; India Best Workplaces for Millennials (2023); India 2023 Great Mid-size Workplaces (2023); India Best Workplaces for Women (2023, 2022, 2021)</w:t>
      </w:r>
    </w:p>
    <w:p>
      <w:pPr>
        <w:ind w:left="340"/>
        <w:spacing w:after="0" w:line="237" w:lineRule="auto"/>
        <w:rPr>
          <w:sz w:val="20"/>
          <w:szCs w:val="20"/>
          <w:color w:val="auto"/>
        </w:rPr>
      </w:pPr>
      <w:r>
        <w:rPr>
          <w:rFonts w:ascii="Arial" w:cs="Arial" w:eastAsia="Arial" w:hAnsi="Arial"/>
          <w:sz w:val="18"/>
          <w:szCs w:val="18"/>
          <w:color w:val="auto"/>
        </w:rPr>
        <w:t xml:space="preserve">        </w:t>
      </w:r>
      <w:r>
        <w:rPr>
          <w:rFonts w:ascii="Arial" w:cs="Arial" w:eastAsia="Arial" w:hAnsi="Arial"/>
          <w:sz w:val="5"/>
          <w:szCs w:val="5"/>
          <w:color w:val="auto"/>
        </w:rPr>
        <w:t>○</w:t>
      </w:r>
      <w:r>
        <w:rPr>
          <w:rFonts w:ascii="Arial" w:cs="Arial" w:eastAsia="Arial" w:hAnsi="Arial"/>
          <w:sz w:val="18"/>
          <w:szCs w:val="18"/>
          <w:color w:val="auto"/>
        </w:rPr>
        <w:t xml:space="preserve">   WBENC America’s top Corporations for Women’s Business Enterprises (2023)</w:t>
      </w:r>
    </w:p>
    <w:p>
      <w:pPr>
        <w:ind w:left="420" w:hanging="84"/>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5"/>
          <w:szCs w:val="5"/>
          <w:color w:val="auto"/>
        </w:rPr>
        <w:t>○</w:t>
      </w:r>
      <w:r>
        <w:rPr>
          <w:rFonts w:ascii="Arial" w:cs="Arial" w:eastAsia="Arial" w:hAnsi="Arial"/>
          <w:sz w:val="16"/>
          <w:szCs w:val="16"/>
          <w:color w:val="auto"/>
        </w:rPr>
        <w:t xml:space="preserve">   MBN USA Best of the Decade 100 (2023)</w:t>
      </w:r>
    </w:p>
    <w:p>
      <w:pPr>
        <w:spacing w:after="0" w:line="203" w:lineRule="exact"/>
        <w:rPr>
          <w:rFonts w:ascii="Arial" w:cs="Arial" w:eastAsia="Arial" w:hAnsi="Arial"/>
          <w:sz w:val="16"/>
          <w:szCs w:val="16"/>
          <w:color w:val="auto"/>
        </w:rPr>
      </w:pPr>
    </w:p>
    <w:p>
      <w:pPr>
        <w:ind w:left="4060"/>
        <w:spacing w:after="0"/>
        <w:rPr>
          <w:rFonts w:ascii="Arial" w:cs="Arial" w:eastAsia="Arial" w:hAnsi="Arial"/>
          <w:sz w:val="16"/>
          <w:szCs w:val="16"/>
          <w:color w:val="auto"/>
        </w:rPr>
      </w:pPr>
      <w:r>
        <w:rPr>
          <w:rFonts w:ascii="Arial" w:cs="Arial" w:eastAsia="Arial" w:hAnsi="Arial"/>
          <w:sz w:val="18"/>
          <w:szCs w:val="18"/>
          <w:b w:val="1"/>
          <w:bCs w:val="1"/>
          <w:color w:val="FFFFFF"/>
        </w:rPr>
        <w:t>Governance</w:t>
      </w:r>
    </w:p>
    <w:p>
      <w:pPr>
        <w:spacing w:after="0" w:line="198" w:lineRule="exact"/>
        <w:rPr>
          <w:sz w:val="20"/>
          <w:szCs w:val="20"/>
          <w:color w:val="auto"/>
        </w:rPr>
      </w:pPr>
    </w:p>
    <w:p>
      <w:pPr>
        <w:ind w:left="340"/>
        <w:spacing w:after="0"/>
        <w:tabs>
          <w:tab w:leader="none" w:pos="6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 xml:space="preserve">Key corporate governance practices are highlighted on page </w:t>
      </w:r>
      <w:r>
        <w:rPr>
          <w:rFonts w:ascii="Arial" w:cs="Arial" w:eastAsia="Arial" w:hAnsi="Arial"/>
          <w:sz w:val="17"/>
          <w:szCs w:val="17"/>
          <w:u w:val="single" w:color="auto"/>
          <w:color w:val="0000EE"/>
        </w:rPr>
        <w:t>11</w:t>
      </w:r>
      <w:r>
        <w:rPr>
          <w:rFonts w:ascii="Arial" w:cs="Arial" w:eastAsia="Arial" w:hAnsi="Arial"/>
          <w:sz w:val="17"/>
          <w:szCs w:val="17"/>
          <w:color w:val="auto"/>
        </w:rPr>
        <w:t xml:space="preserve"> of this Proxy Statement.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Environment</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role as a responsible corporate citizen means we must go above and beyond to protect and preserve the natural systems upon which all life on this planet depends. To do this, we consider the actual and potential impacts of our operations on the environment, with particular focus on climate-related risks and sustainability. We are mindful of these factors in how we develop, modify, and deliver our products and services, and we share information and ideas and review Company strategy, products, and operations through the lens of environmental sustainability. We focus particular attention on those issues where we have an impact, those that might represent risks to our business and stakeholders, and those where we can make discernible progress over the short-medium- and long-terms. These include:</w:t>
      </w:r>
    </w:p>
    <w:p>
      <w:pPr>
        <w:spacing w:after="0" w:line="18" w:lineRule="exact"/>
        <w:rPr>
          <w:sz w:val="20"/>
          <w:szCs w:val="20"/>
          <w:color w:val="auto"/>
        </w:rPr>
      </w:pPr>
    </w:p>
    <w:p>
      <w:pPr>
        <w:jc w:val="both"/>
        <w:ind w:left="420" w:hanging="210"/>
        <w:spacing w:after="0" w:line="253" w:lineRule="auto"/>
        <w:tabs>
          <w:tab w:leader="none" w:pos="420" w:val="left"/>
        </w:tabs>
        <w:numPr>
          <w:ilvl w:val="0"/>
          <w:numId w:val="16"/>
        </w:numPr>
        <w:rPr>
          <w:rFonts w:ascii="Arial" w:cs="Arial" w:eastAsia="Arial" w:hAnsi="Arial"/>
          <w:sz w:val="18"/>
          <w:szCs w:val="18"/>
          <w:color w:val="0072AF"/>
        </w:rPr>
      </w:pPr>
      <w:r>
        <w:rPr>
          <w:rFonts w:ascii="Arial" w:cs="Arial" w:eastAsia="Arial" w:hAnsi="Arial"/>
          <w:sz w:val="18"/>
          <w:szCs w:val="18"/>
          <w:color w:val="auto"/>
        </w:rPr>
        <w:t>The impact of carbon emissions due to the use of energy in our operations—mainly at our operating sites where we sort mail and packages and in our transportation fleet—as well as throughout our value chain, suppliers and clients.</w:t>
      </w:r>
    </w:p>
    <w:p>
      <w:pPr>
        <w:spacing w:after="0" w:line="6" w:lineRule="exact"/>
        <w:rPr>
          <w:rFonts w:ascii="Arial" w:cs="Arial" w:eastAsia="Arial" w:hAnsi="Arial"/>
          <w:sz w:val="18"/>
          <w:szCs w:val="18"/>
          <w:color w:val="0072AF"/>
        </w:rPr>
      </w:pPr>
    </w:p>
    <w:p>
      <w:pPr>
        <w:ind w:left="420" w:right="20" w:hanging="210"/>
        <w:spacing w:after="0" w:line="271" w:lineRule="auto"/>
        <w:tabs>
          <w:tab w:leader="none" w:pos="420" w:val="left"/>
        </w:tabs>
        <w:numPr>
          <w:ilvl w:val="0"/>
          <w:numId w:val="16"/>
        </w:numPr>
        <w:rPr>
          <w:rFonts w:ascii="Arial" w:cs="Arial" w:eastAsia="Arial" w:hAnsi="Arial"/>
          <w:sz w:val="18"/>
          <w:szCs w:val="18"/>
          <w:color w:val="0072AF"/>
        </w:rPr>
      </w:pPr>
      <w:r>
        <w:rPr>
          <w:rFonts w:ascii="Arial" w:cs="Arial" w:eastAsia="Arial" w:hAnsi="Arial"/>
          <w:sz w:val="18"/>
          <w:szCs w:val="18"/>
          <w:color w:val="auto"/>
        </w:rPr>
        <w:t>The impact of the physical goods produced or used in our operations—mainly our SendTech products and the packaging we use as part of our operations.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believe our business model, objectives and strategy are also compatible with a long-term vision of a net-zero greenhouse gas emission based economy. To strive to meet these objectives and aim for growth and environmental sustainability, we are committed to making our operations and supply chain more efficient, and to the use of green technologies, both existing and yet to be developed. Our approach combines early adoption of green technologies that fit our business with flexibility to capitalize on changes as the technologies continue to evolve.</w:t>
      </w:r>
    </w:p>
    <w:p>
      <w:pPr>
        <w:spacing w:after="0" w:line="12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Company has a long history of innovation that has repeatedly enabled it to adapt its business to new circumstances. Innovation in the service of sustainability is an example of this approach. Today, we embrace the challenge of net-zero in this same spirit. In addition, we align our external disclosures with frameworks such as the Task Force on Climate-Related Financial Disclosures (TCFD), GRI (Global Reporting Initiative), and emerging efforts to consolidate reporting standards under the International Sustainability Standards Board (ISSB).</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Social</w:t>
      </w:r>
    </w:p>
    <w:p>
      <w:pPr>
        <w:spacing w:after="0" w:line="17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have approximately 10,500 employees, of which 81% are located in the United States. We also rely on a contingent hourly workforce to supplement our full-time workforce to meet fluctuating demand.</w:t>
      </w:r>
    </w:p>
    <w:p>
      <w:pPr>
        <w:spacing w:after="0" w:line="11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seek to create a high-performance culture that will drive and sustain enhanced stakeholder value. To attract, retain and engage the talent needed, we provide competitive compensation and strive to maintain a diverse, inclusive and safe workplace, with equitable opportunities for growth and development. Our compensation programs are designed to reward performance and contribution. We regularly assess the business environments and labor markets in the areas where we operate to confirm our compensation programs reflect best practices and are market competitive. Depending on position and level, elements of our compensation packages include base salary, variable compensation based on individual and Company objectives and equity. We provide a competitive benefits package fostered on work/life balance, including medical, dental, life and disability insurance, and benefits that provide additional support for our employees’ mental, physical, financial and social well-being.</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4B5A89"/>
        </w:rPr>
        <w:t>Diversity and Inclusion</w:t>
      </w:r>
      <w:r>
        <w:rPr>
          <w:rFonts w:ascii="Arial" w:cs="Arial" w:eastAsia="Arial" w:hAnsi="Arial"/>
          <w:sz w:val="18"/>
          <w:szCs w:val="18"/>
          <w:color w:val="000000"/>
        </w:rPr>
        <w:t>. Maintaining a diverse workforce and an inclusive environment is critical to our success</w:t>
      </w:r>
      <w:r>
        <w:rPr>
          <w:rFonts w:ascii="Arial" w:cs="Arial" w:eastAsia="Arial" w:hAnsi="Arial"/>
          <w:sz w:val="18"/>
          <w:szCs w:val="18"/>
          <w:b w:val="1"/>
          <w:bCs w:val="1"/>
          <w:i w:val="1"/>
          <w:iCs w:val="1"/>
          <w:color w:val="4B5A89"/>
        </w:rPr>
        <w:t xml:space="preserve"> </w:t>
      </w:r>
      <w:r>
        <w:rPr>
          <w:rFonts w:ascii="Arial" w:cs="Arial" w:eastAsia="Arial" w:hAnsi="Arial"/>
          <w:sz w:val="18"/>
          <w:szCs w:val="18"/>
          <w:color w:val="000000"/>
        </w:rPr>
        <w:t>and we view diversity and inclusion as a competitive differentiator that helps us attract, grow, engage and retain the best talent. We celebrate a rich mix of countries, cultures, ages, races, ethnicities, gender identities, sexual orientation, abilities, and perspectives that showcase our humanity, differentiate us as individuals and enhance our businesses. Our global workforce is comprised of over 43% women and 35% of our global managers are women. Our U.S. population is nearly 50% people of color and 36% of our U.S. managers are people of color.</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continue to increase diversity and inclusion awareness throughout our Company through enhancements and improvements to our talent acquisition processes, cultural awareness training and the creation of allies and mentors to help advance diversity and inclusion in our workforce.</w:t>
      </w:r>
    </w:p>
    <w:p>
      <w:pPr>
        <w:spacing w:after="0" w:line="12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4B5A89"/>
        </w:rPr>
        <w:t>Employee Engagement and Development</w:t>
      </w:r>
      <w:r>
        <w:rPr>
          <w:rFonts w:ascii="Arial" w:cs="Arial" w:eastAsia="Arial" w:hAnsi="Arial"/>
          <w:sz w:val="18"/>
          <w:szCs w:val="18"/>
          <w:color w:val="000000"/>
        </w:rPr>
        <w:t>. We are committed to creating a culture where our employees feel</w:t>
      </w:r>
      <w:r>
        <w:rPr>
          <w:rFonts w:ascii="Arial" w:cs="Arial" w:eastAsia="Arial" w:hAnsi="Arial"/>
          <w:sz w:val="18"/>
          <w:szCs w:val="18"/>
          <w:b w:val="1"/>
          <w:bCs w:val="1"/>
          <w:i w:val="1"/>
          <w:iCs w:val="1"/>
          <w:color w:val="4B5A89"/>
        </w:rPr>
        <w:t xml:space="preserve"> </w:t>
      </w:r>
      <w:r>
        <w:rPr>
          <w:rFonts w:ascii="Arial" w:cs="Arial" w:eastAsia="Arial" w:hAnsi="Arial"/>
          <w:sz w:val="18"/>
          <w:szCs w:val="18"/>
          <w:color w:val="000000"/>
        </w:rPr>
        <w:t>supported and valued. We offer our employees many opportunities to advance their skills, learn new skills and achieve career goals through virtual and in-person development and training programs, professional development initiatives, experiential learning, mentoring and coaching programs and inclusion networks.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Through multiple platforms, we offer employees and candidates varied opportunities to find development opportunities and stay informed about key changes to our business. We conduct an independent annual employee engagement survey with demonstrated high levels of employee participation. We benchmark our results against our previous year’s performance, as well as against other high-performing organizations. We consider the feedback from employees and implement changes where possible and financially prudent.</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4B5A89"/>
        </w:rPr>
        <w:t>Health and Wellness</w:t>
      </w:r>
      <w:r>
        <w:rPr>
          <w:rFonts w:ascii="Arial" w:cs="Arial" w:eastAsia="Arial" w:hAnsi="Arial"/>
          <w:sz w:val="18"/>
          <w:szCs w:val="18"/>
          <w:color w:val="000000"/>
        </w:rPr>
        <w:t>. We are committed to providing a safe workplace that protects against and limits personal</w:t>
      </w:r>
      <w:r>
        <w:rPr>
          <w:rFonts w:ascii="Arial" w:cs="Arial" w:eastAsia="Arial" w:hAnsi="Arial"/>
          <w:sz w:val="18"/>
          <w:szCs w:val="18"/>
          <w:b w:val="1"/>
          <w:bCs w:val="1"/>
          <w:i w:val="1"/>
          <w:iCs w:val="1"/>
          <w:color w:val="4B5A89"/>
        </w:rPr>
        <w:t xml:space="preserve"> </w:t>
      </w:r>
      <w:r>
        <w:rPr>
          <w:rFonts w:ascii="Arial" w:cs="Arial" w:eastAsia="Arial" w:hAnsi="Arial"/>
          <w:sz w:val="18"/>
          <w:szCs w:val="18"/>
          <w:color w:val="000000"/>
        </w:rPr>
        <w:t>injury and environmental harm. Through regular evaluations of site safety performance, sharing of successes, and creating projects to engage employees in safety improvements, we identify risks, provide guidance and training, review and learn from accidents, and reduce injuries. We also report monthly to both local site management and senior leadership on safety metrics, trends, risks and regulatory activity. Through these efforts and employee engagement, we have experienced significant improvements in our total recordable cases and total recordable incident rates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58293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Board Committees and 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58293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2023, each director attended at least 75% of the total number of Board meetings and meetings held by the Board committees on which he or she served. The Board has historically held 6 regularly scheduled meetings each year. In 2023, the Board held a number of additional meetings, as follows: 3 additional meetings prior to the May 2023 annual meeting to discuss the proxy contest and elect new Board members, 7 additional meetings in September 2023 relating to the decision to replace the CEO, and 8 additional meetings since the May 2023 annual meeting to organize the newly constituted Board, align on priorities, and drive change. The usual committee meeting cadence includes: 5 Audit Committee meetings, 6 Finance Committee meetings, 5 Governance Committee meetings, and 6 Executive Compensation Committee meetings.</w:t>
      </w:r>
    </w:p>
    <w:p>
      <w:pPr>
        <w:spacing w:after="0" w:line="14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independent directors regularly met in executive session at the conclusion of the Board meetings as well as during the special meetings to review the topics discussed during the meeting. Since the May 2023 annual meeting, the Board has decided to meet for regularly scheduled meetings on a monthly basis to onboard the directors and focus on significant strategic transformation. In addition, the Board held numerous additional meetings as it considered CEO succession and other matters relating to Company strategy. The directors also participated in additional ad hoc discussions on a variety of matters throughout the year. Each member of the Board serves on one or more of the five standing committees described below. As the need arises, the Board may establish ad hoc committees of the Board to consider specific issues.</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It is the longstanding practice and the policy of the Board that the directors attend the annual meeting of stockholders. All of our then-serving directors attended the May 2023 annual meeting.</w:t>
      </w:r>
    </w:p>
    <w:p>
      <w:pPr>
        <w:spacing w:after="0" w:line="12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members of all Board committees are independent directors pursuant to New York Stock Exchange independence standards. Each committee of the Board operates in accordance with a charter. The current members of each of the Board committees are set forth in the chart below.</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tcPr>
          <w:p>
            <w:pPr>
              <w:jc w:val="center"/>
              <w:ind w:left="203"/>
              <w:spacing w:after="0"/>
              <w:rPr>
                <w:sz w:val="20"/>
                <w:szCs w:val="20"/>
                <w:color w:val="auto"/>
              </w:rPr>
            </w:pPr>
            <w:r>
              <w:rPr>
                <w:rFonts w:ascii="Arial" w:cs="Arial" w:eastAsia="Arial" w:hAnsi="Arial"/>
                <w:sz w:val="14"/>
                <w:szCs w:val="14"/>
                <w:b w:val="1"/>
                <w:bCs w:val="1"/>
                <w:color w:val="auto"/>
              </w:rPr>
              <w:t>Long-</w:t>
            </w:r>
          </w:p>
        </w:tc>
      </w:tr>
      <w:tr>
        <w:trPr>
          <w:trHeight w:val="162"/>
        </w:trPr>
        <w:tc>
          <w:tcPr>
            <w:tcW w:w="2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Executive</w:t>
            </w: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tcPr>
          <w:p>
            <w:pPr>
              <w:jc w:val="center"/>
              <w:ind w:left="183"/>
              <w:spacing w:after="0"/>
              <w:rPr>
                <w:sz w:val="20"/>
                <w:szCs w:val="20"/>
                <w:color w:val="auto"/>
              </w:rPr>
            </w:pPr>
            <w:r>
              <w:rPr>
                <w:rFonts w:ascii="Arial" w:cs="Arial" w:eastAsia="Arial" w:hAnsi="Arial"/>
                <w:sz w:val="14"/>
                <w:szCs w:val="14"/>
                <w:b w:val="1"/>
                <w:bCs w:val="1"/>
                <w:color w:val="auto"/>
                <w:w w:val="99"/>
              </w:rPr>
              <w:t>Term</w:t>
            </w:r>
          </w:p>
        </w:tc>
      </w:tr>
      <w:tr>
        <w:trPr>
          <w:trHeight w:val="196"/>
        </w:trPr>
        <w:tc>
          <w:tcPr>
            <w:tcW w:w="23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400" w:type="dxa"/>
            <w:vAlign w:val="bottom"/>
          </w:tcPr>
          <w:p>
            <w:pPr>
              <w:jc w:val="center"/>
              <w:ind w:left="301"/>
              <w:spacing w:after="0"/>
              <w:rPr>
                <w:sz w:val="20"/>
                <w:szCs w:val="20"/>
                <w:color w:val="auto"/>
              </w:rPr>
            </w:pPr>
            <w:r>
              <w:rPr>
                <w:rFonts w:ascii="Arial" w:cs="Arial" w:eastAsia="Arial" w:hAnsi="Arial"/>
                <w:sz w:val="14"/>
                <w:szCs w:val="14"/>
                <w:b w:val="1"/>
                <w:bCs w:val="1"/>
                <w:color w:val="auto"/>
              </w:rPr>
              <w:t>Audit</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Finance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Governance</w:t>
            </w:r>
          </w:p>
        </w:tc>
        <w:tc>
          <w:tcPr>
            <w:tcW w:w="1040" w:type="dxa"/>
            <w:vAlign w:val="bottom"/>
          </w:tcPr>
          <w:p>
            <w:pPr>
              <w:jc w:val="center"/>
              <w:ind w:left="223"/>
              <w:spacing w:after="0"/>
              <w:rPr>
                <w:sz w:val="20"/>
                <w:szCs w:val="20"/>
                <w:color w:val="auto"/>
              </w:rPr>
            </w:pPr>
            <w:r>
              <w:rPr>
                <w:rFonts w:ascii="Arial" w:cs="Arial" w:eastAsia="Arial" w:hAnsi="Arial"/>
                <w:sz w:val="14"/>
                <w:szCs w:val="14"/>
                <w:b w:val="1"/>
                <w:bCs w:val="1"/>
                <w:color w:val="auto"/>
              </w:rPr>
              <w:t>Planning</w:t>
            </w:r>
          </w:p>
        </w:tc>
      </w:tr>
      <w:tr>
        <w:trPr>
          <w:trHeight w:val="56"/>
        </w:trPr>
        <w:tc>
          <w:tcPr>
            <w:tcW w:w="2340" w:type="dxa"/>
            <w:vAlign w:val="bottom"/>
            <w:tcBorders>
              <w:bottom w:val="single" w:sz="8" w:color="0072AF"/>
            </w:tcBorders>
          </w:tcPr>
          <w:p>
            <w:pPr>
              <w:spacing w:after="0"/>
              <w:rPr>
                <w:sz w:val="4"/>
                <w:szCs w:val="4"/>
                <w:color w:val="auto"/>
              </w:rPr>
            </w:pPr>
          </w:p>
        </w:tc>
        <w:tc>
          <w:tcPr>
            <w:tcW w:w="1400" w:type="dxa"/>
            <w:vAlign w:val="bottom"/>
            <w:tcBorders>
              <w:bottom w:val="single" w:sz="8" w:color="0072AF"/>
            </w:tcBorders>
          </w:tcPr>
          <w:p>
            <w:pPr>
              <w:spacing w:after="0"/>
              <w:rPr>
                <w:sz w:val="4"/>
                <w:szCs w:val="4"/>
                <w:color w:val="auto"/>
              </w:rPr>
            </w:pPr>
          </w:p>
        </w:tc>
        <w:tc>
          <w:tcPr>
            <w:tcW w:w="1660" w:type="dxa"/>
            <w:vAlign w:val="bottom"/>
            <w:tcBorders>
              <w:bottom w:val="single" w:sz="8" w:color="0072AF"/>
            </w:tcBorders>
          </w:tcPr>
          <w:p>
            <w:pPr>
              <w:spacing w:after="0"/>
              <w:rPr>
                <w:sz w:val="4"/>
                <w:szCs w:val="4"/>
                <w:color w:val="auto"/>
              </w:rPr>
            </w:pPr>
          </w:p>
        </w:tc>
        <w:tc>
          <w:tcPr>
            <w:tcW w:w="1220" w:type="dxa"/>
            <w:vAlign w:val="bottom"/>
            <w:tcBorders>
              <w:bottom w:val="single" w:sz="8" w:color="0072AF"/>
            </w:tcBorders>
          </w:tcPr>
          <w:p>
            <w:pPr>
              <w:spacing w:after="0"/>
              <w:rPr>
                <w:sz w:val="4"/>
                <w:szCs w:val="4"/>
                <w:color w:val="auto"/>
              </w:rPr>
            </w:pPr>
          </w:p>
        </w:tc>
        <w:tc>
          <w:tcPr>
            <w:tcW w:w="1520" w:type="dxa"/>
            <w:vAlign w:val="bottom"/>
            <w:tcBorders>
              <w:bottom w:val="single" w:sz="8" w:color="0072AF"/>
            </w:tcBorders>
          </w:tcPr>
          <w:p>
            <w:pPr>
              <w:spacing w:after="0"/>
              <w:rPr>
                <w:sz w:val="4"/>
                <w:szCs w:val="4"/>
                <w:color w:val="auto"/>
              </w:rPr>
            </w:pPr>
          </w:p>
        </w:tc>
        <w:tc>
          <w:tcPr>
            <w:tcW w:w="1040" w:type="dxa"/>
            <w:vAlign w:val="bottom"/>
            <w:tcBorders>
              <w:bottom w:val="single" w:sz="8" w:color="0072AF"/>
            </w:tcBorders>
          </w:tcPr>
          <w:p>
            <w:pPr>
              <w:spacing w:after="0"/>
              <w:rPr>
                <w:sz w:val="4"/>
                <w:szCs w:val="4"/>
                <w:color w:val="auto"/>
              </w:rPr>
            </w:pPr>
          </w:p>
        </w:tc>
      </w:tr>
      <w:tr>
        <w:trPr>
          <w:trHeight w:val="275"/>
        </w:trPr>
        <w:tc>
          <w:tcPr>
            <w:tcW w:w="2340" w:type="dxa"/>
            <w:vAlign w:val="bottom"/>
          </w:tcPr>
          <w:p>
            <w:pPr>
              <w:spacing w:after="0"/>
              <w:rPr>
                <w:sz w:val="20"/>
                <w:szCs w:val="20"/>
                <w:color w:val="auto"/>
              </w:rPr>
            </w:pPr>
            <w:r>
              <w:rPr>
                <w:rFonts w:ascii="Arial" w:cs="Arial" w:eastAsia="Arial" w:hAnsi="Arial"/>
                <w:sz w:val="16"/>
                <w:szCs w:val="16"/>
                <w:color w:val="auto"/>
              </w:rPr>
              <w:t>Milena Alberti-Perez</w:t>
            </w:r>
          </w:p>
        </w:tc>
        <w:tc>
          <w:tcPr>
            <w:tcW w:w="1400" w:type="dxa"/>
            <w:vAlign w:val="bottom"/>
          </w:tcPr>
          <w:p>
            <w:pPr>
              <w:jc w:val="center"/>
              <w:ind w:left="301"/>
              <w:spacing w:after="0"/>
              <w:rPr>
                <w:sz w:val="20"/>
                <w:szCs w:val="20"/>
                <w:color w:val="auto"/>
              </w:rPr>
            </w:pPr>
            <w:r>
              <w:rPr>
                <w:rFonts w:ascii="Arial" w:cs="Arial" w:eastAsia="Arial" w:hAnsi="Arial"/>
                <w:sz w:val="16"/>
                <w:szCs w:val="16"/>
                <w:color w:val="auto"/>
                <w:w w:val="93"/>
              </w:rPr>
              <w:t>X</w:t>
            </w:r>
          </w:p>
        </w:tc>
        <w:tc>
          <w:tcPr>
            <w:tcW w:w="166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15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56"/>
        </w:trPr>
        <w:tc>
          <w:tcPr>
            <w:tcW w:w="23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304"/>
        </w:trPr>
        <w:tc>
          <w:tcPr>
            <w:tcW w:w="2340" w:type="dxa"/>
            <w:vAlign w:val="bottom"/>
            <w:tcBorders>
              <w:bottom w:val="single" w:sz="8" w:color="CBCEE0"/>
            </w:tcBorders>
            <w:shd w:val="clear" w:color="auto" w:fill="CBCEE0"/>
          </w:tcPr>
          <w:p>
            <w:pPr>
              <w:spacing w:after="0"/>
              <w:rPr>
                <w:sz w:val="20"/>
                <w:szCs w:val="20"/>
                <w:color w:val="auto"/>
              </w:rPr>
            </w:pPr>
            <w:r>
              <w:rPr>
                <w:rFonts w:ascii="Arial" w:cs="Arial" w:eastAsia="Arial" w:hAnsi="Arial"/>
                <w:sz w:val="16"/>
                <w:szCs w:val="16"/>
                <w:color w:val="auto"/>
              </w:rPr>
              <w:t>Steven D. Brill</w:t>
            </w:r>
          </w:p>
        </w:tc>
        <w:tc>
          <w:tcPr>
            <w:tcW w:w="1400" w:type="dxa"/>
            <w:vAlign w:val="bottom"/>
            <w:tcBorders>
              <w:bottom w:val="single" w:sz="8" w:color="CBCEE0"/>
            </w:tcBorders>
            <w:shd w:val="clear" w:color="auto" w:fill="CBCEE0"/>
          </w:tcPr>
          <w:p>
            <w:pPr>
              <w:spacing w:after="0"/>
              <w:rPr>
                <w:sz w:val="24"/>
                <w:szCs w:val="24"/>
                <w:color w:val="auto"/>
              </w:rPr>
            </w:pPr>
          </w:p>
        </w:tc>
        <w:tc>
          <w:tcPr>
            <w:tcW w:w="166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6"/>
                <w:szCs w:val="16"/>
                <w:color w:val="auto"/>
              </w:rPr>
              <w:t>X</w:t>
            </w:r>
          </w:p>
        </w:tc>
        <w:tc>
          <w:tcPr>
            <w:tcW w:w="1220" w:type="dxa"/>
            <w:vAlign w:val="bottom"/>
            <w:tcBorders>
              <w:bottom w:val="single" w:sz="8" w:color="CBCEE0"/>
            </w:tcBorders>
            <w:shd w:val="clear" w:color="auto" w:fill="CBCEE0"/>
          </w:tcPr>
          <w:p>
            <w:pPr>
              <w:spacing w:after="0"/>
              <w:rPr>
                <w:sz w:val="24"/>
                <w:szCs w:val="24"/>
                <w:color w:val="auto"/>
              </w:rPr>
            </w:pPr>
          </w:p>
        </w:tc>
        <w:tc>
          <w:tcPr>
            <w:tcW w:w="152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6"/>
                <w:szCs w:val="16"/>
                <w:color w:val="auto"/>
              </w:rPr>
              <w:t>X</w:t>
            </w:r>
          </w:p>
        </w:tc>
        <w:tc>
          <w:tcPr>
            <w:tcW w:w="1040" w:type="dxa"/>
            <w:vAlign w:val="bottom"/>
            <w:tcBorders>
              <w:bottom w:val="single" w:sz="8" w:color="CBCEE0"/>
            </w:tcBorders>
            <w:shd w:val="clear" w:color="auto" w:fill="CBCEE0"/>
          </w:tcPr>
          <w:p>
            <w:pPr>
              <w:spacing w:after="0"/>
              <w:rPr>
                <w:sz w:val="24"/>
                <w:szCs w:val="24"/>
                <w:color w:val="auto"/>
              </w:rPr>
            </w:pPr>
          </w:p>
        </w:tc>
      </w:tr>
      <w:tr>
        <w:trPr>
          <w:trHeight w:val="268"/>
        </w:trPr>
        <w:tc>
          <w:tcPr>
            <w:tcW w:w="2340" w:type="dxa"/>
            <w:vAlign w:val="bottom"/>
          </w:tcPr>
          <w:p>
            <w:pPr>
              <w:spacing w:after="0"/>
              <w:rPr>
                <w:sz w:val="20"/>
                <w:szCs w:val="20"/>
                <w:color w:val="auto"/>
              </w:rPr>
            </w:pPr>
            <w:r>
              <w:rPr>
                <w:rFonts w:ascii="Arial" w:cs="Arial" w:eastAsia="Arial" w:hAnsi="Arial"/>
                <w:sz w:val="16"/>
                <w:szCs w:val="16"/>
                <w:color w:val="auto"/>
              </w:rPr>
              <w:t>Todd Everett</w:t>
            </w:r>
          </w:p>
        </w:tc>
        <w:tc>
          <w:tcPr>
            <w:tcW w:w="14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520" w:type="dxa"/>
            <w:vAlign w:val="bottom"/>
          </w:tcPr>
          <w:p>
            <w:pPr>
              <w:jc w:val="center"/>
              <w:spacing w:after="0"/>
              <w:rPr>
                <w:sz w:val="20"/>
                <w:szCs w:val="20"/>
                <w:color w:val="auto"/>
              </w:rPr>
            </w:pPr>
            <w:r>
              <w:rPr>
                <w:rFonts w:ascii="Arial" w:cs="Arial" w:eastAsia="Arial" w:hAnsi="Arial"/>
                <w:sz w:val="16"/>
                <w:szCs w:val="16"/>
                <w:color w:val="auto"/>
              </w:rPr>
              <w:t>X</w:t>
            </w:r>
          </w:p>
        </w:tc>
        <w:tc>
          <w:tcPr>
            <w:tcW w:w="1040" w:type="dxa"/>
            <w:vAlign w:val="bottom"/>
          </w:tcPr>
          <w:p>
            <w:pPr>
              <w:spacing w:after="0"/>
              <w:rPr>
                <w:sz w:val="23"/>
                <w:szCs w:val="23"/>
                <w:color w:val="auto"/>
              </w:rPr>
            </w:pPr>
          </w:p>
        </w:tc>
      </w:tr>
      <w:tr>
        <w:trPr>
          <w:trHeight w:val="56"/>
        </w:trPr>
        <w:tc>
          <w:tcPr>
            <w:tcW w:w="23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304"/>
        </w:trPr>
        <w:tc>
          <w:tcPr>
            <w:tcW w:w="2340" w:type="dxa"/>
            <w:vAlign w:val="bottom"/>
            <w:tcBorders>
              <w:bottom w:val="single" w:sz="8" w:color="CBCEE0"/>
            </w:tcBorders>
            <w:shd w:val="clear" w:color="auto" w:fill="CBCEE0"/>
          </w:tcPr>
          <w:p>
            <w:pPr>
              <w:spacing w:after="0"/>
              <w:rPr>
                <w:sz w:val="20"/>
                <w:szCs w:val="20"/>
                <w:color w:val="auto"/>
              </w:rPr>
            </w:pPr>
            <w:r>
              <w:rPr>
                <w:rFonts w:ascii="Arial" w:cs="Arial" w:eastAsia="Arial" w:hAnsi="Arial"/>
                <w:sz w:val="16"/>
                <w:szCs w:val="16"/>
                <w:color w:val="auto"/>
              </w:rPr>
              <w:t>Katie May</w:t>
            </w:r>
          </w:p>
        </w:tc>
        <w:tc>
          <w:tcPr>
            <w:tcW w:w="1400" w:type="dxa"/>
            <w:vAlign w:val="bottom"/>
            <w:tcBorders>
              <w:bottom w:val="single" w:sz="8" w:color="CBCEE0"/>
            </w:tcBorders>
            <w:shd w:val="clear" w:color="auto" w:fill="CBCEE0"/>
          </w:tcPr>
          <w:p>
            <w:pPr>
              <w:spacing w:after="0"/>
              <w:rPr>
                <w:sz w:val="24"/>
                <w:szCs w:val="24"/>
                <w:color w:val="auto"/>
              </w:rPr>
            </w:pPr>
          </w:p>
        </w:tc>
        <w:tc>
          <w:tcPr>
            <w:tcW w:w="166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6"/>
                <w:szCs w:val="16"/>
                <w:color w:val="auto"/>
              </w:rPr>
              <w:t>X</w:t>
            </w:r>
          </w:p>
        </w:tc>
        <w:tc>
          <w:tcPr>
            <w:tcW w:w="1220" w:type="dxa"/>
            <w:vAlign w:val="bottom"/>
            <w:tcBorders>
              <w:bottom w:val="single" w:sz="8" w:color="CBCEE0"/>
            </w:tcBorders>
            <w:shd w:val="clear" w:color="auto" w:fill="CBCEE0"/>
          </w:tcPr>
          <w:p>
            <w:pPr>
              <w:spacing w:after="0"/>
              <w:rPr>
                <w:sz w:val="24"/>
                <w:szCs w:val="24"/>
                <w:color w:val="auto"/>
              </w:rPr>
            </w:pPr>
          </w:p>
        </w:tc>
        <w:tc>
          <w:tcPr>
            <w:tcW w:w="152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6"/>
                <w:szCs w:val="16"/>
                <w:color w:val="auto"/>
              </w:rPr>
              <w:t>Chair</w:t>
            </w:r>
          </w:p>
        </w:tc>
        <w:tc>
          <w:tcPr>
            <w:tcW w:w="1040" w:type="dxa"/>
            <w:vAlign w:val="bottom"/>
            <w:tcBorders>
              <w:bottom w:val="single" w:sz="8" w:color="CBCEE0"/>
            </w:tcBorders>
            <w:shd w:val="clear" w:color="auto" w:fill="CBCEE0"/>
          </w:tcPr>
          <w:p>
            <w:pPr>
              <w:jc w:val="center"/>
              <w:ind w:left="223"/>
              <w:spacing w:after="0"/>
              <w:rPr>
                <w:sz w:val="20"/>
                <w:szCs w:val="20"/>
                <w:color w:val="auto"/>
              </w:rPr>
            </w:pPr>
            <w:r>
              <w:rPr>
                <w:rFonts w:ascii="Arial" w:cs="Arial" w:eastAsia="Arial" w:hAnsi="Arial"/>
                <w:sz w:val="16"/>
                <w:szCs w:val="16"/>
                <w:color w:val="auto"/>
                <w:w w:val="93"/>
              </w:rPr>
              <w:t>X</w:t>
            </w:r>
          </w:p>
        </w:tc>
      </w:tr>
      <w:tr>
        <w:trPr>
          <w:trHeight w:val="268"/>
        </w:trPr>
        <w:tc>
          <w:tcPr>
            <w:tcW w:w="2340" w:type="dxa"/>
            <w:vAlign w:val="bottom"/>
          </w:tcPr>
          <w:p>
            <w:pPr>
              <w:spacing w:after="0"/>
              <w:rPr>
                <w:sz w:val="20"/>
                <w:szCs w:val="20"/>
                <w:color w:val="auto"/>
              </w:rPr>
            </w:pPr>
            <w:r>
              <w:rPr>
                <w:rFonts w:ascii="Arial" w:cs="Arial" w:eastAsia="Arial" w:hAnsi="Arial"/>
                <w:sz w:val="16"/>
                <w:szCs w:val="16"/>
                <w:color w:val="auto"/>
              </w:rPr>
              <w:t>Lance Rosenzweig</w:t>
            </w:r>
          </w:p>
        </w:tc>
        <w:tc>
          <w:tcPr>
            <w:tcW w:w="140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X</w:t>
            </w:r>
          </w:p>
        </w:tc>
        <w:tc>
          <w:tcPr>
            <w:tcW w:w="1220" w:type="dxa"/>
            <w:vAlign w:val="bottom"/>
          </w:tcPr>
          <w:p>
            <w:pPr>
              <w:spacing w:after="0"/>
              <w:rPr>
                <w:sz w:val="23"/>
                <w:szCs w:val="23"/>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X</w:t>
            </w:r>
          </w:p>
        </w:tc>
        <w:tc>
          <w:tcPr>
            <w:tcW w:w="1040" w:type="dxa"/>
            <w:vAlign w:val="bottom"/>
          </w:tcPr>
          <w:p>
            <w:pPr>
              <w:spacing w:after="0"/>
              <w:rPr>
                <w:sz w:val="23"/>
                <w:szCs w:val="23"/>
                <w:color w:val="auto"/>
              </w:rPr>
            </w:pPr>
          </w:p>
        </w:tc>
      </w:tr>
      <w:tr>
        <w:trPr>
          <w:trHeight w:val="56"/>
        </w:trPr>
        <w:tc>
          <w:tcPr>
            <w:tcW w:w="23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304"/>
        </w:trPr>
        <w:tc>
          <w:tcPr>
            <w:tcW w:w="2340" w:type="dxa"/>
            <w:vAlign w:val="bottom"/>
            <w:tcBorders>
              <w:bottom w:val="single" w:sz="8" w:color="CBCEE0"/>
            </w:tcBorders>
            <w:shd w:val="clear" w:color="auto" w:fill="CBCEE0"/>
          </w:tcPr>
          <w:p>
            <w:pPr>
              <w:spacing w:after="0"/>
              <w:rPr>
                <w:sz w:val="20"/>
                <w:szCs w:val="20"/>
                <w:color w:val="auto"/>
              </w:rPr>
            </w:pPr>
            <w:r>
              <w:rPr>
                <w:rFonts w:ascii="Arial" w:cs="Arial" w:eastAsia="Arial" w:hAnsi="Arial"/>
                <w:sz w:val="16"/>
                <w:szCs w:val="16"/>
                <w:color w:val="auto"/>
              </w:rPr>
              <w:t>Sheila A. Stamps</w:t>
            </w:r>
          </w:p>
        </w:tc>
        <w:tc>
          <w:tcPr>
            <w:tcW w:w="1400" w:type="dxa"/>
            <w:vAlign w:val="bottom"/>
            <w:tcBorders>
              <w:bottom w:val="single" w:sz="8" w:color="CBCEE0"/>
            </w:tcBorders>
            <w:shd w:val="clear" w:color="auto" w:fill="CBCEE0"/>
          </w:tcPr>
          <w:p>
            <w:pPr>
              <w:jc w:val="center"/>
              <w:ind w:left="301"/>
              <w:spacing w:after="0"/>
              <w:rPr>
                <w:sz w:val="20"/>
                <w:szCs w:val="20"/>
                <w:color w:val="auto"/>
              </w:rPr>
            </w:pPr>
            <w:r>
              <w:rPr>
                <w:rFonts w:ascii="Arial" w:cs="Arial" w:eastAsia="Arial" w:hAnsi="Arial"/>
                <w:sz w:val="16"/>
                <w:szCs w:val="16"/>
                <w:color w:val="auto"/>
                <w:w w:val="93"/>
              </w:rPr>
              <w:t>X</w:t>
            </w:r>
          </w:p>
        </w:tc>
        <w:tc>
          <w:tcPr>
            <w:tcW w:w="166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6"/>
                <w:szCs w:val="16"/>
                <w:color w:val="auto"/>
              </w:rPr>
              <w:t>Chair</w:t>
            </w:r>
          </w:p>
        </w:tc>
        <w:tc>
          <w:tcPr>
            <w:tcW w:w="1220" w:type="dxa"/>
            <w:vAlign w:val="bottom"/>
            <w:tcBorders>
              <w:bottom w:val="single" w:sz="8" w:color="CBCEE0"/>
            </w:tcBorders>
            <w:shd w:val="clear" w:color="auto" w:fill="CBCEE0"/>
          </w:tcPr>
          <w:p>
            <w:pPr>
              <w:spacing w:after="0"/>
              <w:rPr>
                <w:sz w:val="24"/>
                <w:szCs w:val="24"/>
                <w:color w:val="auto"/>
              </w:rPr>
            </w:pPr>
          </w:p>
        </w:tc>
        <w:tc>
          <w:tcPr>
            <w:tcW w:w="1520" w:type="dxa"/>
            <w:vAlign w:val="bottom"/>
            <w:tcBorders>
              <w:bottom w:val="single" w:sz="8" w:color="CBCEE0"/>
            </w:tcBorders>
            <w:shd w:val="clear" w:color="auto" w:fill="CBCEE0"/>
          </w:tcPr>
          <w:p>
            <w:pPr>
              <w:spacing w:after="0"/>
              <w:rPr>
                <w:sz w:val="24"/>
                <w:szCs w:val="24"/>
                <w:color w:val="auto"/>
              </w:rPr>
            </w:pPr>
          </w:p>
        </w:tc>
        <w:tc>
          <w:tcPr>
            <w:tcW w:w="1040" w:type="dxa"/>
            <w:vAlign w:val="bottom"/>
            <w:tcBorders>
              <w:bottom w:val="single" w:sz="8" w:color="CBCEE0"/>
            </w:tcBorders>
            <w:shd w:val="clear" w:color="auto" w:fill="CBCEE0"/>
          </w:tcPr>
          <w:p>
            <w:pPr>
              <w:jc w:val="center"/>
              <w:ind w:left="223"/>
              <w:spacing w:after="0"/>
              <w:rPr>
                <w:sz w:val="20"/>
                <w:szCs w:val="20"/>
                <w:color w:val="auto"/>
              </w:rPr>
            </w:pPr>
            <w:r>
              <w:rPr>
                <w:rFonts w:ascii="Arial" w:cs="Arial" w:eastAsia="Arial" w:hAnsi="Arial"/>
                <w:sz w:val="16"/>
                <w:szCs w:val="16"/>
                <w:color w:val="auto"/>
                <w:w w:val="93"/>
              </w:rPr>
              <w:t>X</w:t>
            </w:r>
          </w:p>
        </w:tc>
      </w:tr>
      <w:tr>
        <w:trPr>
          <w:trHeight w:val="268"/>
        </w:trPr>
        <w:tc>
          <w:tcPr>
            <w:tcW w:w="2340" w:type="dxa"/>
            <w:vAlign w:val="bottom"/>
          </w:tcPr>
          <w:p>
            <w:pPr>
              <w:spacing w:after="0"/>
              <w:rPr>
                <w:sz w:val="20"/>
                <w:szCs w:val="20"/>
                <w:color w:val="auto"/>
              </w:rPr>
            </w:pPr>
            <w:r>
              <w:rPr>
                <w:rFonts w:ascii="Arial" w:cs="Arial" w:eastAsia="Arial" w:hAnsi="Arial"/>
                <w:sz w:val="16"/>
                <w:szCs w:val="16"/>
                <w:color w:val="auto"/>
              </w:rPr>
              <w:t>Mary J. Steele Guilfoile</w:t>
            </w:r>
          </w:p>
        </w:tc>
        <w:tc>
          <w:tcPr>
            <w:tcW w:w="14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520" w:type="dxa"/>
            <w:vAlign w:val="bottom"/>
          </w:tcPr>
          <w:p>
            <w:pPr>
              <w:spacing w:after="0"/>
              <w:rPr>
                <w:sz w:val="23"/>
                <w:szCs w:val="23"/>
                <w:color w:val="auto"/>
              </w:rPr>
            </w:pPr>
          </w:p>
        </w:tc>
        <w:tc>
          <w:tcPr>
            <w:tcW w:w="1040" w:type="dxa"/>
            <w:vAlign w:val="bottom"/>
          </w:tcPr>
          <w:p>
            <w:pPr>
              <w:jc w:val="center"/>
              <w:ind w:left="223"/>
              <w:spacing w:after="0"/>
              <w:rPr>
                <w:sz w:val="20"/>
                <w:szCs w:val="20"/>
                <w:color w:val="auto"/>
              </w:rPr>
            </w:pPr>
            <w:r>
              <w:rPr>
                <w:rFonts w:ascii="Arial" w:cs="Arial" w:eastAsia="Arial" w:hAnsi="Arial"/>
                <w:sz w:val="16"/>
                <w:szCs w:val="16"/>
                <w:color w:val="auto"/>
              </w:rPr>
              <w:t>co-Chair</w:t>
            </w:r>
          </w:p>
        </w:tc>
      </w:tr>
      <w:tr>
        <w:trPr>
          <w:trHeight w:val="56"/>
        </w:trPr>
        <w:tc>
          <w:tcPr>
            <w:tcW w:w="23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304"/>
        </w:trPr>
        <w:tc>
          <w:tcPr>
            <w:tcW w:w="2340" w:type="dxa"/>
            <w:vAlign w:val="bottom"/>
            <w:tcBorders>
              <w:bottom w:val="single" w:sz="8" w:color="CBCEE0"/>
            </w:tcBorders>
            <w:shd w:val="clear" w:color="auto" w:fill="CBCEE0"/>
          </w:tcPr>
          <w:p>
            <w:pPr>
              <w:spacing w:after="0"/>
              <w:rPr>
                <w:sz w:val="20"/>
                <w:szCs w:val="20"/>
                <w:color w:val="auto"/>
              </w:rPr>
            </w:pPr>
            <w:r>
              <w:rPr>
                <w:rFonts w:ascii="Arial" w:cs="Arial" w:eastAsia="Arial" w:hAnsi="Arial"/>
                <w:sz w:val="16"/>
                <w:szCs w:val="16"/>
                <w:color w:val="auto"/>
              </w:rPr>
              <w:t>Jill Sutton</w:t>
            </w:r>
          </w:p>
        </w:tc>
        <w:tc>
          <w:tcPr>
            <w:tcW w:w="1400" w:type="dxa"/>
            <w:vAlign w:val="bottom"/>
            <w:tcBorders>
              <w:bottom w:val="single" w:sz="8" w:color="CBCEE0"/>
            </w:tcBorders>
            <w:shd w:val="clear" w:color="auto" w:fill="CBCEE0"/>
          </w:tcPr>
          <w:p>
            <w:pPr>
              <w:jc w:val="center"/>
              <w:ind w:left="301"/>
              <w:spacing w:after="0"/>
              <w:rPr>
                <w:sz w:val="20"/>
                <w:szCs w:val="20"/>
                <w:color w:val="auto"/>
              </w:rPr>
            </w:pPr>
            <w:r>
              <w:rPr>
                <w:rFonts w:ascii="Arial" w:cs="Arial" w:eastAsia="Arial" w:hAnsi="Arial"/>
                <w:sz w:val="16"/>
                <w:szCs w:val="16"/>
                <w:color w:val="auto"/>
                <w:w w:val="93"/>
              </w:rPr>
              <w:t>X</w:t>
            </w:r>
          </w:p>
        </w:tc>
        <w:tc>
          <w:tcPr>
            <w:tcW w:w="166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6"/>
                <w:szCs w:val="16"/>
                <w:color w:val="auto"/>
              </w:rPr>
              <w:t>X</w:t>
            </w:r>
          </w:p>
        </w:tc>
        <w:tc>
          <w:tcPr>
            <w:tcW w:w="1220" w:type="dxa"/>
            <w:vAlign w:val="bottom"/>
            <w:tcBorders>
              <w:bottom w:val="single" w:sz="8" w:color="CBCEE0"/>
            </w:tcBorders>
            <w:shd w:val="clear" w:color="auto" w:fill="CBCEE0"/>
          </w:tcPr>
          <w:p>
            <w:pPr>
              <w:spacing w:after="0"/>
              <w:rPr>
                <w:sz w:val="24"/>
                <w:szCs w:val="24"/>
                <w:color w:val="auto"/>
              </w:rPr>
            </w:pPr>
          </w:p>
        </w:tc>
        <w:tc>
          <w:tcPr>
            <w:tcW w:w="1520" w:type="dxa"/>
            <w:vAlign w:val="bottom"/>
            <w:tcBorders>
              <w:bottom w:val="single" w:sz="8" w:color="CBCEE0"/>
            </w:tcBorders>
            <w:shd w:val="clear" w:color="auto" w:fill="CBCEE0"/>
          </w:tcPr>
          <w:p>
            <w:pPr>
              <w:spacing w:after="0"/>
              <w:rPr>
                <w:sz w:val="24"/>
                <w:szCs w:val="24"/>
                <w:color w:val="auto"/>
              </w:rPr>
            </w:pPr>
          </w:p>
        </w:tc>
        <w:tc>
          <w:tcPr>
            <w:tcW w:w="1040" w:type="dxa"/>
            <w:vAlign w:val="bottom"/>
            <w:tcBorders>
              <w:bottom w:val="single" w:sz="8" w:color="CBCEE0"/>
            </w:tcBorders>
            <w:shd w:val="clear" w:color="auto" w:fill="CBCEE0"/>
          </w:tcPr>
          <w:p>
            <w:pPr>
              <w:spacing w:after="0"/>
              <w:rPr>
                <w:sz w:val="24"/>
                <w:szCs w:val="24"/>
                <w:color w:val="auto"/>
              </w:rPr>
            </w:pPr>
          </w:p>
        </w:tc>
      </w:tr>
      <w:tr>
        <w:trPr>
          <w:trHeight w:val="268"/>
        </w:trPr>
        <w:tc>
          <w:tcPr>
            <w:tcW w:w="2340" w:type="dxa"/>
            <w:vAlign w:val="bottom"/>
          </w:tcPr>
          <w:p>
            <w:pPr>
              <w:spacing w:after="0"/>
              <w:rPr>
                <w:sz w:val="20"/>
                <w:szCs w:val="20"/>
                <w:color w:val="auto"/>
              </w:rPr>
            </w:pPr>
            <w:r>
              <w:rPr>
                <w:rFonts w:ascii="Arial" w:cs="Arial" w:eastAsia="Arial" w:hAnsi="Arial"/>
                <w:sz w:val="16"/>
                <w:szCs w:val="16"/>
                <w:color w:val="auto"/>
              </w:rPr>
              <w:t>Darrell Thomas</w:t>
            </w:r>
          </w:p>
        </w:tc>
        <w:tc>
          <w:tcPr>
            <w:tcW w:w="1400" w:type="dxa"/>
            <w:vAlign w:val="bottom"/>
          </w:tcPr>
          <w:p>
            <w:pPr>
              <w:jc w:val="center"/>
              <w:ind w:left="301"/>
              <w:spacing w:after="0"/>
              <w:rPr>
                <w:sz w:val="20"/>
                <w:szCs w:val="20"/>
                <w:color w:val="auto"/>
              </w:rPr>
            </w:pPr>
            <w:r>
              <w:rPr>
                <w:rFonts w:ascii="Arial" w:cs="Arial" w:eastAsia="Arial" w:hAnsi="Arial"/>
                <w:sz w:val="16"/>
                <w:szCs w:val="16"/>
                <w:color w:val="auto"/>
                <w:w w:val="99"/>
              </w:rPr>
              <w:t>Chair</w:t>
            </w:r>
          </w:p>
        </w:tc>
        <w:tc>
          <w:tcPr>
            <w:tcW w:w="166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5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56"/>
        </w:trPr>
        <w:tc>
          <w:tcPr>
            <w:tcW w:w="23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68"/>
        </w:trPr>
        <w:tc>
          <w:tcPr>
            <w:tcW w:w="2340" w:type="dxa"/>
            <w:vAlign w:val="bottom"/>
            <w:shd w:val="clear" w:color="auto" w:fill="CBCEE0"/>
          </w:tcPr>
          <w:p>
            <w:pPr>
              <w:spacing w:after="0"/>
              <w:rPr>
                <w:sz w:val="20"/>
                <w:szCs w:val="20"/>
                <w:color w:val="auto"/>
              </w:rPr>
            </w:pPr>
            <w:r>
              <w:rPr>
                <w:rFonts w:ascii="Arial" w:cs="Arial" w:eastAsia="Arial" w:hAnsi="Arial"/>
                <w:sz w:val="16"/>
                <w:szCs w:val="16"/>
                <w:color w:val="auto"/>
              </w:rPr>
              <w:t>Kurt Wolf</w:t>
            </w:r>
          </w:p>
        </w:tc>
        <w:tc>
          <w:tcPr>
            <w:tcW w:w="1400" w:type="dxa"/>
            <w:vAlign w:val="bottom"/>
            <w:shd w:val="clear" w:color="auto" w:fill="CBCEE0"/>
          </w:tcPr>
          <w:p>
            <w:pPr>
              <w:spacing w:after="0"/>
              <w:rPr>
                <w:sz w:val="23"/>
                <w:szCs w:val="23"/>
                <w:color w:val="auto"/>
              </w:rPr>
            </w:pPr>
          </w:p>
        </w:tc>
        <w:tc>
          <w:tcPr>
            <w:tcW w:w="1660" w:type="dxa"/>
            <w:vAlign w:val="bottom"/>
            <w:shd w:val="clear" w:color="auto" w:fill="CBCEE0"/>
          </w:tcPr>
          <w:p>
            <w:pPr>
              <w:jc w:val="center"/>
              <w:spacing w:after="0"/>
              <w:rPr>
                <w:sz w:val="20"/>
                <w:szCs w:val="20"/>
                <w:color w:val="auto"/>
              </w:rPr>
            </w:pPr>
            <w:r>
              <w:rPr>
                <w:rFonts w:ascii="Arial" w:cs="Arial" w:eastAsia="Arial" w:hAnsi="Arial"/>
                <w:sz w:val="16"/>
                <w:szCs w:val="16"/>
                <w:color w:val="auto"/>
              </w:rPr>
              <w:t>X</w:t>
            </w:r>
          </w:p>
        </w:tc>
        <w:tc>
          <w:tcPr>
            <w:tcW w:w="1220" w:type="dxa"/>
            <w:vAlign w:val="bottom"/>
            <w:shd w:val="clear" w:color="auto" w:fill="CBCEE0"/>
          </w:tcPr>
          <w:p>
            <w:pPr>
              <w:jc w:val="center"/>
              <w:spacing w:after="0"/>
              <w:rPr>
                <w:sz w:val="20"/>
                <w:szCs w:val="20"/>
                <w:color w:val="auto"/>
              </w:rPr>
            </w:pPr>
            <w:r>
              <w:rPr>
                <w:rFonts w:ascii="Arial" w:cs="Arial" w:eastAsia="Arial" w:hAnsi="Arial"/>
                <w:sz w:val="16"/>
                <w:szCs w:val="16"/>
                <w:color w:val="auto"/>
                <w:w w:val="93"/>
              </w:rPr>
              <w:t>X</w:t>
            </w:r>
          </w:p>
        </w:tc>
        <w:tc>
          <w:tcPr>
            <w:tcW w:w="1520" w:type="dxa"/>
            <w:vAlign w:val="bottom"/>
            <w:shd w:val="clear" w:color="auto" w:fill="CBCEE0"/>
          </w:tcPr>
          <w:p>
            <w:pPr>
              <w:jc w:val="center"/>
              <w:spacing w:after="0"/>
              <w:rPr>
                <w:sz w:val="20"/>
                <w:szCs w:val="20"/>
                <w:color w:val="auto"/>
              </w:rPr>
            </w:pPr>
            <w:r>
              <w:rPr>
                <w:rFonts w:ascii="Arial" w:cs="Arial" w:eastAsia="Arial" w:hAnsi="Arial"/>
                <w:sz w:val="16"/>
                <w:szCs w:val="16"/>
                <w:color w:val="auto"/>
              </w:rPr>
              <w:t>X</w:t>
            </w:r>
          </w:p>
        </w:tc>
        <w:tc>
          <w:tcPr>
            <w:tcW w:w="1040" w:type="dxa"/>
            <w:vAlign w:val="bottom"/>
            <w:shd w:val="clear" w:color="auto" w:fill="CBCEE0"/>
          </w:tcPr>
          <w:p>
            <w:pPr>
              <w:jc w:val="center"/>
              <w:ind w:left="223"/>
              <w:spacing w:after="0"/>
              <w:rPr>
                <w:sz w:val="20"/>
                <w:szCs w:val="20"/>
                <w:color w:val="auto"/>
              </w:rPr>
            </w:pPr>
            <w:r>
              <w:rPr>
                <w:rFonts w:ascii="Arial" w:cs="Arial" w:eastAsia="Arial" w:hAnsi="Arial"/>
                <w:sz w:val="16"/>
                <w:szCs w:val="16"/>
                <w:color w:val="auto"/>
              </w:rPr>
              <w:t>co-Chair</w:t>
            </w:r>
          </w:p>
        </w:tc>
      </w:tr>
      <w:tr>
        <w:trPr>
          <w:trHeight w:val="69"/>
        </w:trPr>
        <w:tc>
          <w:tcPr>
            <w:tcW w:w="2340" w:type="dxa"/>
            <w:vAlign w:val="bottom"/>
            <w:shd w:val="clear" w:color="auto" w:fill="CBCEE0"/>
          </w:tcPr>
          <w:p>
            <w:pPr>
              <w:spacing w:after="0"/>
              <w:rPr>
                <w:sz w:val="6"/>
                <w:szCs w:val="6"/>
                <w:color w:val="auto"/>
              </w:rPr>
            </w:pPr>
          </w:p>
        </w:tc>
        <w:tc>
          <w:tcPr>
            <w:tcW w:w="1400" w:type="dxa"/>
            <w:vAlign w:val="bottom"/>
            <w:shd w:val="clear" w:color="auto" w:fill="CBCEE0"/>
          </w:tcPr>
          <w:p>
            <w:pPr>
              <w:spacing w:after="0"/>
              <w:rPr>
                <w:sz w:val="6"/>
                <w:szCs w:val="6"/>
                <w:color w:val="auto"/>
              </w:rPr>
            </w:pPr>
          </w:p>
        </w:tc>
        <w:tc>
          <w:tcPr>
            <w:tcW w:w="1660" w:type="dxa"/>
            <w:vAlign w:val="bottom"/>
            <w:shd w:val="clear" w:color="auto" w:fill="CBCEE0"/>
          </w:tcPr>
          <w:p>
            <w:pPr>
              <w:spacing w:after="0"/>
              <w:rPr>
                <w:sz w:val="6"/>
                <w:szCs w:val="6"/>
                <w:color w:val="auto"/>
              </w:rPr>
            </w:pPr>
          </w:p>
        </w:tc>
        <w:tc>
          <w:tcPr>
            <w:tcW w:w="1220" w:type="dxa"/>
            <w:vAlign w:val="bottom"/>
            <w:shd w:val="clear" w:color="auto" w:fill="CBCEE0"/>
          </w:tcPr>
          <w:p>
            <w:pPr>
              <w:spacing w:after="0"/>
              <w:rPr>
                <w:sz w:val="6"/>
                <w:szCs w:val="6"/>
                <w:color w:val="auto"/>
              </w:rPr>
            </w:pPr>
          </w:p>
        </w:tc>
        <w:tc>
          <w:tcPr>
            <w:tcW w:w="1520" w:type="dxa"/>
            <w:vAlign w:val="bottom"/>
            <w:shd w:val="clear" w:color="auto" w:fill="CBCEE0"/>
          </w:tcPr>
          <w:p>
            <w:pPr>
              <w:spacing w:after="0"/>
              <w:rPr>
                <w:sz w:val="6"/>
                <w:szCs w:val="6"/>
                <w:color w:val="auto"/>
              </w:rPr>
            </w:pPr>
          </w:p>
        </w:tc>
        <w:tc>
          <w:tcPr>
            <w:tcW w:w="1040" w:type="dxa"/>
            <w:vAlign w:val="bottom"/>
            <w:shd w:val="clear" w:color="auto" w:fill="CBCEE0"/>
          </w:tcPr>
          <w:p>
            <w:pPr>
              <w:spacing w:after="0"/>
              <w:rPr>
                <w:sz w:val="6"/>
                <w:szCs w:val="6"/>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Following the Annual Meeting, the Board’s nominees anticipate that they will establish the committee composition set forth in the chart below and appoint Ms. Sutton as Non-Executive Chairman of the Board.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Executive</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96"/>
        </w:trPr>
        <w:tc>
          <w:tcPr>
            <w:tcW w:w="28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120" w:type="dxa"/>
            <w:vAlign w:val="bottom"/>
          </w:tcPr>
          <w:p>
            <w:pPr>
              <w:jc w:val="center"/>
              <w:ind w:left="921"/>
              <w:spacing w:after="0"/>
              <w:rPr>
                <w:sz w:val="20"/>
                <w:szCs w:val="20"/>
                <w:color w:val="auto"/>
              </w:rPr>
            </w:pPr>
            <w:r>
              <w:rPr>
                <w:rFonts w:ascii="Arial" w:cs="Arial" w:eastAsia="Arial" w:hAnsi="Arial"/>
                <w:sz w:val="14"/>
                <w:szCs w:val="14"/>
                <w:b w:val="1"/>
                <w:bCs w:val="1"/>
                <w:color w:val="auto"/>
              </w:rPr>
              <w:t>Audit</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Finance</w:t>
            </w:r>
          </w:p>
        </w:tc>
        <w:tc>
          <w:tcPr>
            <w:tcW w:w="1220" w:type="dxa"/>
            <w:vAlign w:val="bottom"/>
          </w:tcPr>
          <w:p>
            <w:pPr>
              <w:jc w:val="center"/>
              <w:ind w:left="281"/>
              <w:spacing w:after="0"/>
              <w:rPr>
                <w:sz w:val="20"/>
                <w:szCs w:val="20"/>
                <w:color w:val="auto"/>
              </w:rPr>
            </w:pPr>
            <w:r>
              <w:rPr>
                <w:rFonts w:ascii="Arial" w:cs="Arial" w:eastAsia="Arial" w:hAnsi="Arial"/>
                <w:sz w:val="14"/>
                <w:szCs w:val="14"/>
                <w:b w:val="1"/>
                <w:bCs w:val="1"/>
                <w:color w:val="auto"/>
              </w:rPr>
              <w:t>Governance</w:t>
            </w:r>
          </w:p>
        </w:tc>
      </w:tr>
      <w:tr>
        <w:trPr>
          <w:trHeight w:val="56"/>
        </w:trPr>
        <w:tc>
          <w:tcPr>
            <w:tcW w:w="2820" w:type="dxa"/>
            <w:vAlign w:val="bottom"/>
            <w:tcBorders>
              <w:bottom w:val="single" w:sz="8" w:color="0072AF"/>
            </w:tcBorders>
          </w:tcPr>
          <w:p>
            <w:pPr>
              <w:spacing w:after="0"/>
              <w:rPr>
                <w:sz w:val="4"/>
                <w:szCs w:val="4"/>
                <w:color w:val="auto"/>
              </w:rPr>
            </w:pPr>
          </w:p>
        </w:tc>
        <w:tc>
          <w:tcPr>
            <w:tcW w:w="2120" w:type="dxa"/>
            <w:vAlign w:val="bottom"/>
            <w:tcBorders>
              <w:bottom w:val="single" w:sz="8" w:color="0072AF"/>
            </w:tcBorders>
          </w:tcPr>
          <w:p>
            <w:pPr>
              <w:spacing w:after="0"/>
              <w:rPr>
                <w:sz w:val="4"/>
                <w:szCs w:val="4"/>
                <w:color w:val="auto"/>
              </w:rPr>
            </w:pPr>
          </w:p>
        </w:tc>
        <w:tc>
          <w:tcPr>
            <w:tcW w:w="1740" w:type="dxa"/>
            <w:vAlign w:val="bottom"/>
            <w:tcBorders>
              <w:bottom w:val="single" w:sz="8" w:color="0072AF"/>
            </w:tcBorders>
          </w:tcPr>
          <w:p>
            <w:pPr>
              <w:spacing w:after="0"/>
              <w:rPr>
                <w:sz w:val="4"/>
                <w:szCs w:val="4"/>
                <w:color w:val="auto"/>
              </w:rPr>
            </w:pPr>
          </w:p>
        </w:tc>
        <w:tc>
          <w:tcPr>
            <w:tcW w:w="1280" w:type="dxa"/>
            <w:vAlign w:val="bottom"/>
            <w:tcBorders>
              <w:bottom w:val="single" w:sz="8" w:color="0072AF"/>
            </w:tcBorders>
          </w:tcPr>
          <w:p>
            <w:pPr>
              <w:spacing w:after="0"/>
              <w:rPr>
                <w:sz w:val="4"/>
                <w:szCs w:val="4"/>
                <w:color w:val="auto"/>
              </w:rPr>
            </w:pPr>
          </w:p>
        </w:tc>
        <w:tc>
          <w:tcPr>
            <w:tcW w:w="1220" w:type="dxa"/>
            <w:vAlign w:val="bottom"/>
            <w:tcBorders>
              <w:bottom w:val="single" w:sz="8" w:color="0072AF"/>
            </w:tcBorders>
          </w:tcPr>
          <w:p>
            <w:pPr>
              <w:spacing w:after="0"/>
              <w:rPr>
                <w:sz w:val="4"/>
                <w:szCs w:val="4"/>
                <w:color w:val="auto"/>
              </w:rPr>
            </w:pPr>
          </w:p>
        </w:tc>
      </w:tr>
      <w:tr>
        <w:trPr>
          <w:trHeight w:val="275"/>
        </w:trPr>
        <w:tc>
          <w:tcPr>
            <w:tcW w:w="2820" w:type="dxa"/>
            <w:vAlign w:val="bottom"/>
          </w:tcPr>
          <w:p>
            <w:pPr>
              <w:spacing w:after="0"/>
              <w:rPr>
                <w:sz w:val="20"/>
                <w:szCs w:val="20"/>
                <w:color w:val="auto"/>
              </w:rPr>
            </w:pPr>
            <w:r>
              <w:rPr>
                <w:rFonts w:ascii="Arial" w:cs="Arial" w:eastAsia="Arial" w:hAnsi="Arial"/>
                <w:sz w:val="16"/>
                <w:szCs w:val="16"/>
                <w:color w:val="auto"/>
              </w:rPr>
              <w:t>Milena Alberti-Perez</w:t>
            </w:r>
          </w:p>
        </w:tc>
        <w:tc>
          <w:tcPr>
            <w:tcW w:w="2120" w:type="dxa"/>
            <w:vAlign w:val="bottom"/>
          </w:tcPr>
          <w:p>
            <w:pPr>
              <w:jc w:val="center"/>
              <w:ind w:left="901"/>
              <w:spacing w:after="0"/>
              <w:rPr>
                <w:sz w:val="20"/>
                <w:szCs w:val="20"/>
                <w:color w:val="auto"/>
              </w:rPr>
            </w:pPr>
            <w:r>
              <w:rPr>
                <w:rFonts w:ascii="Arial" w:cs="Arial" w:eastAsia="Arial" w:hAnsi="Arial"/>
                <w:sz w:val="16"/>
                <w:szCs w:val="16"/>
                <w:color w:val="auto"/>
                <w:w w:val="99"/>
              </w:rPr>
              <w:t>Chair</w:t>
            </w:r>
          </w:p>
        </w:tc>
        <w:tc>
          <w:tcPr>
            <w:tcW w:w="174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X</w:t>
            </w:r>
          </w:p>
        </w:tc>
        <w:tc>
          <w:tcPr>
            <w:tcW w:w="1220" w:type="dxa"/>
            <w:vAlign w:val="bottom"/>
          </w:tcPr>
          <w:p>
            <w:pPr>
              <w:jc w:val="center"/>
              <w:ind w:left="281"/>
              <w:spacing w:after="0"/>
              <w:rPr>
                <w:sz w:val="20"/>
                <w:szCs w:val="20"/>
                <w:color w:val="auto"/>
              </w:rPr>
            </w:pPr>
            <w:r>
              <w:rPr>
                <w:rFonts w:ascii="Arial" w:cs="Arial" w:eastAsia="Arial" w:hAnsi="Arial"/>
                <w:sz w:val="16"/>
                <w:szCs w:val="16"/>
                <w:color w:val="auto"/>
                <w:w w:val="93"/>
              </w:rPr>
              <w:t>X</w:t>
            </w:r>
          </w:p>
        </w:tc>
      </w:tr>
      <w:tr>
        <w:trPr>
          <w:trHeight w:val="56"/>
        </w:trPr>
        <w:tc>
          <w:tcPr>
            <w:tcW w:w="28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304"/>
        </w:trPr>
        <w:tc>
          <w:tcPr>
            <w:tcW w:w="2820" w:type="dxa"/>
            <w:vAlign w:val="bottom"/>
            <w:tcBorders>
              <w:bottom w:val="single" w:sz="8" w:color="CBCEE0"/>
            </w:tcBorders>
            <w:shd w:val="clear" w:color="auto" w:fill="CBCEE0"/>
          </w:tcPr>
          <w:p>
            <w:pPr>
              <w:spacing w:after="0"/>
              <w:rPr>
                <w:sz w:val="20"/>
                <w:szCs w:val="20"/>
                <w:color w:val="auto"/>
              </w:rPr>
            </w:pPr>
            <w:r>
              <w:rPr>
                <w:rFonts w:ascii="Arial" w:cs="Arial" w:eastAsia="Arial" w:hAnsi="Arial"/>
                <w:sz w:val="16"/>
                <w:szCs w:val="16"/>
                <w:color w:val="auto"/>
              </w:rPr>
              <w:t>Todd Everett</w:t>
            </w:r>
          </w:p>
        </w:tc>
        <w:tc>
          <w:tcPr>
            <w:tcW w:w="2120" w:type="dxa"/>
            <w:vAlign w:val="bottom"/>
            <w:tcBorders>
              <w:bottom w:val="single" w:sz="8" w:color="CBCEE0"/>
            </w:tcBorders>
            <w:shd w:val="clear" w:color="auto" w:fill="CBCEE0"/>
          </w:tcPr>
          <w:p>
            <w:pPr>
              <w:spacing w:after="0"/>
              <w:rPr>
                <w:sz w:val="24"/>
                <w:szCs w:val="24"/>
                <w:color w:val="auto"/>
              </w:rPr>
            </w:pPr>
          </w:p>
        </w:tc>
        <w:tc>
          <w:tcPr>
            <w:tcW w:w="174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6"/>
                <w:szCs w:val="16"/>
                <w:color w:val="auto"/>
                <w:w w:val="93"/>
              </w:rPr>
              <w:t>X</w:t>
            </w:r>
          </w:p>
        </w:tc>
        <w:tc>
          <w:tcPr>
            <w:tcW w:w="128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6"/>
                <w:szCs w:val="16"/>
                <w:color w:val="auto"/>
              </w:rPr>
              <w:t>X</w:t>
            </w:r>
          </w:p>
        </w:tc>
        <w:tc>
          <w:tcPr>
            <w:tcW w:w="1220" w:type="dxa"/>
            <w:vAlign w:val="bottom"/>
            <w:tcBorders>
              <w:bottom w:val="single" w:sz="8" w:color="CBCEE0"/>
            </w:tcBorders>
            <w:shd w:val="clear" w:color="auto" w:fill="CBCEE0"/>
          </w:tcPr>
          <w:p>
            <w:pPr>
              <w:jc w:val="center"/>
              <w:ind w:left="281"/>
              <w:spacing w:after="0"/>
              <w:rPr>
                <w:sz w:val="20"/>
                <w:szCs w:val="20"/>
                <w:color w:val="auto"/>
              </w:rPr>
            </w:pPr>
            <w:r>
              <w:rPr>
                <w:rFonts w:ascii="Arial" w:cs="Arial" w:eastAsia="Arial" w:hAnsi="Arial"/>
                <w:sz w:val="16"/>
                <w:szCs w:val="16"/>
                <w:color w:val="auto"/>
                <w:w w:val="93"/>
              </w:rPr>
              <w:t>X</w:t>
            </w:r>
          </w:p>
        </w:tc>
      </w:tr>
      <w:tr>
        <w:trPr>
          <w:trHeight w:val="268"/>
        </w:trPr>
        <w:tc>
          <w:tcPr>
            <w:tcW w:w="2820" w:type="dxa"/>
            <w:vAlign w:val="bottom"/>
          </w:tcPr>
          <w:p>
            <w:pPr>
              <w:spacing w:after="0"/>
              <w:rPr>
                <w:sz w:val="20"/>
                <w:szCs w:val="20"/>
                <w:color w:val="auto"/>
              </w:rPr>
            </w:pPr>
            <w:r>
              <w:rPr>
                <w:rFonts w:ascii="Arial" w:cs="Arial" w:eastAsia="Arial" w:hAnsi="Arial"/>
                <w:sz w:val="16"/>
                <w:szCs w:val="16"/>
                <w:color w:val="auto"/>
              </w:rPr>
              <w:t>Lance Rosenzweig</w:t>
            </w:r>
          </w:p>
        </w:tc>
        <w:tc>
          <w:tcPr>
            <w:tcW w:w="2120" w:type="dxa"/>
            <w:vAlign w:val="bottom"/>
          </w:tcPr>
          <w:p>
            <w:pPr>
              <w:jc w:val="center"/>
              <w:ind w:left="901"/>
              <w:spacing w:after="0"/>
              <w:rPr>
                <w:sz w:val="20"/>
                <w:szCs w:val="20"/>
                <w:color w:val="auto"/>
              </w:rPr>
            </w:pPr>
            <w:r>
              <w:rPr>
                <w:rFonts w:ascii="Arial" w:cs="Arial" w:eastAsia="Arial" w:hAnsi="Arial"/>
                <w:sz w:val="16"/>
                <w:szCs w:val="16"/>
                <w:color w:val="auto"/>
                <w:w w:val="93"/>
              </w:rPr>
              <w:t>X</w:t>
            </w:r>
          </w:p>
        </w:tc>
        <w:tc>
          <w:tcPr>
            <w:tcW w:w="174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Chair</w:t>
            </w:r>
          </w:p>
        </w:tc>
        <w:tc>
          <w:tcPr>
            <w:tcW w:w="1220" w:type="dxa"/>
            <w:vAlign w:val="bottom"/>
          </w:tcPr>
          <w:p>
            <w:pPr>
              <w:jc w:val="center"/>
              <w:ind w:left="281"/>
              <w:spacing w:after="0"/>
              <w:rPr>
                <w:sz w:val="20"/>
                <w:szCs w:val="20"/>
                <w:color w:val="auto"/>
              </w:rPr>
            </w:pPr>
            <w:r>
              <w:rPr>
                <w:rFonts w:ascii="Arial" w:cs="Arial" w:eastAsia="Arial" w:hAnsi="Arial"/>
                <w:sz w:val="16"/>
                <w:szCs w:val="16"/>
                <w:color w:val="auto"/>
                <w:w w:val="93"/>
              </w:rPr>
              <w:t>X</w:t>
            </w:r>
          </w:p>
        </w:tc>
      </w:tr>
      <w:tr>
        <w:trPr>
          <w:trHeight w:val="56"/>
        </w:trPr>
        <w:tc>
          <w:tcPr>
            <w:tcW w:w="28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304"/>
        </w:trPr>
        <w:tc>
          <w:tcPr>
            <w:tcW w:w="2820" w:type="dxa"/>
            <w:vAlign w:val="bottom"/>
            <w:tcBorders>
              <w:bottom w:val="single" w:sz="8" w:color="CBCEE0"/>
            </w:tcBorders>
            <w:shd w:val="clear" w:color="auto" w:fill="CBCEE0"/>
          </w:tcPr>
          <w:p>
            <w:pPr>
              <w:spacing w:after="0"/>
              <w:rPr>
                <w:sz w:val="20"/>
                <w:szCs w:val="20"/>
                <w:color w:val="auto"/>
              </w:rPr>
            </w:pPr>
            <w:r>
              <w:rPr>
                <w:rFonts w:ascii="Arial" w:cs="Arial" w:eastAsia="Arial" w:hAnsi="Arial"/>
                <w:sz w:val="16"/>
                <w:szCs w:val="16"/>
                <w:color w:val="auto"/>
              </w:rPr>
              <w:t>Jill Sutton</w:t>
            </w:r>
          </w:p>
        </w:tc>
        <w:tc>
          <w:tcPr>
            <w:tcW w:w="2120" w:type="dxa"/>
            <w:vAlign w:val="bottom"/>
            <w:tcBorders>
              <w:bottom w:val="single" w:sz="8" w:color="CBCEE0"/>
            </w:tcBorders>
            <w:shd w:val="clear" w:color="auto" w:fill="CBCEE0"/>
          </w:tcPr>
          <w:p>
            <w:pPr>
              <w:jc w:val="center"/>
              <w:ind w:left="901"/>
              <w:spacing w:after="0"/>
              <w:rPr>
                <w:sz w:val="20"/>
                <w:szCs w:val="20"/>
                <w:color w:val="auto"/>
              </w:rPr>
            </w:pPr>
            <w:r>
              <w:rPr>
                <w:rFonts w:ascii="Arial" w:cs="Arial" w:eastAsia="Arial" w:hAnsi="Arial"/>
                <w:sz w:val="16"/>
                <w:szCs w:val="16"/>
                <w:color w:val="auto"/>
                <w:w w:val="93"/>
              </w:rPr>
              <w:t>X</w:t>
            </w:r>
          </w:p>
        </w:tc>
        <w:tc>
          <w:tcPr>
            <w:tcW w:w="174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6"/>
                <w:szCs w:val="16"/>
                <w:color w:val="auto"/>
                <w:w w:val="93"/>
              </w:rPr>
              <w:t>X</w:t>
            </w:r>
          </w:p>
        </w:tc>
        <w:tc>
          <w:tcPr>
            <w:tcW w:w="1280" w:type="dxa"/>
            <w:vAlign w:val="bottom"/>
            <w:tcBorders>
              <w:bottom w:val="single" w:sz="8" w:color="CBCEE0"/>
            </w:tcBorders>
            <w:shd w:val="clear" w:color="auto" w:fill="CBCEE0"/>
          </w:tcPr>
          <w:p>
            <w:pPr>
              <w:spacing w:after="0"/>
              <w:rPr>
                <w:sz w:val="24"/>
                <w:szCs w:val="24"/>
                <w:color w:val="auto"/>
              </w:rPr>
            </w:pPr>
          </w:p>
        </w:tc>
        <w:tc>
          <w:tcPr>
            <w:tcW w:w="1220" w:type="dxa"/>
            <w:vAlign w:val="bottom"/>
            <w:tcBorders>
              <w:bottom w:val="single" w:sz="8" w:color="CBCEE0"/>
            </w:tcBorders>
            <w:shd w:val="clear" w:color="auto" w:fill="CBCEE0"/>
          </w:tcPr>
          <w:p>
            <w:pPr>
              <w:jc w:val="center"/>
              <w:ind w:left="281"/>
              <w:spacing w:after="0"/>
              <w:rPr>
                <w:sz w:val="20"/>
                <w:szCs w:val="20"/>
                <w:color w:val="auto"/>
              </w:rPr>
            </w:pPr>
            <w:r>
              <w:rPr>
                <w:rFonts w:ascii="Arial" w:cs="Arial" w:eastAsia="Arial" w:hAnsi="Arial"/>
                <w:sz w:val="16"/>
                <w:szCs w:val="16"/>
                <w:color w:val="auto"/>
                <w:w w:val="99"/>
              </w:rPr>
              <w:t>Chair</w:t>
            </w:r>
          </w:p>
        </w:tc>
      </w:tr>
      <w:tr>
        <w:trPr>
          <w:trHeight w:val="268"/>
        </w:trPr>
        <w:tc>
          <w:tcPr>
            <w:tcW w:w="2820" w:type="dxa"/>
            <w:vAlign w:val="bottom"/>
          </w:tcPr>
          <w:p>
            <w:pPr>
              <w:spacing w:after="0"/>
              <w:rPr>
                <w:sz w:val="20"/>
                <w:szCs w:val="20"/>
                <w:color w:val="auto"/>
              </w:rPr>
            </w:pPr>
            <w:r>
              <w:rPr>
                <w:rFonts w:ascii="Arial" w:cs="Arial" w:eastAsia="Arial" w:hAnsi="Arial"/>
                <w:sz w:val="16"/>
                <w:szCs w:val="16"/>
                <w:color w:val="auto"/>
              </w:rPr>
              <w:t>Kurt Wolf</w:t>
            </w:r>
          </w:p>
        </w:tc>
        <w:tc>
          <w:tcPr>
            <w:tcW w:w="212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1280" w:type="dxa"/>
            <w:vAlign w:val="bottom"/>
          </w:tcPr>
          <w:p>
            <w:pPr>
              <w:jc w:val="center"/>
              <w:spacing w:after="0"/>
              <w:rPr>
                <w:sz w:val="20"/>
                <w:szCs w:val="20"/>
                <w:color w:val="auto"/>
              </w:rPr>
            </w:pPr>
            <w:r>
              <w:rPr>
                <w:rFonts w:ascii="Arial" w:cs="Arial" w:eastAsia="Arial" w:hAnsi="Arial"/>
                <w:sz w:val="16"/>
                <w:szCs w:val="16"/>
                <w:color w:val="auto"/>
              </w:rPr>
              <w:t>X</w:t>
            </w:r>
          </w:p>
        </w:tc>
        <w:tc>
          <w:tcPr>
            <w:tcW w:w="1220" w:type="dxa"/>
            <w:vAlign w:val="bottom"/>
          </w:tcPr>
          <w:p>
            <w:pPr>
              <w:jc w:val="center"/>
              <w:ind w:left="281"/>
              <w:spacing w:after="0"/>
              <w:rPr>
                <w:sz w:val="20"/>
                <w:szCs w:val="20"/>
                <w:color w:val="auto"/>
              </w:rPr>
            </w:pPr>
            <w:r>
              <w:rPr>
                <w:rFonts w:ascii="Arial" w:cs="Arial" w:eastAsia="Arial" w:hAnsi="Arial"/>
                <w:sz w:val="16"/>
                <w:szCs w:val="16"/>
                <w:color w:val="auto"/>
                <w:w w:val="93"/>
              </w:rPr>
              <w:t>X</w:t>
            </w:r>
          </w:p>
        </w:tc>
      </w:tr>
    </w:tbl>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Audit Committee</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Audit Committee monitors our financial reporting standards and practices and our internal financial controls to confirm compliance with the policies and objectives established by the Board and oversees our ethics and compliance programs. The Audit Committee appoints independent accountants to conduct the annual audits and discusses with our independent accountants the scope of their examinations, with particular attention to areas where either the Audit Committee or the independent accountants believe special emphasis should be directed. The Audit Committee reviews the annual financial statements and independent accountant’s report, invites the independent accountant’s recommendations on internal controls and on other matters, and reviews the evaluation given and corrective action taken by management. It reviews the independence of the independent accountants and approves their fees. It also reviews our internal accounting controls and the scope and results of our internal auditing activities and submits reports and proposals on these matters to the Board. The Audit Committee is also responsible for overseeing the process by which management identifies and manages the Company’s risks. The Audit Committee meets in executive session with the independent accountants and internal auditor at each Audit Committee meeting.</w:t>
      </w:r>
    </w:p>
    <w:p>
      <w:pPr>
        <w:spacing w:after="0" w:line="15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Audit Committee also has oversight over the information technology function, cybersecurity risks as well as compliance generally. The Audit Committee regularly discusses cybersecurity with leaders of the technology, information security, privacy and audit functions. The Audit Committee’s Charter is available on the Company’s website at </w:t>
      </w:r>
      <w:r>
        <w:rPr>
          <w:rFonts w:ascii="Arial" w:cs="Arial" w:eastAsia="Arial" w:hAnsi="Arial"/>
          <w:sz w:val="18"/>
          <w:szCs w:val="18"/>
          <w:color w:val="0072AF"/>
        </w:rPr>
        <w:t>https://www.pitneybowes.com/us/our-company/board-of-directors/audit-charter.html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-31115</wp:posOffset>
            </wp:positionV>
            <wp:extent cx="41973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197350" cy="8255"/>
                    </a:xfrm>
                    <a:prstGeom prst="rect">
                      <a:avLst/>
                    </a:prstGeom>
                    <a:noFill/>
                  </pic:spPr>
                </pic:pic>
              </a:graphicData>
            </a:graphic>
          </wp:anchor>
        </w:drawing>
      </w:r>
    </w:p>
    <w:p>
      <w:pPr>
        <w:spacing w:after="0" w:line="11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Board has determined that the following members of the Audit Committee are “Audit Committee financial experts,” as that term is defined by the SEC: Darrell Thomas, Milena Alberti-Perez and Sheila A. Stamps. All Audit Committee members are independent as defined under the New York Stock Exchange and SEC standards for Audit Committee independence.</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Executive Compensation Committee</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 Executive Compensation Committee is responsible for our executive compensation policies and programs. The Executive Compensation Committee Chair frequently consults with, and the Executive Compensation Committee meets in executive session with, Pay Governance LLC, its independent compensation consultant. The Executive Compensation Committee recommends to all of the independent directors for final approval policies, programs and specific actions regarding the compensation of the CEO, and approves the same for all of our other executive officers. The Executive Compensation Committee also recommends the “Compensation Discussion and Analysis” (the “CD&amp;A”) for inclusion in our Proxy Statement, in accordance with the rules and regulations of the SEC and reviews and approves stock grants and other stock-based compensation awards. The Executive Compensation Committee may delegate its authority to the fullest extent permitted by Delaware law, and has delegated certain of its responsibilities under the 2018 Plan and the 2024 Plan (if approved), including the limited authority to make awards to employees below the executive officer level, to the person holding the office of chief executive officer as consistent with Delaware law. All Executive Compensation Committee members are independent as independence for compensation committee members is defined under the New York Stock Exchange and SEC standards. The Executive Compensation Committee’s Charter is available on the Company’s website at </w:t>
      </w:r>
      <w:r>
        <w:rPr>
          <w:rFonts w:ascii="Arial" w:cs="Arial" w:eastAsia="Arial" w:hAnsi="Arial"/>
          <w:sz w:val="18"/>
          <w:szCs w:val="18"/>
          <w:color w:val="0072AF"/>
        </w:rPr>
        <w:t>https://www.pitneybowes.com/us/our-company/board-of-directors/executive-compensation-charter.html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-22860</wp:posOffset>
            </wp:positionV>
            <wp:extent cx="51816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81600" cy="88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Finance Committee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Finance Committee reviews our financial condition and capital structure, and evaluates significant financial policies and activities, oversees our major retirement programs, advises management and recommends financial action to the Board.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9" w:name="page20"/>
    <w:bookmarkEnd w:id="1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jc w:val="both"/>
        <w:ind w:left="6"/>
        <w:spacing w:after="0"/>
        <w:rPr>
          <w:sz w:val="20"/>
          <w:szCs w:val="20"/>
          <w:color w:val="auto"/>
        </w:rPr>
      </w:pPr>
      <w:r>
        <w:rPr>
          <w:rFonts w:ascii="Arial" w:cs="Arial" w:eastAsia="Arial" w:hAnsi="Arial"/>
          <w:sz w:val="18"/>
          <w:szCs w:val="18"/>
          <w:color w:val="auto"/>
        </w:rPr>
        <w:t xml:space="preserve">Finance Committee’s duties include monitoring our current and projected financial condition, reviewing and recommending for Board approval quarterly dividends, share repurchases and other major investment decisions including financing, mergers and acquisitions, divestitures and overseeing the financial operations of our retirement plans. The Finance Committee recommends for approval by the Board the establishment of new retirement and post-retirement benefit plans and any amendments that materially affect cost, benefit coverages or liabilities of the plans. The Finance Committee’s Charter is available on the Company’s website at </w:t>
      </w:r>
      <w:r>
        <w:rPr>
          <w:rFonts w:ascii="Arial" w:cs="Arial" w:eastAsia="Arial" w:hAnsi="Arial"/>
          <w:sz w:val="18"/>
          <w:szCs w:val="18"/>
          <w:color w:val="0072AF"/>
        </w:rPr>
        <w:t>https://www.pitneybowes.com/us/our-company/board-of-directors/finance-charter.html</w:t>
      </w:r>
      <w:r>
        <w:rPr>
          <w:rFonts w:ascii="Arial" w:cs="Arial" w:eastAsia="Arial" w:hAnsi="Arial"/>
          <w:sz w:val="18"/>
          <w:szCs w:val="18"/>
          <w:color w:val="000000"/>
        </w:rPr>
        <w:t>. The Finance Committee</w:t>
      </w:r>
      <w:r>
        <w:rPr>
          <w:rFonts w:ascii="Arial" w:cs="Arial" w:eastAsia="Arial" w:hAnsi="Arial"/>
          <w:sz w:val="18"/>
          <w:szCs w:val="18"/>
          <w:color w:val="0072AF"/>
        </w:rPr>
        <w:t xml:space="preserve"> </w:t>
      </w:r>
      <w:r>
        <w:rPr>
          <w:rFonts w:ascii="Arial" w:cs="Arial" w:eastAsia="Arial" w:hAnsi="Arial"/>
          <w:sz w:val="18"/>
          <w:szCs w:val="18"/>
          <w:color w:val="000000"/>
        </w:rPr>
        <w:t>amended its charter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43180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00" cy="8255"/>
                    </a:xfrm>
                    <a:prstGeom prst="rect">
                      <a:avLst/>
                    </a:prstGeom>
                    <a:noFill/>
                  </pic:spPr>
                </pic:pic>
              </a:graphicData>
            </a:graphic>
          </wp:anchor>
        </w:drawing>
      </w:r>
    </w:p>
    <w:p>
      <w:pPr>
        <w:spacing w:after="0" w:line="191"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72AF"/>
        </w:rPr>
        <w:t>Governance Committee</w:t>
      </w:r>
    </w:p>
    <w:p>
      <w:pPr>
        <w:spacing w:after="0" w:line="175" w:lineRule="exact"/>
        <w:rPr>
          <w:sz w:val="20"/>
          <w:szCs w:val="20"/>
          <w:color w:val="auto"/>
        </w:rPr>
      </w:pPr>
    </w:p>
    <w:p>
      <w:pPr>
        <w:jc w:val="both"/>
        <w:ind w:left="6"/>
        <w:spacing w:after="0" w:line="238" w:lineRule="auto"/>
        <w:rPr>
          <w:sz w:val="20"/>
          <w:szCs w:val="20"/>
          <w:color w:val="auto"/>
        </w:rPr>
      </w:pPr>
      <w:r>
        <w:rPr>
          <w:rFonts w:ascii="Arial" w:cs="Arial" w:eastAsia="Arial" w:hAnsi="Arial"/>
          <w:sz w:val="18"/>
          <w:szCs w:val="18"/>
          <w:color w:val="auto"/>
        </w:rPr>
        <w:t xml:space="preserve">The Governance Committee generally oversees succession planning for the Board, recommends nominees for election to the Board, recommends membership in, functions of, and the Chairs of the Board committees. The Governance Committee also reviews and recommends to the Board the amount and form of compensation to be paid to independent members of the Board, and oversees CEO and senior management succession planning. The Governance Principles of the Board, are posted on our website at </w:t>
      </w:r>
      <w:r>
        <w:rPr>
          <w:rFonts w:ascii="Arial" w:cs="Arial" w:eastAsia="Arial" w:hAnsi="Arial"/>
          <w:sz w:val="18"/>
          <w:szCs w:val="18"/>
          <w:color w:val="0072AF"/>
        </w:rPr>
        <w:t>www.pitneybowes.com</w:t>
      </w:r>
      <w:r>
        <w:rPr>
          <w:rFonts w:ascii="Arial" w:cs="Arial" w:eastAsia="Arial" w:hAnsi="Arial"/>
          <w:sz w:val="18"/>
          <w:szCs w:val="18"/>
          <w:color w:val="auto"/>
        </w:rPr>
        <w:t xml:space="preserve"> under the caption “Our Company—Leadership &amp; Governance—Corporate Governance.” The Governance Committee reviews and evaluates the effectiveness of Board administration and its governing documents, and reviews and monitors Company programs and policies relating to directors. The Governance Committee also reviews related-person transactions in accordance with Company policy. The Governance Committee’s Charter is available on the Company’s website at </w:t>
      </w:r>
      <w:r>
        <w:rPr>
          <w:rFonts w:ascii="Arial" w:cs="Arial" w:eastAsia="Arial" w:hAnsi="Arial"/>
          <w:sz w:val="18"/>
          <w:szCs w:val="18"/>
          <w:color w:val="0072AF"/>
        </w:rPr>
        <w:t>https://www.pitneybowes.com/us/our-company/board-of-directors/governance-committee-charter.html</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-795020</wp:posOffset>
            </wp:positionV>
            <wp:extent cx="1155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55700" cy="8255"/>
                    </a:xfrm>
                    <a:prstGeom prst="rect">
                      <a:avLst/>
                    </a:prstGeom>
                    <a:noFill/>
                  </pic:spPr>
                </pic:pic>
              </a:graphicData>
            </a:graphic>
          </wp:anchor>
        </w:drawing>
        <w:drawing>
          <wp:anchor simplePos="0" relativeHeight="251657728" behindDoc="1" locked="0" layoutInCell="0" allowOverlap="1">
            <wp:simplePos x="0" y="0"/>
            <wp:positionH relativeFrom="column">
              <wp:posOffset>1310005</wp:posOffset>
            </wp:positionH>
            <wp:positionV relativeFrom="paragraph">
              <wp:posOffset>-152400</wp:posOffset>
            </wp:positionV>
            <wp:extent cx="45148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5148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-23495</wp:posOffset>
            </wp:positionV>
            <wp:extent cx="5969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0" cy="8255"/>
                    </a:xfrm>
                    <a:prstGeom prst="rect">
                      <a:avLst/>
                    </a:prstGeom>
                    <a:noFill/>
                  </pic:spPr>
                </pic:pic>
              </a:graphicData>
            </a:graphic>
          </wp:anchor>
        </w:drawing>
      </w:r>
    </w:p>
    <w:p>
      <w:pPr>
        <w:spacing w:after="0" w:line="139" w:lineRule="exact"/>
        <w:rPr>
          <w:sz w:val="20"/>
          <w:szCs w:val="20"/>
          <w:color w:val="auto"/>
        </w:rPr>
      </w:pPr>
    </w:p>
    <w:p>
      <w:pPr>
        <w:jc w:val="both"/>
        <w:ind w:left="6"/>
        <w:spacing w:after="0"/>
        <w:rPr>
          <w:sz w:val="20"/>
          <w:szCs w:val="20"/>
          <w:color w:val="auto"/>
        </w:rPr>
      </w:pPr>
      <w:r>
        <w:rPr>
          <w:rFonts w:ascii="Arial" w:cs="Arial" w:eastAsia="Arial" w:hAnsi="Arial"/>
          <w:sz w:val="18"/>
          <w:szCs w:val="18"/>
          <w:color w:val="auto"/>
        </w:rPr>
        <w:t xml:space="preserve">The Governance Committee also identifies qualified candidates for nomination for election to the Board from a variety of sources, including other Board members, management and stockholders. In connection with this responsibility, the Governance Committee may retain a third-party search firm to assist its members in identifying and evaluating potential nominees to the Board. A discussion of the specific experience and qualifications the Governance Committee has identified for directors and nominees together with the Governance Committee’s approach to evaluating current and prospective directors may be found under “Director Qualifications” on page </w:t>
      </w:r>
      <w:r>
        <w:rPr>
          <w:rFonts w:ascii="Arial" w:cs="Arial" w:eastAsia="Arial" w:hAnsi="Arial"/>
          <w:sz w:val="18"/>
          <w:szCs w:val="18"/>
          <w:u w:val="single" w:color="auto"/>
          <w:color w:val="0000EE"/>
        </w:rPr>
        <w:t>26</w:t>
      </w:r>
      <w:r>
        <w:rPr>
          <w:rFonts w:ascii="Arial" w:cs="Arial" w:eastAsia="Arial" w:hAnsi="Arial"/>
          <w:sz w:val="18"/>
          <w:szCs w:val="18"/>
          <w:color w:val="auto"/>
        </w:rPr>
        <w:t xml:space="preserve"> of the Proxy Statement.</w:t>
      </w:r>
    </w:p>
    <w:p>
      <w:pPr>
        <w:spacing w:after="0" w:line="144" w:lineRule="exact"/>
        <w:rPr>
          <w:sz w:val="20"/>
          <w:szCs w:val="20"/>
          <w:color w:val="auto"/>
        </w:rPr>
      </w:pPr>
    </w:p>
    <w:p>
      <w:pPr>
        <w:jc w:val="both"/>
        <w:ind w:left="6" w:right="20"/>
        <w:spacing w:after="0"/>
        <w:rPr>
          <w:sz w:val="20"/>
          <w:szCs w:val="20"/>
          <w:color w:val="auto"/>
        </w:rPr>
      </w:pPr>
      <w:r>
        <w:rPr>
          <w:rFonts w:ascii="Arial" w:cs="Arial" w:eastAsia="Arial" w:hAnsi="Arial"/>
          <w:sz w:val="18"/>
          <w:szCs w:val="18"/>
          <w:color w:val="auto"/>
        </w:rPr>
        <w:t>Stockholders wishing to recommend a candidate for consideration by the Governance Committee may do so by writing to: c/o Corporate Secretary, Pitney Bowes Inc., 3001 Summer Street, Stamford, CT 06926-0700. Recommendations submitted for consideration by the Governance Committee must contain the following information: (i) the name and address of the stockholder; (ii) the name and address of the person to be nominated;</w:t>
      </w:r>
    </w:p>
    <w:p>
      <w:pPr>
        <w:jc w:val="both"/>
        <w:ind w:left="6" w:right="20" w:hanging="6"/>
        <w:spacing w:after="0"/>
        <w:tabs>
          <w:tab w:leader="none" w:pos="30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representation that the stockholder is a holder of our stock entitled to vote at the meeting; (iv) a statement in support of the stockholder’s recommendation, including a description of the candidate’s qualifications; (v) information regarding the candidate as would be required to be included in a Proxy Statement filed in accordance with the rules of the SEC; and (vi) the candidate’s written, signed consent to serve if elected.</w:t>
      </w:r>
    </w:p>
    <w:p>
      <w:pPr>
        <w:spacing w:after="0" w:line="140" w:lineRule="exact"/>
        <w:rPr>
          <w:sz w:val="20"/>
          <w:szCs w:val="20"/>
          <w:color w:val="auto"/>
        </w:rPr>
      </w:pPr>
    </w:p>
    <w:p>
      <w:pPr>
        <w:jc w:val="both"/>
        <w:ind w:left="6"/>
        <w:spacing w:after="0" w:line="244" w:lineRule="auto"/>
        <w:rPr>
          <w:sz w:val="20"/>
          <w:szCs w:val="20"/>
          <w:color w:val="auto"/>
        </w:rPr>
      </w:pPr>
      <w:r>
        <w:rPr>
          <w:rFonts w:ascii="Arial" w:cs="Arial" w:eastAsia="Arial" w:hAnsi="Arial"/>
          <w:sz w:val="18"/>
          <w:szCs w:val="18"/>
          <w:color w:val="auto"/>
        </w:rPr>
        <w:t>If the Governance Committee believes that a potential candidate may be appropriate for recommendation to the Board, there is generally a mutual exploration process, during which the members of the Governance Committee seek to learn more about the candidate’s qualifications, background and interest in serving on the Board, and the candidate has the opportunity to learn more about the Company, the Board, and its governance practices. The final selection of the nominees is within the sole discretion of the Board.</w:t>
      </w:r>
    </w:p>
    <w:p>
      <w:pPr>
        <w:spacing w:after="0" w:line="149" w:lineRule="exact"/>
        <w:rPr>
          <w:sz w:val="20"/>
          <w:szCs w:val="20"/>
          <w:color w:val="auto"/>
        </w:rPr>
      </w:pPr>
    </w:p>
    <w:p>
      <w:pPr>
        <w:jc w:val="both"/>
        <w:ind w:left="6" w:right="20"/>
        <w:spacing w:after="0" w:line="247" w:lineRule="auto"/>
        <w:rPr>
          <w:sz w:val="20"/>
          <w:szCs w:val="20"/>
          <w:color w:val="auto"/>
        </w:rPr>
      </w:pPr>
      <w:r>
        <w:rPr>
          <w:rFonts w:ascii="Arial" w:cs="Arial" w:eastAsia="Arial" w:hAnsi="Arial"/>
          <w:sz w:val="18"/>
          <w:szCs w:val="18"/>
          <w:color w:val="auto"/>
        </w:rPr>
        <w:t xml:space="preserve">Alternatively, as referenced on page </w:t>
      </w:r>
      <w:r>
        <w:rPr>
          <w:rFonts w:ascii="Arial" w:cs="Arial" w:eastAsia="Arial" w:hAnsi="Arial"/>
          <w:sz w:val="18"/>
          <w:szCs w:val="18"/>
          <w:u w:val="single" w:color="auto"/>
          <w:color w:val="0000EE"/>
        </w:rPr>
        <w:t>10</w:t>
      </w:r>
      <w:r>
        <w:rPr>
          <w:rFonts w:ascii="Arial" w:cs="Arial" w:eastAsia="Arial" w:hAnsi="Arial"/>
          <w:sz w:val="18"/>
          <w:szCs w:val="18"/>
          <w:color w:val="auto"/>
        </w:rPr>
        <w:t xml:space="preserve"> of this Proxy Statement, stockholders intending to nominate a candidate for election by the stockholders at the meeting must comply with the procedures in Article I, Section 5 of the Company’s By-laws. The By-laws are posted on our Corporate Governance website at </w:t>
      </w:r>
      <w:r>
        <w:rPr>
          <w:rFonts w:ascii="Arial" w:cs="Arial" w:eastAsia="Arial" w:hAnsi="Arial"/>
          <w:sz w:val="18"/>
          <w:szCs w:val="18"/>
          <w:color w:val="0072AF"/>
        </w:rPr>
        <w:t>www.pitneybowes.com</w:t>
      </w:r>
      <w:r>
        <w:rPr>
          <w:rFonts w:ascii="Arial" w:cs="Arial" w:eastAsia="Arial" w:hAnsi="Arial"/>
          <w:sz w:val="18"/>
          <w:szCs w:val="18"/>
          <w:color w:val="auto"/>
        </w:rPr>
        <w:t xml:space="preserve"> under the caption “Our Company—Leadership &amp; Governance—Corporate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4666615</wp:posOffset>
            </wp:positionH>
            <wp:positionV relativeFrom="paragraph">
              <wp:posOffset>-160020</wp:posOffset>
            </wp:positionV>
            <wp:extent cx="1155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spacing w:after="0" w:line="154"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120650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32"/>
          <w:szCs w:val="32"/>
          <w:b w:val="1"/>
          <w:bCs w:val="1"/>
          <w:color w:val="4B5A89"/>
        </w:rPr>
        <w:t>Director Compensation</w:t>
      </w: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58293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Role of Governance Committee in Determining Director Compensation</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accordance with the Governance Principles of the Board, the Governance Committee reviews and recommends to the Board the amount and form of compensation to be paid to non-employee members of the Board. The Governance Committee from time to time reviews the director compensation policy periodically and may consult with a compensation consultant, to be selected and retained by the committee, as to the competitiveness of the program.</w:t>
      </w:r>
    </w:p>
    <w:p>
      <w:pPr>
        <w:spacing w:after="0" w:line="13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non-employee directors’ compensation program, including the amended and restated Directors’ Stock Plan, was last revised and approved by the stockholders in May 2014. At that time, the Governance Committee retained an independent compensation consultant with no other Company business, Farient Advisors, to assist in its review of the Company’s director compensation program.</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Highlights of the Director Compensation Program:</w:t>
      </w:r>
    </w:p>
    <w:p>
      <w:pPr>
        <w:spacing w:after="0" w:line="202" w:lineRule="exact"/>
        <w:rPr>
          <w:sz w:val="20"/>
          <w:szCs w:val="20"/>
          <w:color w:val="auto"/>
        </w:rPr>
      </w:pPr>
    </w:p>
    <w:p>
      <w:pPr>
        <w:ind w:left="420" w:hanging="210"/>
        <w:spacing w:after="0"/>
        <w:tabs>
          <w:tab w:leader="none" w:pos="420" w:val="left"/>
        </w:tabs>
        <w:numPr>
          <w:ilvl w:val="0"/>
          <w:numId w:val="18"/>
        </w:numPr>
        <w:rPr>
          <w:rFonts w:ascii="Arial" w:cs="Arial" w:eastAsia="Arial" w:hAnsi="Arial"/>
          <w:sz w:val="18"/>
          <w:szCs w:val="18"/>
          <w:color w:val="0072AF"/>
        </w:rPr>
      </w:pPr>
      <w:r>
        <w:rPr>
          <w:rFonts w:ascii="Arial" w:cs="Arial" w:eastAsia="Arial" w:hAnsi="Arial"/>
          <w:sz w:val="18"/>
          <w:szCs w:val="18"/>
          <w:color w:val="auto"/>
        </w:rPr>
        <w:t>Cash component paid as an annual retainer</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18"/>
        </w:numPr>
        <w:rPr>
          <w:rFonts w:ascii="Arial" w:cs="Arial" w:eastAsia="Arial" w:hAnsi="Arial"/>
          <w:sz w:val="18"/>
          <w:szCs w:val="18"/>
          <w:color w:val="0072AF"/>
        </w:rPr>
      </w:pPr>
      <w:r>
        <w:rPr>
          <w:rFonts w:ascii="Arial" w:cs="Arial" w:eastAsia="Arial" w:hAnsi="Arial"/>
          <w:sz w:val="18"/>
          <w:szCs w:val="18"/>
          <w:color w:val="auto"/>
        </w:rPr>
        <w:t>Leadership premiums paid to committee Chairs</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18"/>
        </w:numPr>
        <w:rPr>
          <w:rFonts w:ascii="Arial" w:cs="Arial" w:eastAsia="Arial" w:hAnsi="Arial"/>
          <w:sz w:val="18"/>
          <w:szCs w:val="18"/>
          <w:color w:val="0072AF"/>
        </w:rPr>
      </w:pPr>
      <w:r>
        <w:rPr>
          <w:rFonts w:ascii="Arial" w:cs="Arial" w:eastAsia="Arial" w:hAnsi="Arial"/>
          <w:sz w:val="18"/>
          <w:szCs w:val="18"/>
          <w:color w:val="auto"/>
        </w:rPr>
        <w:t>Leadership premium paid to the Chair of the Board</w:t>
      </w:r>
    </w:p>
    <w:p>
      <w:pPr>
        <w:spacing w:after="0" w:line="49" w:lineRule="exact"/>
        <w:rPr>
          <w:rFonts w:ascii="Arial" w:cs="Arial" w:eastAsia="Arial" w:hAnsi="Arial"/>
          <w:sz w:val="18"/>
          <w:szCs w:val="18"/>
          <w:color w:val="0072AF"/>
        </w:rPr>
      </w:pPr>
    </w:p>
    <w:p>
      <w:pPr>
        <w:ind w:left="420" w:right="20" w:hanging="210"/>
        <w:spacing w:after="0" w:line="266" w:lineRule="auto"/>
        <w:tabs>
          <w:tab w:leader="none" w:pos="420" w:val="left"/>
        </w:tabs>
        <w:numPr>
          <w:ilvl w:val="0"/>
          <w:numId w:val="18"/>
        </w:numPr>
        <w:rPr>
          <w:rFonts w:ascii="Arial" w:cs="Arial" w:eastAsia="Arial" w:hAnsi="Arial"/>
          <w:sz w:val="18"/>
          <w:szCs w:val="18"/>
          <w:color w:val="0072AF"/>
        </w:rPr>
      </w:pPr>
      <w:r>
        <w:rPr>
          <w:rFonts w:ascii="Arial" w:cs="Arial" w:eastAsia="Arial" w:hAnsi="Arial"/>
          <w:sz w:val="18"/>
          <w:szCs w:val="18"/>
          <w:color w:val="auto"/>
        </w:rPr>
        <w:t>Annual equity grant in the form of restricted stock units, the number of which is calculated by dividing $100,000 by the fair market value of a share of the Company’s Common Stock as of the award date</w:t>
      </w:r>
    </w:p>
    <w:p>
      <w:pPr>
        <w:ind w:left="420" w:right="20" w:hanging="210"/>
        <w:spacing w:after="0" w:line="271" w:lineRule="auto"/>
        <w:tabs>
          <w:tab w:leader="none" w:pos="420" w:val="left"/>
        </w:tabs>
        <w:numPr>
          <w:ilvl w:val="0"/>
          <w:numId w:val="18"/>
        </w:numPr>
        <w:rPr>
          <w:rFonts w:ascii="Arial" w:cs="Arial" w:eastAsia="Arial" w:hAnsi="Arial"/>
          <w:sz w:val="18"/>
          <w:szCs w:val="18"/>
          <w:color w:val="0072AF"/>
        </w:rPr>
      </w:pPr>
      <w:r>
        <w:rPr>
          <w:rFonts w:ascii="Arial" w:cs="Arial" w:eastAsia="Arial" w:hAnsi="Arial"/>
          <w:sz w:val="18"/>
          <w:szCs w:val="18"/>
          <w:color w:val="auto"/>
        </w:rPr>
        <w:t>Each non-employee director is subject to a stock ownership requirement equal to five times the annual base cash retainer to be attained over a five-year period</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Directors’ Fees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Each non-employee director receives an annual retainer of $75,000 for Board service and an additional retainer for service on the committees to which he or she is assigned. The Non-Executive Chair of the Board receives an additional retainer of $100,000 commensurate with the additional responsibilities required of the Chair role.</w:t>
      </w:r>
    </w:p>
    <w:p>
      <w:pPr>
        <w:spacing w:after="0" w:line="12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Annual retainers for committee service are: $12,000 for service on the Audit Committee (with the committee Chair receiving an additional annual retainer of $12,000); $10,500 for service on the Executive Compensation Committee (with the Committee Chair receiving an additional annual retainer of $10,500); $9,000 for service on the Governance Committee (with the Committee Chair receiving an additional annual retainer of $ 9,000); and, $9,000 for service on the Finance Committee (with the Committee Chair receiving an additional annual retainer of $9,000). Members of the Long-Term Planning Committee will receive $12,000 for service on that Committee, with the first payment to be made in first quarter of 2024, retroactive to the creation of the Committee.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All directors are reimbursed for their out-of-pocket expenses incurred in attending Board and committee meetings.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Stock under the Director’s Compensation Program</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amended and restated Directors’ Stock Plan, each non-employee director received an award of restricted stock units with a fair market value of $100,000 on the date of grant, which are fully vested one year after the date of grant. (directors appointed by the Board to fill a vacancy during the year receive a prorated grant of restricted stock units as described in the Directors’ Stock Plan.) The units have no voting rights until they are converted to shares of Common Stock. Each non-employee director receives a quarterly cash payment equal to the amount that would have been paid as a dividend with respect to shares represented by the restricted stock units held as of the record date for the payment of the Common Stock dividend. Non-employee directors may elect to defer the conversion of restricted stock units to shares until the date of termination of service as a director.</w:t>
      </w:r>
    </w:p>
    <w:p>
      <w:pPr>
        <w:spacing w:after="0" w:line="15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Shares shown in the table on page </w:t>
      </w:r>
      <w:r>
        <w:rPr>
          <w:rFonts w:ascii="Arial" w:cs="Arial" w:eastAsia="Arial" w:hAnsi="Arial"/>
          <w:sz w:val="18"/>
          <w:szCs w:val="18"/>
          <w:u w:val="single" w:color="auto"/>
          <w:color w:val="0000EE"/>
        </w:rPr>
        <w:t>24</w:t>
      </w:r>
      <w:r>
        <w:rPr>
          <w:rFonts w:ascii="Arial" w:cs="Arial" w:eastAsia="Arial" w:hAnsi="Arial"/>
          <w:sz w:val="18"/>
          <w:szCs w:val="18"/>
          <w:color w:val="auto"/>
        </w:rPr>
        <w:t xml:space="preserve"> of this Proxy Statement disclosing security ownership of directors and executive officers include shares granted to the directors under the Directors’ Stock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Director Stock Ownership Requirement</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Board maintains directors’ stock ownership guidelines, requiring, among other things, that each director accumulate and retain a minimum of Company Common Stock with a market value of five times the base retainer, or $375,000, within five years of becoming a director of the Company. A director may not sell shares of Pitney Bowes Common Stock if: a) this requirement is not met, or b) the sale of shares would mean that the director would no longer meet the requirement. Our directors’ stock ownership guidelines are available within the Governance Principles on our Corporate Governance web-site at </w:t>
      </w:r>
      <w:r>
        <w:rPr>
          <w:rFonts w:ascii="Arial" w:cs="Arial" w:eastAsia="Arial" w:hAnsi="Arial"/>
          <w:sz w:val="18"/>
          <w:szCs w:val="18"/>
          <w:color w:val="0072AF"/>
        </w:rPr>
        <w:t>www.pitneybowes.com</w:t>
      </w:r>
      <w:r>
        <w:rPr>
          <w:rFonts w:ascii="Arial" w:cs="Arial" w:eastAsia="Arial" w:hAnsi="Arial"/>
          <w:sz w:val="18"/>
          <w:szCs w:val="18"/>
          <w:color w:val="auto"/>
        </w:rPr>
        <w:t xml:space="preserve"> under the caption “Our Company— Leadership &amp; Governance—Corporate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-153035</wp:posOffset>
            </wp:positionV>
            <wp:extent cx="1155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55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Directors’ Deferred Incentive Savings Plan</w:t>
      </w:r>
    </w:p>
    <w:p>
      <w:pPr>
        <w:spacing w:after="0" w:line="18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We maintain a Directors’ Deferred Incentive Savings Plan under which directors may defer all or part of the cash portion of their compensation. Deferred amounts will be notionally “invested” in any combination of several institutional investment funds. The investment choices available to directors under this plan are the same as those offered to employees under the Company’s 401(k) plan.</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Directors’ Equity Deferral Plan</w:t>
      </w:r>
    </w:p>
    <w:p>
      <w:pPr>
        <w:spacing w:after="0" w:line="18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Directors may elect to defer all of their equity portion of their compensation on an annual basis. Deferral of restricted stock units (RSU) defers settlement of the RSUs into Company Common Stock until termination from Board service. RSU awards, whether deferred or not, vest on the first anniversary of the award. Deferred RSUs continue to receive dividend equivalents. Deferred RSUs do not have any voting rights until converted into Common Stock. Deferred RSUs are converted into Company Common Stock upon the expiration of 90 days following termination of Board service.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B5A89"/>
        </w:rPr>
        <w:t>DIRECTOR COMPENSATION FOR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2340" w:type="dxa"/>
            <w:vAlign w:val="bottom"/>
          </w:tcPr>
          <w:p>
            <w:pPr>
              <w:jc w:val="center"/>
              <w:ind w:left="721"/>
              <w:spacing w:after="0"/>
              <w:rPr>
                <w:sz w:val="20"/>
                <w:szCs w:val="20"/>
                <w:color w:val="auto"/>
              </w:rPr>
            </w:pPr>
            <w:r>
              <w:rPr>
                <w:rFonts w:ascii="Arial" w:cs="Arial" w:eastAsia="Arial" w:hAnsi="Arial"/>
                <w:sz w:val="14"/>
                <w:szCs w:val="14"/>
                <w:b w:val="1"/>
                <w:bCs w:val="1"/>
                <w:color w:val="auto"/>
              </w:rPr>
              <w:t>Fees Earned</w:t>
            </w:r>
          </w:p>
        </w:tc>
        <w:tc>
          <w:tcPr>
            <w:tcW w:w="1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000" w:type="dxa"/>
            <w:vAlign w:val="bottom"/>
          </w:tcPr>
          <w:p>
            <w:pPr>
              <w:spacing w:after="0"/>
              <w:rPr>
                <w:sz w:val="14"/>
                <w:szCs w:val="14"/>
                <w:color w:val="auto"/>
              </w:rPr>
            </w:pPr>
          </w:p>
        </w:tc>
        <w:tc>
          <w:tcPr>
            <w:tcW w:w="2340" w:type="dxa"/>
            <w:vAlign w:val="bottom"/>
          </w:tcPr>
          <w:p>
            <w:pPr>
              <w:jc w:val="center"/>
              <w:ind w:left="681"/>
              <w:spacing w:after="0"/>
              <w:rPr>
                <w:sz w:val="20"/>
                <w:szCs w:val="20"/>
                <w:color w:val="auto"/>
              </w:rPr>
            </w:pPr>
            <w:r>
              <w:rPr>
                <w:rFonts w:ascii="Arial" w:cs="Arial" w:eastAsia="Arial" w:hAnsi="Arial"/>
                <w:sz w:val="14"/>
                <w:szCs w:val="14"/>
                <w:b w:val="1"/>
                <w:bCs w:val="1"/>
                <w:color w:val="auto"/>
                <w:w w:val="99"/>
              </w:rPr>
              <w:t>or</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960" w:type="dxa"/>
            <w:vAlign w:val="bottom"/>
          </w:tcPr>
          <w:p>
            <w:pPr>
              <w:spacing w:after="0"/>
              <w:rPr>
                <w:sz w:val="14"/>
                <w:szCs w:val="14"/>
                <w:color w:val="auto"/>
              </w:rPr>
            </w:pPr>
          </w:p>
        </w:tc>
      </w:tr>
      <w:tr>
        <w:trPr>
          <w:trHeight w:val="159"/>
        </w:trPr>
        <w:tc>
          <w:tcPr>
            <w:tcW w:w="3000" w:type="dxa"/>
            <w:vAlign w:val="bottom"/>
          </w:tcPr>
          <w:p>
            <w:pPr>
              <w:spacing w:after="0"/>
              <w:rPr>
                <w:sz w:val="13"/>
                <w:szCs w:val="13"/>
                <w:color w:val="auto"/>
              </w:rPr>
            </w:pPr>
          </w:p>
        </w:tc>
        <w:tc>
          <w:tcPr>
            <w:tcW w:w="2340" w:type="dxa"/>
            <w:vAlign w:val="bottom"/>
          </w:tcPr>
          <w:p>
            <w:pPr>
              <w:jc w:val="center"/>
              <w:ind w:left="681"/>
              <w:spacing w:after="0" w:line="159" w:lineRule="exact"/>
              <w:rPr>
                <w:sz w:val="20"/>
                <w:szCs w:val="20"/>
                <w:color w:val="auto"/>
              </w:rPr>
            </w:pPr>
            <w:r>
              <w:rPr>
                <w:rFonts w:ascii="Arial" w:cs="Arial" w:eastAsia="Arial" w:hAnsi="Arial"/>
                <w:sz w:val="14"/>
                <w:szCs w:val="14"/>
                <w:b w:val="1"/>
                <w:bCs w:val="1"/>
                <w:color w:val="auto"/>
              </w:rPr>
              <w:t>Paid in Cash</w:t>
            </w:r>
          </w:p>
        </w:tc>
        <w:tc>
          <w:tcPr>
            <w:tcW w:w="12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Awards</w:t>
            </w:r>
          </w:p>
        </w:tc>
        <w:tc>
          <w:tcPr>
            <w:tcW w:w="16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Compensation</w:t>
            </w:r>
          </w:p>
        </w:tc>
        <w:tc>
          <w:tcPr>
            <w:tcW w:w="960" w:type="dxa"/>
            <w:vAlign w:val="bottom"/>
          </w:tcPr>
          <w:p>
            <w:pPr>
              <w:spacing w:after="0"/>
              <w:rPr>
                <w:sz w:val="13"/>
                <w:szCs w:val="13"/>
                <w:color w:val="auto"/>
              </w:rPr>
            </w:pPr>
          </w:p>
        </w:tc>
      </w:tr>
      <w:tr>
        <w:trPr>
          <w:trHeight w:val="282"/>
        </w:trPr>
        <w:tc>
          <w:tcPr>
            <w:tcW w:w="3000" w:type="dxa"/>
            <w:vAlign w:val="bottom"/>
            <w:tcBorders>
              <w:bottom w:val="single" w:sz="8" w:color="0072AF"/>
            </w:tcBorders>
          </w:tcPr>
          <w:p>
            <w:pPr>
              <w:spacing w:after="0"/>
              <w:rPr>
                <w:sz w:val="20"/>
                <w:szCs w:val="20"/>
                <w:color w:val="auto"/>
              </w:rPr>
            </w:pPr>
            <w:r>
              <w:rPr>
                <w:rFonts w:ascii="Arial" w:cs="Arial" w:eastAsia="Arial" w:hAnsi="Arial"/>
                <w:sz w:val="14"/>
                <w:szCs w:val="14"/>
                <w:b w:val="1"/>
                <w:bCs w:val="1"/>
                <w:color w:val="auto"/>
              </w:rPr>
              <w:t>Name</w:t>
            </w:r>
          </w:p>
        </w:tc>
        <w:tc>
          <w:tcPr>
            <w:tcW w:w="2340" w:type="dxa"/>
            <w:vAlign w:val="bottom"/>
            <w:tcBorders>
              <w:bottom w:val="single" w:sz="8" w:color="0072AF"/>
            </w:tcBorders>
          </w:tcPr>
          <w:p>
            <w:pPr>
              <w:jc w:val="center"/>
              <w:ind w:right="501"/>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(1)</w:t>
            </w:r>
          </w:p>
        </w:tc>
        <w:tc>
          <w:tcPr>
            <w:tcW w:w="1240" w:type="dxa"/>
            <w:vAlign w:val="bottom"/>
            <w:tcBorders>
              <w:bottom w:val="single" w:sz="8" w:color="0072AF"/>
            </w:tcBorders>
          </w:tcPr>
          <w:p>
            <w:pPr>
              <w:jc w:val="center"/>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(2)</w:t>
            </w:r>
          </w:p>
        </w:tc>
        <w:tc>
          <w:tcPr>
            <w:tcW w:w="1640" w:type="dxa"/>
            <w:vAlign w:val="bottom"/>
            <w:tcBorders>
              <w:bottom w:val="single" w:sz="8" w:color="0072AF"/>
            </w:tcBorders>
          </w:tcPr>
          <w:p>
            <w:pPr>
              <w:jc w:val="center"/>
              <w:ind w:right="561"/>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(3)</w:t>
            </w:r>
          </w:p>
        </w:tc>
        <w:tc>
          <w:tcPr>
            <w:tcW w:w="960" w:type="dxa"/>
            <w:vAlign w:val="bottom"/>
            <w:tcBorders>
              <w:bottom w:val="single" w:sz="8" w:color="0072AF"/>
            </w:tcBorders>
          </w:tcPr>
          <w:p>
            <w:pPr>
              <w:jc w:val="center"/>
              <w:ind w:left="240"/>
              <w:spacing w:after="0"/>
              <w:rPr>
                <w:sz w:val="20"/>
                <w:szCs w:val="20"/>
                <w:color w:val="auto"/>
              </w:rPr>
            </w:pPr>
            <w:r>
              <w:rPr>
                <w:rFonts w:ascii="Arial" w:cs="Arial" w:eastAsia="Arial" w:hAnsi="Arial"/>
                <w:sz w:val="14"/>
                <w:szCs w:val="14"/>
                <w:b w:val="1"/>
                <w:bCs w:val="1"/>
                <w:color w:val="auto"/>
              </w:rPr>
              <w:t>Total ($)</w:t>
            </w:r>
          </w:p>
        </w:tc>
      </w:tr>
      <w:tr>
        <w:trPr>
          <w:trHeight w:val="275"/>
        </w:trPr>
        <w:tc>
          <w:tcPr>
            <w:tcW w:w="3000" w:type="dxa"/>
            <w:vAlign w:val="bottom"/>
          </w:tcPr>
          <w:p>
            <w:pPr>
              <w:ind w:left="100"/>
              <w:spacing w:after="0"/>
              <w:rPr>
                <w:sz w:val="20"/>
                <w:szCs w:val="20"/>
                <w:color w:val="auto"/>
              </w:rPr>
            </w:pPr>
            <w:r>
              <w:rPr>
                <w:rFonts w:ascii="Arial" w:cs="Arial" w:eastAsia="Arial" w:hAnsi="Arial"/>
                <w:sz w:val="16"/>
                <w:szCs w:val="16"/>
                <w:color w:val="auto"/>
              </w:rPr>
              <w:t>Milena Alberti-Perez</w:t>
            </w:r>
          </w:p>
        </w:tc>
        <w:tc>
          <w:tcPr>
            <w:tcW w:w="2340" w:type="dxa"/>
            <w:vAlign w:val="bottom"/>
          </w:tcPr>
          <w:p>
            <w:pPr>
              <w:jc w:val="right"/>
              <w:ind w:right="381"/>
              <w:spacing w:after="0"/>
              <w:rPr>
                <w:sz w:val="20"/>
                <w:szCs w:val="20"/>
                <w:color w:val="auto"/>
              </w:rPr>
            </w:pPr>
            <w:r>
              <w:rPr>
                <w:rFonts w:ascii="Arial" w:cs="Arial" w:eastAsia="Arial" w:hAnsi="Arial"/>
                <w:sz w:val="16"/>
                <w:szCs w:val="16"/>
                <w:color w:val="auto"/>
              </w:rPr>
              <w:t>65,975</w:t>
            </w:r>
          </w:p>
        </w:tc>
        <w:tc>
          <w:tcPr>
            <w:tcW w:w="1240" w:type="dxa"/>
            <w:vAlign w:val="bottom"/>
          </w:tcPr>
          <w:p>
            <w:pPr>
              <w:jc w:val="center"/>
              <w:spacing w:after="0"/>
              <w:rPr>
                <w:sz w:val="20"/>
                <w:szCs w:val="20"/>
                <w:color w:val="auto"/>
              </w:rPr>
            </w:pPr>
            <w:r>
              <w:rPr>
                <w:rFonts w:ascii="Arial" w:cs="Arial" w:eastAsia="Arial" w:hAnsi="Arial"/>
                <w:sz w:val="16"/>
                <w:szCs w:val="16"/>
                <w:color w:val="auto"/>
              </w:rPr>
              <w:t>100,000</w:t>
            </w:r>
          </w:p>
        </w:tc>
        <w:tc>
          <w:tcPr>
            <w:tcW w:w="1640" w:type="dxa"/>
            <w:vAlign w:val="bottom"/>
          </w:tcPr>
          <w:p>
            <w:pPr>
              <w:jc w:val="right"/>
              <w:ind w:right="521"/>
              <w:spacing w:after="0"/>
              <w:rPr>
                <w:sz w:val="20"/>
                <w:szCs w:val="20"/>
                <w:color w:val="auto"/>
              </w:rPr>
            </w:pPr>
            <w:r>
              <w:rPr>
                <w:rFonts w:ascii="Arial" w:cs="Arial" w:eastAsia="Arial" w:hAnsi="Arial"/>
                <w:sz w:val="16"/>
                <w:szCs w:val="16"/>
                <w:color w:val="auto"/>
              </w:rPr>
              <w:t>4,615</w:t>
            </w:r>
          </w:p>
        </w:tc>
        <w:tc>
          <w:tcPr>
            <w:tcW w:w="960" w:type="dxa"/>
            <w:vAlign w:val="bottom"/>
          </w:tcPr>
          <w:p>
            <w:pPr>
              <w:jc w:val="center"/>
              <w:ind w:left="220"/>
              <w:spacing w:after="0"/>
              <w:rPr>
                <w:sz w:val="20"/>
                <w:szCs w:val="20"/>
                <w:color w:val="auto"/>
              </w:rPr>
            </w:pPr>
            <w:r>
              <w:rPr>
                <w:rFonts w:ascii="Arial" w:cs="Arial" w:eastAsia="Arial" w:hAnsi="Arial"/>
                <w:sz w:val="16"/>
                <w:szCs w:val="16"/>
                <w:color w:val="auto"/>
              </w:rPr>
              <w:t>170,591</w:t>
            </w:r>
          </w:p>
        </w:tc>
      </w:tr>
      <w:tr>
        <w:trPr>
          <w:trHeight w:val="56"/>
        </w:trPr>
        <w:tc>
          <w:tcPr>
            <w:tcW w:w="30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304"/>
        </w:trPr>
        <w:tc>
          <w:tcPr>
            <w:tcW w:w="3000" w:type="dxa"/>
            <w:vAlign w:val="bottom"/>
            <w:tcBorders>
              <w:bottom w:val="single" w:sz="8" w:color="CBCEE0"/>
            </w:tcBorders>
            <w:shd w:val="clear" w:color="auto" w:fill="CBCEE0"/>
          </w:tcPr>
          <w:p>
            <w:pPr>
              <w:ind w:left="100"/>
              <w:spacing w:after="0"/>
              <w:rPr>
                <w:sz w:val="20"/>
                <w:szCs w:val="20"/>
                <w:color w:val="auto"/>
              </w:rPr>
            </w:pPr>
            <w:r>
              <w:rPr>
                <w:rFonts w:ascii="Arial" w:cs="Arial" w:eastAsia="Arial" w:hAnsi="Arial"/>
                <w:sz w:val="16"/>
                <w:szCs w:val="16"/>
                <w:color w:val="auto"/>
              </w:rPr>
              <w:t>Steven D. Brill</w:t>
            </w:r>
          </w:p>
        </w:tc>
        <w:tc>
          <w:tcPr>
            <w:tcW w:w="2340" w:type="dxa"/>
            <w:vAlign w:val="bottom"/>
            <w:tcBorders>
              <w:bottom w:val="single" w:sz="8" w:color="CBCEE0"/>
            </w:tcBorders>
            <w:shd w:val="clear" w:color="auto" w:fill="CBCEE0"/>
          </w:tcPr>
          <w:p>
            <w:pPr>
              <w:jc w:val="right"/>
              <w:ind w:right="381"/>
              <w:spacing w:after="0"/>
              <w:rPr>
                <w:sz w:val="20"/>
                <w:szCs w:val="20"/>
                <w:color w:val="auto"/>
              </w:rPr>
            </w:pPr>
            <w:r>
              <w:rPr>
                <w:rFonts w:ascii="Arial" w:cs="Arial" w:eastAsia="Arial" w:hAnsi="Arial"/>
                <w:sz w:val="16"/>
                <w:szCs w:val="16"/>
                <w:color w:val="auto"/>
              </w:rPr>
              <w:t>79,013</w:t>
            </w:r>
          </w:p>
        </w:tc>
        <w:tc>
          <w:tcPr>
            <w:tcW w:w="124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6"/>
                <w:szCs w:val="16"/>
                <w:color w:val="auto"/>
              </w:rPr>
              <w:t>116,986</w:t>
            </w:r>
          </w:p>
        </w:tc>
        <w:tc>
          <w:tcPr>
            <w:tcW w:w="1640" w:type="dxa"/>
            <w:vAlign w:val="bottom"/>
            <w:tcBorders>
              <w:bottom w:val="single" w:sz="8" w:color="CBCEE0"/>
            </w:tcBorders>
            <w:shd w:val="clear" w:color="auto" w:fill="CBCEE0"/>
          </w:tcPr>
          <w:p>
            <w:pPr>
              <w:jc w:val="right"/>
              <w:ind w:right="521"/>
              <w:spacing w:after="0"/>
              <w:rPr>
                <w:sz w:val="20"/>
                <w:szCs w:val="20"/>
                <w:color w:val="auto"/>
              </w:rPr>
            </w:pPr>
            <w:r>
              <w:rPr>
                <w:rFonts w:ascii="Arial" w:cs="Arial" w:eastAsia="Arial" w:hAnsi="Arial"/>
                <w:sz w:val="16"/>
                <w:szCs w:val="16"/>
                <w:color w:val="auto"/>
              </w:rPr>
              <w:t>5,174</w:t>
            </w:r>
          </w:p>
        </w:tc>
        <w:tc>
          <w:tcPr>
            <w:tcW w:w="960" w:type="dxa"/>
            <w:vAlign w:val="bottom"/>
            <w:tcBorders>
              <w:bottom w:val="single" w:sz="8" w:color="CBCEE0"/>
            </w:tcBorders>
            <w:shd w:val="clear" w:color="auto" w:fill="CBCEE0"/>
          </w:tcPr>
          <w:p>
            <w:pPr>
              <w:jc w:val="center"/>
              <w:ind w:left="220"/>
              <w:spacing w:after="0"/>
              <w:rPr>
                <w:sz w:val="20"/>
                <w:szCs w:val="20"/>
                <w:color w:val="auto"/>
              </w:rPr>
            </w:pPr>
            <w:r>
              <w:rPr>
                <w:rFonts w:ascii="Arial" w:cs="Arial" w:eastAsia="Arial" w:hAnsi="Arial"/>
                <w:sz w:val="16"/>
                <w:szCs w:val="16"/>
                <w:color w:val="auto"/>
              </w:rPr>
              <w:t>201,173</w:t>
            </w:r>
          </w:p>
        </w:tc>
      </w:tr>
      <w:tr>
        <w:trPr>
          <w:trHeight w:val="365"/>
        </w:trPr>
        <w:tc>
          <w:tcPr>
            <w:tcW w:w="3000" w:type="dxa"/>
            <w:vAlign w:val="bottom"/>
          </w:tcPr>
          <w:p>
            <w:pPr>
              <w:ind w:left="100"/>
              <w:spacing w:after="0"/>
              <w:rPr>
                <w:sz w:val="20"/>
                <w:szCs w:val="20"/>
                <w:color w:val="auto"/>
              </w:rPr>
            </w:pPr>
            <w:r>
              <w:rPr>
                <w:rFonts w:ascii="Arial" w:cs="Arial" w:eastAsia="Arial" w:hAnsi="Arial"/>
                <w:sz w:val="16"/>
                <w:szCs w:val="16"/>
                <w:color w:val="auto"/>
              </w:rPr>
              <w:t>Anne M. Busquet</w:t>
            </w:r>
            <w:r>
              <w:rPr>
                <w:rFonts w:ascii="Arial" w:cs="Arial" w:eastAsia="Arial" w:hAnsi="Arial"/>
                <w:sz w:val="26"/>
                <w:szCs w:val="26"/>
                <w:color w:val="auto"/>
                <w:vertAlign w:val="superscript"/>
              </w:rPr>
              <w:t>(4)</w:t>
            </w:r>
          </w:p>
        </w:tc>
        <w:tc>
          <w:tcPr>
            <w:tcW w:w="2340" w:type="dxa"/>
            <w:vAlign w:val="bottom"/>
          </w:tcPr>
          <w:p>
            <w:pPr>
              <w:jc w:val="right"/>
              <w:ind w:right="381"/>
              <w:spacing w:after="0"/>
              <w:rPr>
                <w:sz w:val="20"/>
                <w:szCs w:val="20"/>
                <w:color w:val="auto"/>
              </w:rPr>
            </w:pPr>
            <w:r>
              <w:rPr>
                <w:rFonts w:ascii="Arial" w:cs="Arial" w:eastAsia="Arial" w:hAnsi="Arial"/>
                <w:sz w:val="16"/>
                <w:szCs w:val="16"/>
                <w:color w:val="auto"/>
              </w:rPr>
              <w:t>36,964</w:t>
            </w:r>
          </w:p>
        </w:tc>
        <w:tc>
          <w:tcPr>
            <w:tcW w:w="1240" w:type="dxa"/>
            <w:vAlign w:val="bottom"/>
          </w:tcPr>
          <w:p>
            <w:pPr>
              <w:jc w:val="center"/>
              <w:spacing w:after="0"/>
              <w:rPr>
                <w:sz w:val="20"/>
                <w:szCs w:val="20"/>
                <w:color w:val="auto"/>
              </w:rPr>
            </w:pPr>
            <w:r>
              <w:rPr>
                <w:rFonts w:ascii="Arial" w:cs="Arial" w:eastAsia="Arial" w:hAnsi="Arial"/>
                <w:sz w:val="16"/>
                <w:szCs w:val="16"/>
                <w:color w:val="auto"/>
              </w:rPr>
              <w:t>0</w:t>
            </w:r>
          </w:p>
        </w:tc>
        <w:tc>
          <w:tcPr>
            <w:tcW w:w="1640" w:type="dxa"/>
            <w:vAlign w:val="bottom"/>
          </w:tcPr>
          <w:p>
            <w:pPr>
              <w:jc w:val="right"/>
              <w:ind w:right="521"/>
              <w:spacing w:after="0"/>
              <w:rPr>
                <w:sz w:val="20"/>
                <w:szCs w:val="20"/>
                <w:color w:val="auto"/>
              </w:rPr>
            </w:pPr>
            <w:r>
              <w:rPr>
                <w:rFonts w:ascii="Arial" w:cs="Arial" w:eastAsia="Arial" w:hAnsi="Arial"/>
                <w:sz w:val="16"/>
                <w:szCs w:val="16"/>
                <w:color w:val="auto"/>
              </w:rPr>
              <w:t>1,979</w:t>
            </w:r>
          </w:p>
        </w:tc>
        <w:tc>
          <w:tcPr>
            <w:tcW w:w="960" w:type="dxa"/>
            <w:vAlign w:val="bottom"/>
          </w:tcPr>
          <w:p>
            <w:pPr>
              <w:jc w:val="center"/>
              <w:ind w:left="280"/>
              <w:spacing w:after="0"/>
              <w:rPr>
                <w:sz w:val="20"/>
                <w:szCs w:val="20"/>
                <w:color w:val="auto"/>
              </w:rPr>
            </w:pPr>
            <w:r>
              <w:rPr>
                <w:rFonts w:ascii="Arial" w:cs="Arial" w:eastAsia="Arial" w:hAnsi="Arial"/>
                <w:sz w:val="16"/>
                <w:szCs w:val="16"/>
                <w:color w:val="auto"/>
                <w:w w:val="98"/>
              </w:rPr>
              <w:t>38,943</w:t>
            </w:r>
          </w:p>
        </w:tc>
      </w:tr>
      <w:tr>
        <w:trPr>
          <w:trHeight w:val="364"/>
        </w:trPr>
        <w:tc>
          <w:tcPr>
            <w:tcW w:w="3000" w:type="dxa"/>
            <w:vAlign w:val="bottom"/>
            <w:shd w:val="clear" w:color="auto" w:fill="CBCEE0"/>
          </w:tcPr>
          <w:p>
            <w:pPr>
              <w:ind w:left="100"/>
              <w:spacing w:after="0"/>
              <w:rPr>
                <w:sz w:val="20"/>
                <w:szCs w:val="20"/>
                <w:color w:val="auto"/>
              </w:rPr>
            </w:pPr>
            <w:r>
              <w:rPr>
                <w:rFonts w:ascii="Arial" w:cs="Arial" w:eastAsia="Arial" w:hAnsi="Arial"/>
                <w:sz w:val="16"/>
                <w:szCs w:val="16"/>
                <w:color w:val="auto"/>
              </w:rPr>
              <w:t>Robert M. Dutkowsky</w:t>
            </w:r>
            <w:r>
              <w:rPr>
                <w:rFonts w:ascii="Arial" w:cs="Arial" w:eastAsia="Arial" w:hAnsi="Arial"/>
                <w:sz w:val="26"/>
                <w:szCs w:val="26"/>
                <w:color w:val="auto"/>
                <w:vertAlign w:val="superscript"/>
              </w:rPr>
              <w:t>(4)</w:t>
            </w:r>
          </w:p>
        </w:tc>
        <w:tc>
          <w:tcPr>
            <w:tcW w:w="2340" w:type="dxa"/>
            <w:vAlign w:val="bottom"/>
            <w:shd w:val="clear" w:color="auto" w:fill="CBCEE0"/>
          </w:tcPr>
          <w:p>
            <w:pPr>
              <w:jc w:val="right"/>
              <w:ind w:right="381"/>
              <w:spacing w:after="0"/>
              <w:rPr>
                <w:sz w:val="20"/>
                <w:szCs w:val="20"/>
                <w:color w:val="auto"/>
              </w:rPr>
            </w:pPr>
            <w:r>
              <w:rPr>
                <w:rFonts w:ascii="Arial" w:cs="Arial" w:eastAsia="Arial" w:hAnsi="Arial"/>
                <w:sz w:val="16"/>
                <w:szCs w:val="16"/>
                <w:color w:val="auto"/>
              </w:rPr>
              <w:t>53,075</w:t>
            </w:r>
          </w:p>
        </w:tc>
        <w:tc>
          <w:tcPr>
            <w:tcW w:w="1240" w:type="dxa"/>
            <w:vAlign w:val="bottom"/>
            <w:shd w:val="clear" w:color="auto" w:fill="CBCEE0"/>
          </w:tcPr>
          <w:p>
            <w:pPr>
              <w:jc w:val="center"/>
              <w:spacing w:after="0"/>
              <w:rPr>
                <w:sz w:val="20"/>
                <w:szCs w:val="20"/>
                <w:color w:val="auto"/>
              </w:rPr>
            </w:pPr>
            <w:r>
              <w:rPr>
                <w:rFonts w:ascii="Arial" w:cs="Arial" w:eastAsia="Arial" w:hAnsi="Arial"/>
                <w:sz w:val="16"/>
                <w:szCs w:val="16"/>
                <w:color w:val="auto"/>
              </w:rPr>
              <w:t>0</w:t>
            </w:r>
          </w:p>
        </w:tc>
        <w:tc>
          <w:tcPr>
            <w:tcW w:w="1640" w:type="dxa"/>
            <w:vAlign w:val="bottom"/>
            <w:shd w:val="clear" w:color="auto" w:fill="CBCEE0"/>
          </w:tcPr>
          <w:p>
            <w:pPr>
              <w:jc w:val="right"/>
              <w:ind w:right="541"/>
              <w:spacing w:after="0"/>
              <w:rPr>
                <w:sz w:val="20"/>
                <w:szCs w:val="20"/>
                <w:color w:val="auto"/>
              </w:rPr>
            </w:pPr>
            <w:r>
              <w:rPr>
                <w:rFonts w:ascii="Arial" w:cs="Arial" w:eastAsia="Arial" w:hAnsi="Arial"/>
                <w:sz w:val="16"/>
                <w:szCs w:val="16"/>
                <w:color w:val="auto"/>
              </w:rPr>
              <w:t>990</w:t>
            </w:r>
          </w:p>
        </w:tc>
        <w:tc>
          <w:tcPr>
            <w:tcW w:w="960" w:type="dxa"/>
            <w:vAlign w:val="bottom"/>
            <w:shd w:val="clear" w:color="auto" w:fill="CBCEE0"/>
          </w:tcPr>
          <w:p>
            <w:pPr>
              <w:jc w:val="center"/>
              <w:ind w:left="280"/>
              <w:spacing w:after="0"/>
              <w:rPr>
                <w:sz w:val="20"/>
                <w:szCs w:val="20"/>
                <w:color w:val="auto"/>
              </w:rPr>
            </w:pPr>
            <w:r>
              <w:rPr>
                <w:rFonts w:ascii="Arial" w:cs="Arial" w:eastAsia="Arial" w:hAnsi="Arial"/>
                <w:sz w:val="16"/>
                <w:szCs w:val="16"/>
                <w:color w:val="auto"/>
                <w:w w:val="98"/>
              </w:rPr>
              <w:t>54,066</w:t>
            </w:r>
          </w:p>
        </w:tc>
      </w:tr>
      <w:tr>
        <w:trPr>
          <w:trHeight w:val="268"/>
        </w:trPr>
        <w:tc>
          <w:tcPr>
            <w:tcW w:w="3000" w:type="dxa"/>
            <w:vAlign w:val="bottom"/>
          </w:tcPr>
          <w:p>
            <w:pPr>
              <w:ind w:left="100"/>
              <w:spacing w:after="0"/>
              <w:rPr>
                <w:sz w:val="20"/>
                <w:szCs w:val="20"/>
                <w:color w:val="auto"/>
              </w:rPr>
            </w:pPr>
            <w:r>
              <w:rPr>
                <w:rFonts w:ascii="Arial" w:cs="Arial" w:eastAsia="Arial" w:hAnsi="Arial"/>
                <w:sz w:val="16"/>
                <w:szCs w:val="16"/>
                <w:color w:val="auto"/>
              </w:rPr>
              <w:t>Todd Everett</w:t>
            </w:r>
          </w:p>
        </w:tc>
        <w:tc>
          <w:tcPr>
            <w:tcW w:w="2340" w:type="dxa"/>
            <w:vAlign w:val="bottom"/>
          </w:tcPr>
          <w:p>
            <w:pPr>
              <w:jc w:val="right"/>
              <w:ind w:right="381"/>
              <w:spacing w:after="0"/>
              <w:rPr>
                <w:sz w:val="20"/>
                <w:szCs w:val="20"/>
                <w:color w:val="auto"/>
              </w:rPr>
            </w:pPr>
            <w:r>
              <w:rPr>
                <w:rFonts w:ascii="Arial" w:cs="Arial" w:eastAsia="Arial" w:hAnsi="Arial"/>
                <w:sz w:val="16"/>
                <w:szCs w:val="16"/>
                <w:color w:val="auto"/>
              </w:rPr>
              <w:t>58,953</w:t>
            </w:r>
          </w:p>
        </w:tc>
        <w:tc>
          <w:tcPr>
            <w:tcW w:w="1240" w:type="dxa"/>
            <w:vAlign w:val="bottom"/>
          </w:tcPr>
          <w:p>
            <w:pPr>
              <w:jc w:val="center"/>
              <w:spacing w:after="0"/>
              <w:rPr>
                <w:sz w:val="20"/>
                <w:szCs w:val="20"/>
                <w:color w:val="auto"/>
              </w:rPr>
            </w:pPr>
            <w:r>
              <w:rPr>
                <w:rFonts w:ascii="Arial" w:cs="Arial" w:eastAsia="Arial" w:hAnsi="Arial"/>
                <w:sz w:val="16"/>
                <w:szCs w:val="16"/>
                <w:color w:val="auto"/>
              </w:rPr>
              <w:t>100,000</w:t>
            </w:r>
          </w:p>
        </w:tc>
        <w:tc>
          <w:tcPr>
            <w:tcW w:w="1640" w:type="dxa"/>
            <w:vAlign w:val="bottom"/>
          </w:tcPr>
          <w:p>
            <w:pPr>
              <w:jc w:val="right"/>
              <w:ind w:right="521"/>
              <w:spacing w:after="0"/>
              <w:rPr>
                <w:sz w:val="20"/>
                <w:szCs w:val="20"/>
                <w:color w:val="auto"/>
              </w:rPr>
            </w:pPr>
            <w:r>
              <w:rPr>
                <w:rFonts w:ascii="Arial" w:cs="Arial" w:eastAsia="Arial" w:hAnsi="Arial"/>
                <w:sz w:val="16"/>
                <w:szCs w:val="16"/>
                <w:color w:val="auto"/>
              </w:rPr>
              <w:t>4,615</w:t>
            </w:r>
          </w:p>
        </w:tc>
        <w:tc>
          <w:tcPr>
            <w:tcW w:w="960" w:type="dxa"/>
            <w:vAlign w:val="bottom"/>
          </w:tcPr>
          <w:p>
            <w:pPr>
              <w:jc w:val="center"/>
              <w:ind w:left="220"/>
              <w:spacing w:after="0"/>
              <w:rPr>
                <w:sz w:val="20"/>
                <w:szCs w:val="20"/>
                <w:color w:val="auto"/>
              </w:rPr>
            </w:pPr>
            <w:r>
              <w:rPr>
                <w:rFonts w:ascii="Arial" w:cs="Arial" w:eastAsia="Arial" w:hAnsi="Arial"/>
                <w:sz w:val="16"/>
                <w:szCs w:val="16"/>
                <w:color w:val="auto"/>
              </w:rPr>
              <w:t>163,569</w:t>
            </w:r>
          </w:p>
        </w:tc>
      </w:tr>
      <w:tr>
        <w:trPr>
          <w:trHeight w:val="56"/>
        </w:trPr>
        <w:tc>
          <w:tcPr>
            <w:tcW w:w="30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304"/>
        </w:trPr>
        <w:tc>
          <w:tcPr>
            <w:tcW w:w="3000" w:type="dxa"/>
            <w:vAlign w:val="bottom"/>
            <w:tcBorders>
              <w:bottom w:val="single" w:sz="8" w:color="CBCEE0"/>
            </w:tcBorders>
            <w:shd w:val="clear" w:color="auto" w:fill="CBCEE0"/>
          </w:tcPr>
          <w:p>
            <w:pPr>
              <w:ind w:left="100"/>
              <w:spacing w:after="0"/>
              <w:rPr>
                <w:sz w:val="20"/>
                <w:szCs w:val="20"/>
                <w:color w:val="auto"/>
              </w:rPr>
            </w:pPr>
            <w:r>
              <w:rPr>
                <w:rFonts w:ascii="Arial" w:cs="Arial" w:eastAsia="Arial" w:hAnsi="Arial"/>
                <w:sz w:val="16"/>
                <w:szCs w:val="16"/>
                <w:color w:val="auto"/>
              </w:rPr>
              <w:t>Katie May</w:t>
            </w:r>
          </w:p>
        </w:tc>
        <w:tc>
          <w:tcPr>
            <w:tcW w:w="2340" w:type="dxa"/>
            <w:vAlign w:val="bottom"/>
            <w:tcBorders>
              <w:bottom w:val="single" w:sz="8" w:color="CBCEE0"/>
            </w:tcBorders>
            <w:shd w:val="clear" w:color="auto" w:fill="CBCEE0"/>
          </w:tcPr>
          <w:p>
            <w:pPr>
              <w:jc w:val="right"/>
              <w:ind w:right="381"/>
              <w:spacing w:after="0"/>
              <w:rPr>
                <w:sz w:val="20"/>
                <w:szCs w:val="20"/>
                <w:color w:val="auto"/>
              </w:rPr>
            </w:pPr>
            <w:r>
              <w:rPr>
                <w:rFonts w:ascii="Arial" w:cs="Arial" w:eastAsia="Arial" w:hAnsi="Arial"/>
                <w:sz w:val="16"/>
                <w:szCs w:val="16"/>
                <w:color w:val="auto"/>
              </w:rPr>
              <w:t>65,098</w:t>
            </w:r>
          </w:p>
        </w:tc>
        <w:tc>
          <w:tcPr>
            <w:tcW w:w="124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6"/>
                <w:szCs w:val="16"/>
                <w:color w:val="auto"/>
              </w:rPr>
              <w:t>100,000</w:t>
            </w:r>
          </w:p>
        </w:tc>
        <w:tc>
          <w:tcPr>
            <w:tcW w:w="1640" w:type="dxa"/>
            <w:vAlign w:val="bottom"/>
            <w:tcBorders>
              <w:bottom w:val="single" w:sz="8" w:color="CBCEE0"/>
            </w:tcBorders>
            <w:shd w:val="clear" w:color="auto" w:fill="CBCEE0"/>
          </w:tcPr>
          <w:p>
            <w:pPr>
              <w:jc w:val="right"/>
              <w:ind w:right="521"/>
              <w:spacing w:after="0"/>
              <w:rPr>
                <w:sz w:val="20"/>
                <w:szCs w:val="20"/>
                <w:color w:val="auto"/>
              </w:rPr>
            </w:pPr>
            <w:r>
              <w:rPr>
                <w:rFonts w:ascii="Arial" w:cs="Arial" w:eastAsia="Arial" w:hAnsi="Arial"/>
                <w:sz w:val="16"/>
                <w:szCs w:val="16"/>
                <w:color w:val="auto"/>
              </w:rPr>
              <w:t>4,615</w:t>
            </w:r>
          </w:p>
        </w:tc>
        <w:tc>
          <w:tcPr>
            <w:tcW w:w="960" w:type="dxa"/>
            <w:vAlign w:val="bottom"/>
            <w:tcBorders>
              <w:bottom w:val="single" w:sz="8" w:color="CBCEE0"/>
            </w:tcBorders>
            <w:shd w:val="clear" w:color="auto" w:fill="CBCEE0"/>
          </w:tcPr>
          <w:p>
            <w:pPr>
              <w:jc w:val="center"/>
              <w:ind w:left="220"/>
              <w:spacing w:after="0"/>
              <w:rPr>
                <w:sz w:val="20"/>
                <w:szCs w:val="20"/>
                <w:color w:val="auto"/>
              </w:rPr>
            </w:pPr>
            <w:r>
              <w:rPr>
                <w:rFonts w:ascii="Arial" w:cs="Arial" w:eastAsia="Arial" w:hAnsi="Arial"/>
                <w:sz w:val="16"/>
                <w:szCs w:val="16"/>
                <w:color w:val="auto"/>
              </w:rPr>
              <w:t>169,713</w:t>
            </w:r>
          </w:p>
        </w:tc>
      </w:tr>
      <w:tr>
        <w:trPr>
          <w:trHeight w:val="268"/>
        </w:trPr>
        <w:tc>
          <w:tcPr>
            <w:tcW w:w="3000" w:type="dxa"/>
            <w:vAlign w:val="bottom"/>
          </w:tcPr>
          <w:p>
            <w:pPr>
              <w:ind w:left="100"/>
              <w:spacing w:after="0"/>
              <w:rPr>
                <w:sz w:val="20"/>
                <w:szCs w:val="20"/>
                <w:color w:val="auto"/>
              </w:rPr>
            </w:pPr>
            <w:r>
              <w:rPr>
                <w:rFonts w:ascii="Arial" w:cs="Arial" w:eastAsia="Arial" w:hAnsi="Arial"/>
                <w:sz w:val="16"/>
                <w:szCs w:val="16"/>
                <w:color w:val="auto"/>
              </w:rPr>
              <w:t>Sheila A. Stamps</w:t>
            </w:r>
          </w:p>
        </w:tc>
        <w:tc>
          <w:tcPr>
            <w:tcW w:w="2340" w:type="dxa"/>
            <w:vAlign w:val="bottom"/>
          </w:tcPr>
          <w:p>
            <w:pPr>
              <w:jc w:val="right"/>
              <w:ind w:right="381"/>
              <w:spacing w:after="0"/>
              <w:rPr>
                <w:sz w:val="20"/>
                <w:szCs w:val="20"/>
                <w:color w:val="auto"/>
              </w:rPr>
            </w:pPr>
            <w:r>
              <w:rPr>
                <w:rFonts w:ascii="Arial" w:cs="Arial" w:eastAsia="Arial" w:hAnsi="Arial"/>
                <w:sz w:val="16"/>
                <w:szCs w:val="16"/>
                <w:color w:val="auto"/>
              </w:rPr>
              <w:t>103,644</w:t>
            </w:r>
          </w:p>
        </w:tc>
        <w:tc>
          <w:tcPr>
            <w:tcW w:w="1240" w:type="dxa"/>
            <w:vAlign w:val="bottom"/>
          </w:tcPr>
          <w:p>
            <w:pPr>
              <w:jc w:val="center"/>
              <w:spacing w:after="0"/>
              <w:rPr>
                <w:sz w:val="20"/>
                <w:szCs w:val="20"/>
                <w:color w:val="auto"/>
              </w:rPr>
            </w:pPr>
            <w:r>
              <w:rPr>
                <w:rFonts w:ascii="Arial" w:cs="Arial" w:eastAsia="Arial" w:hAnsi="Arial"/>
                <w:sz w:val="16"/>
                <w:szCs w:val="16"/>
                <w:color w:val="auto"/>
              </w:rPr>
              <w:t>100,000</w:t>
            </w:r>
          </w:p>
        </w:tc>
        <w:tc>
          <w:tcPr>
            <w:tcW w:w="1640" w:type="dxa"/>
            <w:vAlign w:val="bottom"/>
          </w:tcPr>
          <w:p>
            <w:pPr>
              <w:jc w:val="right"/>
              <w:ind w:right="521"/>
              <w:spacing w:after="0"/>
              <w:rPr>
                <w:sz w:val="20"/>
                <w:szCs w:val="20"/>
                <w:color w:val="auto"/>
              </w:rPr>
            </w:pPr>
            <w:r>
              <w:rPr>
                <w:rFonts w:ascii="Arial" w:cs="Arial" w:eastAsia="Arial" w:hAnsi="Arial"/>
                <w:sz w:val="16"/>
                <w:szCs w:val="16"/>
                <w:color w:val="auto"/>
              </w:rPr>
              <w:t>8,576</w:t>
            </w:r>
          </w:p>
        </w:tc>
        <w:tc>
          <w:tcPr>
            <w:tcW w:w="960" w:type="dxa"/>
            <w:vAlign w:val="bottom"/>
          </w:tcPr>
          <w:p>
            <w:pPr>
              <w:jc w:val="center"/>
              <w:ind w:left="220"/>
              <w:spacing w:after="0"/>
              <w:rPr>
                <w:sz w:val="20"/>
                <w:szCs w:val="20"/>
                <w:color w:val="auto"/>
              </w:rPr>
            </w:pPr>
            <w:r>
              <w:rPr>
                <w:rFonts w:ascii="Arial" w:cs="Arial" w:eastAsia="Arial" w:hAnsi="Arial"/>
                <w:sz w:val="16"/>
                <w:szCs w:val="16"/>
                <w:color w:val="auto"/>
              </w:rPr>
              <w:t>212,220</w:t>
            </w:r>
          </w:p>
        </w:tc>
      </w:tr>
      <w:tr>
        <w:trPr>
          <w:trHeight w:val="56"/>
        </w:trPr>
        <w:tc>
          <w:tcPr>
            <w:tcW w:w="30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304"/>
        </w:trPr>
        <w:tc>
          <w:tcPr>
            <w:tcW w:w="3000" w:type="dxa"/>
            <w:vAlign w:val="bottom"/>
            <w:tcBorders>
              <w:bottom w:val="single" w:sz="8" w:color="CBCEE0"/>
            </w:tcBorders>
            <w:shd w:val="clear" w:color="auto" w:fill="CBCEE0"/>
          </w:tcPr>
          <w:p>
            <w:pPr>
              <w:ind w:left="100"/>
              <w:spacing w:after="0"/>
              <w:rPr>
                <w:sz w:val="20"/>
                <w:szCs w:val="20"/>
                <w:color w:val="auto"/>
              </w:rPr>
            </w:pPr>
            <w:r>
              <w:rPr>
                <w:rFonts w:ascii="Arial" w:cs="Arial" w:eastAsia="Arial" w:hAnsi="Arial"/>
                <w:sz w:val="16"/>
                <w:szCs w:val="16"/>
                <w:color w:val="auto"/>
              </w:rPr>
              <w:t>Mary J. Steele Guilfoile</w:t>
            </w:r>
          </w:p>
        </w:tc>
        <w:tc>
          <w:tcPr>
            <w:tcW w:w="2340" w:type="dxa"/>
            <w:vAlign w:val="bottom"/>
            <w:tcBorders>
              <w:bottom w:val="single" w:sz="8" w:color="CBCEE0"/>
            </w:tcBorders>
            <w:shd w:val="clear" w:color="auto" w:fill="CBCEE0"/>
          </w:tcPr>
          <w:p>
            <w:pPr>
              <w:jc w:val="right"/>
              <w:ind w:right="381"/>
              <w:spacing w:after="0"/>
              <w:rPr>
                <w:sz w:val="20"/>
                <w:szCs w:val="20"/>
                <w:color w:val="auto"/>
              </w:rPr>
            </w:pPr>
            <w:r>
              <w:rPr>
                <w:rFonts w:ascii="Arial" w:cs="Arial" w:eastAsia="Arial" w:hAnsi="Arial"/>
                <w:sz w:val="16"/>
                <w:szCs w:val="16"/>
                <w:color w:val="auto"/>
              </w:rPr>
              <w:t>147,527</w:t>
            </w:r>
          </w:p>
        </w:tc>
        <w:tc>
          <w:tcPr>
            <w:tcW w:w="124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6"/>
                <w:szCs w:val="16"/>
                <w:color w:val="auto"/>
              </w:rPr>
              <w:t>100,000</w:t>
            </w:r>
          </w:p>
        </w:tc>
        <w:tc>
          <w:tcPr>
            <w:tcW w:w="1640" w:type="dxa"/>
            <w:vAlign w:val="bottom"/>
            <w:tcBorders>
              <w:bottom w:val="single" w:sz="8" w:color="CBCEE0"/>
            </w:tcBorders>
            <w:shd w:val="clear" w:color="auto" w:fill="CBCEE0"/>
          </w:tcPr>
          <w:p>
            <w:pPr>
              <w:jc w:val="right"/>
              <w:ind w:right="521"/>
              <w:spacing w:after="0"/>
              <w:rPr>
                <w:sz w:val="20"/>
                <w:szCs w:val="20"/>
                <w:color w:val="auto"/>
              </w:rPr>
            </w:pPr>
            <w:r>
              <w:rPr>
                <w:rFonts w:ascii="Arial" w:cs="Arial" w:eastAsia="Arial" w:hAnsi="Arial"/>
                <w:sz w:val="16"/>
                <w:szCs w:val="16"/>
                <w:color w:val="auto"/>
              </w:rPr>
              <w:t>5,605</w:t>
            </w:r>
          </w:p>
        </w:tc>
        <w:tc>
          <w:tcPr>
            <w:tcW w:w="960" w:type="dxa"/>
            <w:vAlign w:val="bottom"/>
            <w:tcBorders>
              <w:bottom w:val="single" w:sz="8" w:color="CBCEE0"/>
            </w:tcBorders>
            <w:shd w:val="clear" w:color="auto" w:fill="CBCEE0"/>
          </w:tcPr>
          <w:p>
            <w:pPr>
              <w:jc w:val="center"/>
              <w:ind w:left="220"/>
              <w:spacing w:after="0"/>
              <w:rPr>
                <w:sz w:val="20"/>
                <w:szCs w:val="20"/>
                <w:color w:val="auto"/>
              </w:rPr>
            </w:pPr>
            <w:r>
              <w:rPr>
                <w:rFonts w:ascii="Arial" w:cs="Arial" w:eastAsia="Arial" w:hAnsi="Arial"/>
                <w:sz w:val="16"/>
                <w:szCs w:val="16"/>
                <w:color w:val="auto"/>
              </w:rPr>
              <w:t>253,133</w:t>
            </w:r>
          </w:p>
        </w:tc>
      </w:tr>
      <w:tr>
        <w:trPr>
          <w:trHeight w:val="365"/>
        </w:trPr>
        <w:tc>
          <w:tcPr>
            <w:tcW w:w="3000" w:type="dxa"/>
            <w:vAlign w:val="bottom"/>
          </w:tcPr>
          <w:p>
            <w:pPr>
              <w:ind w:left="100"/>
              <w:spacing w:after="0"/>
              <w:rPr>
                <w:sz w:val="20"/>
                <w:szCs w:val="20"/>
                <w:color w:val="auto"/>
              </w:rPr>
            </w:pPr>
            <w:r>
              <w:rPr>
                <w:rFonts w:ascii="Arial" w:cs="Arial" w:eastAsia="Arial" w:hAnsi="Arial"/>
                <w:sz w:val="16"/>
                <w:szCs w:val="16"/>
                <w:color w:val="auto"/>
              </w:rPr>
              <w:t>S. Douglas Hutcheson</w:t>
            </w:r>
            <w:r>
              <w:rPr>
                <w:rFonts w:ascii="Arial" w:cs="Arial" w:eastAsia="Arial" w:hAnsi="Arial"/>
                <w:sz w:val="26"/>
                <w:szCs w:val="26"/>
                <w:color w:val="auto"/>
                <w:vertAlign w:val="superscript"/>
              </w:rPr>
              <w:t>(4)</w:t>
            </w:r>
          </w:p>
        </w:tc>
        <w:tc>
          <w:tcPr>
            <w:tcW w:w="2340" w:type="dxa"/>
            <w:vAlign w:val="bottom"/>
          </w:tcPr>
          <w:p>
            <w:pPr>
              <w:jc w:val="right"/>
              <w:ind w:right="381"/>
              <w:spacing w:after="0"/>
              <w:rPr>
                <w:sz w:val="20"/>
                <w:szCs w:val="20"/>
                <w:color w:val="auto"/>
              </w:rPr>
            </w:pPr>
            <w:r>
              <w:rPr>
                <w:rFonts w:ascii="Arial" w:cs="Arial" w:eastAsia="Arial" w:hAnsi="Arial"/>
                <w:sz w:val="16"/>
                <w:szCs w:val="16"/>
                <w:color w:val="auto"/>
              </w:rPr>
              <w:t>36,429</w:t>
            </w:r>
          </w:p>
        </w:tc>
        <w:tc>
          <w:tcPr>
            <w:tcW w:w="1240" w:type="dxa"/>
            <w:vAlign w:val="bottom"/>
          </w:tcPr>
          <w:p>
            <w:pPr>
              <w:jc w:val="center"/>
              <w:spacing w:after="0"/>
              <w:rPr>
                <w:sz w:val="20"/>
                <w:szCs w:val="20"/>
                <w:color w:val="auto"/>
              </w:rPr>
            </w:pPr>
            <w:r>
              <w:rPr>
                <w:rFonts w:ascii="Arial" w:cs="Arial" w:eastAsia="Arial" w:hAnsi="Arial"/>
                <w:sz w:val="16"/>
                <w:szCs w:val="16"/>
                <w:color w:val="auto"/>
              </w:rPr>
              <w:t>0</w:t>
            </w:r>
          </w:p>
        </w:tc>
        <w:tc>
          <w:tcPr>
            <w:tcW w:w="1640" w:type="dxa"/>
            <w:vAlign w:val="bottom"/>
          </w:tcPr>
          <w:p>
            <w:pPr>
              <w:jc w:val="center"/>
              <w:spacing w:after="0"/>
              <w:rPr>
                <w:sz w:val="20"/>
                <w:szCs w:val="20"/>
                <w:color w:val="auto"/>
              </w:rPr>
            </w:pPr>
            <w:r>
              <w:rPr>
                <w:rFonts w:ascii="Arial" w:cs="Arial" w:eastAsia="Arial" w:hAnsi="Arial"/>
                <w:sz w:val="16"/>
                <w:szCs w:val="16"/>
                <w:color w:val="auto"/>
                <w:w w:val="98"/>
              </w:rPr>
              <w:t>11,575</w:t>
            </w:r>
          </w:p>
        </w:tc>
        <w:tc>
          <w:tcPr>
            <w:tcW w:w="960" w:type="dxa"/>
            <w:vAlign w:val="bottom"/>
          </w:tcPr>
          <w:p>
            <w:pPr>
              <w:jc w:val="center"/>
              <w:ind w:left="280"/>
              <w:spacing w:after="0"/>
              <w:rPr>
                <w:sz w:val="20"/>
                <w:szCs w:val="20"/>
                <w:color w:val="auto"/>
              </w:rPr>
            </w:pPr>
            <w:r>
              <w:rPr>
                <w:rFonts w:ascii="Arial" w:cs="Arial" w:eastAsia="Arial" w:hAnsi="Arial"/>
                <w:sz w:val="16"/>
                <w:szCs w:val="16"/>
                <w:color w:val="auto"/>
                <w:w w:val="98"/>
              </w:rPr>
              <w:t>48,003</w:t>
            </w:r>
          </w:p>
        </w:tc>
      </w:tr>
      <w:tr>
        <w:trPr>
          <w:trHeight w:val="364"/>
        </w:trPr>
        <w:tc>
          <w:tcPr>
            <w:tcW w:w="3000" w:type="dxa"/>
            <w:vAlign w:val="bottom"/>
            <w:shd w:val="clear" w:color="auto" w:fill="CBCEE0"/>
          </w:tcPr>
          <w:p>
            <w:pPr>
              <w:ind w:left="100"/>
              <w:spacing w:after="0"/>
              <w:rPr>
                <w:sz w:val="20"/>
                <w:szCs w:val="20"/>
                <w:color w:val="auto"/>
              </w:rPr>
            </w:pPr>
            <w:r>
              <w:rPr>
                <w:rFonts w:ascii="Arial" w:cs="Arial" w:eastAsia="Arial" w:hAnsi="Arial"/>
                <w:sz w:val="16"/>
                <w:szCs w:val="16"/>
                <w:color w:val="auto"/>
              </w:rPr>
              <w:t>Michael I. Roth</w:t>
            </w:r>
            <w:r>
              <w:rPr>
                <w:rFonts w:ascii="Arial" w:cs="Arial" w:eastAsia="Arial" w:hAnsi="Arial"/>
                <w:sz w:val="26"/>
                <w:szCs w:val="26"/>
                <w:color w:val="auto"/>
                <w:vertAlign w:val="superscript"/>
              </w:rPr>
              <w:t>(4)</w:t>
            </w:r>
          </w:p>
        </w:tc>
        <w:tc>
          <w:tcPr>
            <w:tcW w:w="2340" w:type="dxa"/>
            <w:vAlign w:val="bottom"/>
            <w:shd w:val="clear" w:color="auto" w:fill="CBCEE0"/>
          </w:tcPr>
          <w:p>
            <w:pPr>
              <w:jc w:val="right"/>
              <w:ind w:right="381"/>
              <w:spacing w:after="0"/>
              <w:rPr>
                <w:sz w:val="20"/>
                <w:szCs w:val="20"/>
                <w:color w:val="auto"/>
              </w:rPr>
            </w:pPr>
            <w:r>
              <w:rPr>
                <w:rFonts w:ascii="Arial" w:cs="Arial" w:eastAsia="Arial" w:hAnsi="Arial"/>
                <w:sz w:val="16"/>
                <w:szCs w:val="16"/>
                <w:color w:val="auto"/>
              </w:rPr>
              <w:t>50,952</w:t>
            </w:r>
          </w:p>
        </w:tc>
        <w:tc>
          <w:tcPr>
            <w:tcW w:w="1240" w:type="dxa"/>
            <w:vAlign w:val="bottom"/>
            <w:shd w:val="clear" w:color="auto" w:fill="CBCEE0"/>
          </w:tcPr>
          <w:p>
            <w:pPr>
              <w:jc w:val="center"/>
              <w:spacing w:after="0"/>
              <w:rPr>
                <w:sz w:val="20"/>
                <w:szCs w:val="20"/>
                <w:color w:val="auto"/>
              </w:rPr>
            </w:pPr>
            <w:r>
              <w:rPr>
                <w:rFonts w:ascii="Arial" w:cs="Arial" w:eastAsia="Arial" w:hAnsi="Arial"/>
                <w:sz w:val="16"/>
                <w:szCs w:val="16"/>
                <w:color w:val="auto"/>
              </w:rPr>
              <w:t>0</w:t>
            </w:r>
          </w:p>
        </w:tc>
        <w:tc>
          <w:tcPr>
            <w:tcW w:w="1640" w:type="dxa"/>
            <w:vAlign w:val="bottom"/>
            <w:shd w:val="clear" w:color="auto" w:fill="CBCEE0"/>
          </w:tcPr>
          <w:p>
            <w:pPr>
              <w:jc w:val="right"/>
              <w:ind w:right="541"/>
              <w:spacing w:after="0"/>
              <w:rPr>
                <w:sz w:val="20"/>
                <w:szCs w:val="20"/>
                <w:color w:val="auto"/>
              </w:rPr>
            </w:pPr>
            <w:r>
              <w:rPr>
                <w:rFonts w:ascii="Arial" w:cs="Arial" w:eastAsia="Arial" w:hAnsi="Arial"/>
                <w:sz w:val="16"/>
                <w:szCs w:val="16"/>
                <w:color w:val="auto"/>
              </w:rPr>
              <w:t>990</w:t>
            </w:r>
          </w:p>
        </w:tc>
        <w:tc>
          <w:tcPr>
            <w:tcW w:w="960" w:type="dxa"/>
            <w:vAlign w:val="bottom"/>
            <w:shd w:val="clear" w:color="auto" w:fill="CBCEE0"/>
          </w:tcPr>
          <w:p>
            <w:pPr>
              <w:jc w:val="center"/>
              <w:ind w:left="280"/>
              <w:spacing w:after="0"/>
              <w:rPr>
                <w:sz w:val="20"/>
                <w:szCs w:val="20"/>
                <w:color w:val="auto"/>
              </w:rPr>
            </w:pPr>
            <w:r>
              <w:rPr>
                <w:rFonts w:ascii="Arial" w:cs="Arial" w:eastAsia="Arial" w:hAnsi="Arial"/>
                <w:sz w:val="16"/>
                <w:szCs w:val="16"/>
                <w:color w:val="auto"/>
                <w:w w:val="98"/>
              </w:rPr>
              <w:t>51,942</w:t>
            </w:r>
          </w:p>
        </w:tc>
      </w:tr>
      <w:tr>
        <w:trPr>
          <w:trHeight w:val="364"/>
        </w:trPr>
        <w:tc>
          <w:tcPr>
            <w:tcW w:w="3000" w:type="dxa"/>
            <w:vAlign w:val="bottom"/>
          </w:tcPr>
          <w:p>
            <w:pPr>
              <w:ind w:left="100"/>
              <w:spacing w:after="0"/>
              <w:rPr>
                <w:sz w:val="20"/>
                <w:szCs w:val="20"/>
                <w:color w:val="auto"/>
              </w:rPr>
            </w:pPr>
            <w:r>
              <w:rPr>
                <w:rFonts w:ascii="Arial" w:cs="Arial" w:eastAsia="Arial" w:hAnsi="Arial"/>
                <w:sz w:val="16"/>
                <w:szCs w:val="16"/>
                <w:color w:val="auto"/>
              </w:rPr>
              <w:t>Linda S. Sanford</w:t>
            </w:r>
            <w:r>
              <w:rPr>
                <w:rFonts w:ascii="Arial" w:cs="Arial" w:eastAsia="Arial" w:hAnsi="Arial"/>
                <w:sz w:val="26"/>
                <w:szCs w:val="26"/>
                <w:color w:val="auto"/>
                <w:vertAlign w:val="superscript"/>
              </w:rPr>
              <w:t>(4)</w:t>
            </w:r>
          </w:p>
        </w:tc>
        <w:tc>
          <w:tcPr>
            <w:tcW w:w="2340" w:type="dxa"/>
            <w:vAlign w:val="bottom"/>
          </w:tcPr>
          <w:p>
            <w:pPr>
              <w:jc w:val="right"/>
              <w:ind w:right="381"/>
              <w:spacing w:after="0"/>
              <w:rPr>
                <w:sz w:val="20"/>
                <w:szCs w:val="20"/>
                <w:color w:val="auto"/>
              </w:rPr>
            </w:pPr>
            <w:r>
              <w:rPr>
                <w:rFonts w:ascii="Arial" w:cs="Arial" w:eastAsia="Arial" w:hAnsi="Arial"/>
                <w:sz w:val="16"/>
                <w:szCs w:val="16"/>
                <w:color w:val="auto"/>
              </w:rPr>
              <w:t>38,571</w:t>
            </w:r>
          </w:p>
        </w:tc>
        <w:tc>
          <w:tcPr>
            <w:tcW w:w="1240" w:type="dxa"/>
            <w:vAlign w:val="bottom"/>
          </w:tcPr>
          <w:p>
            <w:pPr>
              <w:jc w:val="center"/>
              <w:spacing w:after="0"/>
              <w:rPr>
                <w:sz w:val="20"/>
                <w:szCs w:val="20"/>
                <w:color w:val="auto"/>
              </w:rPr>
            </w:pPr>
            <w:r>
              <w:rPr>
                <w:rFonts w:ascii="Arial" w:cs="Arial" w:eastAsia="Arial" w:hAnsi="Arial"/>
                <w:sz w:val="16"/>
                <w:szCs w:val="16"/>
                <w:color w:val="auto"/>
              </w:rPr>
              <w:t>0</w:t>
            </w:r>
          </w:p>
        </w:tc>
        <w:tc>
          <w:tcPr>
            <w:tcW w:w="1640" w:type="dxa"/>
            <w:vAlign w:val="bottom"/>
          </w:tcPr>
          <w:p>
            <w:pPr>
              <w:jc w:val="right"/>
              <w:ind w:right="541"/>
              <w:spacing w:after="0"/>
              <w:rPr>
                <w:sz w:val="20"/>
                <w:szCs w:val="20"/>
                <w:color w:val="auto"/>
              </w:rPr>
            </w:pPr>
            <w:r>
              <w:rPr>
                <w:rFonts w:ascii="Arial" w:cs="Arial" w:eastAsia="Arial" w:hAnsi="Arial"/>
                <w:sz w:val="16"/>
                <w:szCs w:val="16"/>
                <w:color w:val="auto"/>
              </w:rPr>
              <w:t>990</w:t>
            </w:r>
          </w:p>
        </w:tc>
        <w:tc>
          <w:tcPr>
            <w:tcW w:w="960" w:type="dxa"/>
            <w:vAlign w:val="bottom"/>
          </w:tcPr>
          <w:p>
            <w:pPr>
              <w:jc w:val="center"/>
              <w:ind w:left="280"/>
              <w:spacing w:after="0"/>
              <w:rPr>
                <w:sz w:val="20"/>
                <w:szCs w:val="20"/>
                <w:color w:val="auto"/>
              </w:rPr>
            </w:pPr>
            <w:r>
              <w:rPr>
                <w:rFonts w:ascii="Arial" w:cs="Arial" w:eastAsia="Arial" w:hAnsi="Arial"/>
                <w:sz w:val="16"/>
                <w:szCs w:val="16"/>
                <w:color w:val="auto"/>
                <w:w w:val="98"/>
              </w:rPr>
              <w:t>39,562</w:t>
            </w:r>
          </w:p>
        </w:tc>
      </w:tr>
      <w:tr>
        <w:trPr>
          <w:trHeight w:val="365"/>
        </w:trPr>
        <w:tc>
          <w:tcPr>
            <w:tcW w:w="3000" w:type="dxa"/>
            <w:vAlign w:val="bottom"/>
            <w:shd w:val="clear" w:color="auto" w:fill="CBCEE0"/>
          </w:tcPr>
          <w:p>
            <w:pPr>
              <w:ind w:left="100"/>
              <w:spacing w:after="0"/>
              <w:rPr>
                <w:sz w:val="20"/>
                <w:szCs w:val="20"/>
                <w:color w:val="auto"/>
              </w:rPr>
            </w:pPr>
            <w:r>
              <w:rPr>
                <w:rFonts w:ascii="Arial" w:cs="Arial" w:eastAsia="Arial" w:hAnsi="Arial"/>
                <w:sz w:val="16"/>
                <w:szCs w:val="16"/>
                <w:color w:val="auto"/>
              </w:rPr>
              <w:t>David L. Shedlarz</w:t>
            </w:r>
            <w:r>
              <w:rPr>
                <w:rFonts w:ascii="Arial" w:cs="Arial" w:eastAsia="Arial" w:hAnsi="Arial"/>
                <w:sz w:val="26"/>
                <w:szCs w:val="26"/>
                <w:color w:val="auto"/>
                <w:vertAlign w:val="superscript"/>
              </w:rPr>
              <w:t>(4)</w:t>
            </w:r>
          </w:p>
        </w:tc>
        <w:tc>
          <w:tcPr>
            <w:tcW w:w="2340" w:type="dxa"/>
            <w:vAlign w:val="bottom"/>
            <w:shd w:val="clear" w:color="auto" w:fill="CBCEE0"/>
          </w:tcPr>
          <w:p>
            <w:pPr>
              <w:jc w:val="right"/>
              <w:ind w:right="381"/>
              <w:spacing w:after="0"/>
              <w:rPr>
                <w:sz w:val="20"/>
                <w:szCs w:val="20"/>
                <w:color w:val="auto"/>
              </w:rPr>
            </w:pPr>
            <w:r>
              <w:rPr>
                <w:rFonts w:ascii="Arial" w:cs="Arial" w:eastAsia="Arial" w:hAnsi="Arial"/>
                <w:sz w:val="16"/>
                <w:szCs w:val="16"/>
                <w:color w:val="auto"/>
              </w:rPr>
              <w:t>38,571</w:t>
            </w:r>
          </w:p>
        </w:tc>
        <w:tc>
          <w:tcPr>
            <w:tcW w:w="1240" w:type="dxa"/>
            <w:vAlign w:val="bottom"/>
            <w:shd w:val="clear" w:color="auto" w:fill="CBCEE0"/>
          </w:tcPr>
          <w:p>
            <w:pPr>
              <w:jc w:val="center"/>
              <w:spacing w:after="0"/>
              <w:rPr>
                <w:sz w:val="20"/>
                <w:szCs w:val="20"/>
                <w:color w:val="auto"/>
              </w:rPr>
            </w:pPr>
            <w:r>
              <w:rPr>
                <w:rFonts w:ascii="Arial" w:cs="Arial" w:eastAsia="Arial" w:hAnsi="Arial"/>
                <w:sz w:val="16"/>
                <w:szCs w:val="16"/>
                <w:color w:val="auto"/>
              </w:rPr>
              <w:t>0</w:t>
            </w:r>
          </w:p>
        </w:tc>
        <w:tc>
          <w:tcPr>
            <w:tcW w:w="1640" w:type="dxa"/>
            <w:vAlign w:val="bottom"/>
            <w:shd w:val="clear" w:color="auto" w:fill="CBCEE0"/>
          </w:tcPr>
          <w:p>
            <w:pPr>
              <w:jc w:val="right"/>
              <w:ind w:right="521"/>
              <w:spacing w:after="0"/>
              <w:rPr>
                <w:sz w:val="20"/>
                <w:szCs w:val="20"/>
                <w:color w:val="auto"/>
              </w:rPr>
            </w:pPr>
            <w:r>
              <w:rPr>
                <w:rFonts w:ascii="Arial" w:cs="Arial" w:eastAsia="Arial" w:hAnsi="Arial"/>
                <w:sz w:val="16"/>
                <w:szCs w:val="16"/>
                <w:color w:val="auto"/>
              </w:rPr>
              <w:t>2,780</w:t>
            </w:r>
          </w:p>
        </w:tc>
        <w:tc>
          <w:tcPr>
            <w:tcW w:w="960" w:type="dxa"/>
            <w:vAlign w:val="bottom"/>
            <w:shd w:val="clear" w:color="auto" w:fill="CBCEE0"/>
          </w:tcPr>
          <w:p>
            <w:pPr>
              <w:jc w:val="center"/>
              <w:ind w:left="280"/>
              <w:spacing w:after="0"/>
              <w:rPr>
                <w:sz w:val="20"/>
                <w:szCs w:val="20"/>
                <w:color w:val="auto"/>
              </w:rPr>
            </w:pPr>
            <w:r>
              <w:rPr>
                <w:rFonts w:ascii="Arial" w:cs="Arial" w:eastAsia="Arial" w:hAnsi="Arial"/>
                <w:sz w:val="16"/>
                <w:szCs w:val="16"/>
                <w:color w:val="auto"/>
                <w:w w:val="98"/>
              </w:rPr>
              <w:t>41,351</w:t>
            </w:r>
          </w:p>
        </w:tc>
      </w:tr>
      <w:tr>
        <w:trPr>
          <w:trHeight w:val="268"/>
        </w:trPr>
        <w:tc>
          <w:tcPr>
            <w:tcW w:w="3000" w:type="dxa"/>
            <w:vAlign w:val="bottom"/>
          </w:tcPr>
          <w:p>
            <w:pPr>
              <w:ind w:left="100"/>
              <w:spacing w:after="0"/>
              <w:rPr>
                <w:sz w:val="20"/>
                <w:szCs w:val="20"/>
                <w:color w:val="auto"/>
              </w:rPr>
            </w:pPr>
            <w:r>
              <w:rPr>
                <w:rFonts w:ascii="Arial" w:cs="Arial" w:eastAsia="Arial" w:hAnsi="Arial"/>
                <w:sz w:val="16"/>
                <w:szCs w:val="16"/>
                <w:color w:val="auto"/>
              </w:rPr>
              <w:t>Darrell Thomas</w:t>
            </w:r>
          </w:p>
        </w:tc>
        <w:tc>
          <w:tcPr>
            <w:tcW w:w="2340" w:type="dxa"/>
            <w:vAlign w:val="bottom"/>
          </w:tcPr>
          <w:p>
            <w:pPr>
              <w:jc w:val="right"/>
              <w:ind w:right="381"/>
              <w:spacing w:after="0"/>
              <w:rPr>
                <w:sz w:val="20"/>
                <w:szCs w:val="20"/>
                <w:color w:val="auto"/>
              </w:rPr>
            </w:pPr>
            <w:r>
              <w:rPr>
                <w:rFonts w:ascii="Arial" w:cs="Arial" w:eastAsia="Arial" w:hAnsi="Arial"/>
                <w:sz w:val="16"/>
                <w:szCs w:val="16"/>
                <w:color w:val="auto"/>
              </w:rPr>
              <w:t>87,289</w:t>
            </w:r>
          </w:p>
        </w:tc>
        <w:tc>
          <w:tcPr>
            <w:tcW w:w="1240" w:type="dxa"/>
            <w:vAlign w:val="bottom"/>
          </w:tcPr>
          <w:p>
            <w:pPr>
              <w:jc w:val="center"/>
              <w:spacing w:after="0"/>
              <w:rPr>
                <w:sz w:val="20"/>
                <w:szCs w:val="20"/>
                <w:color w:val="auto"/>
              </w:rPr>
            </w:pPr>
            <w:r>
              <w:rPr>
                <w:rFonts w:ascii="Arial" w:cs="Arial" w:eastAsia="Arial" w:hAnsi="Arial"/>
                <w:sz w:val="16"/>
                <w:szCs w:val="16"/>
                <w:color w:val="auto"/>
              </w:rPr>
              <w:t>116,986</w:t>
            </w:r>
          </w:p>
        </w:tc>
        <w:tc>
          <w:tcPr>
            <w:tcW w:w="1640" w:type="dxa"/>
            <w:vAlign w:val="bottom"/>
          </w:tcPr>
          <w:p>
            <w:pPr>
              <w:jc w:val="right"/>
              <w:ind w:right="521"/>
              <w:spacing w:after="0"/>
              <w:rPr>
                <w:sz w:val="20"/>
                <w:szCs w:val="20"/>
                <w:color w:val="auto"/>
              </w:rPr>
            </w:pPr>
            <w:r>
              <w:rPr>
                <w:rFonts w:ascii="Arial" w:cs="Arial" w:eastAsia="Arial" w:hAnsi="Arial"/>
                <w:sz w:val="16"/>
                <w:szCs w:val="16"/>
                <w:color w:val="auto"/>
              </w:rPr>
              <w:t>5,174</w:t>
            </w:r>
          </w:p>
        </w:tc>
        <w:tc>
          <w:tcPr>
            <w:tcW w:w="960" w:type="dxa"/>
            <w:vAlign w:val="bottom"/>
          </w:tcPr>
          <w:p>
            <w:pPr>
              <w:jc w:val="center"/>
              <w:ind w:left="220"/>
              <w:spacing w:after="0"/>
              <w:rPr>
                <w:sz w:val="20"/>
                <w:szCs w:val="20"/>
                <w:color w:val="auto"/>
              </w:rPr>
            </w:pPr>
            <w:r>
              <w:rPr>
                <w:rFonts w:ascii="Arial" w:cs="Arial" w:eastAsia="Arial" w:hAnsi="Arial"/>
                <w:sz w:val="16"/>
                <w:szCs w:val="16"/>
                <w:color w:val="auto"/>
              </w:rPr>
              <w:t>209,449</w:t>
            </w:r>
          </w:p>
        </w:tc>
      </w:tr>
      <w:tr>
        <w:trPr>
          <w:trHeight w:val="56"/>
        </w:trPr>
        <w:tc>
          <w:tcPr>
            <w:tcW w:w="30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378"/>
        </w:trPr>
        <w:tc>
          <w:tcPr>
            <w:tcW w:w="3000" w:type="dxa"/>
            <w:vAlign w:val="bottom"/>
            <w:shd w:val="clear" w:color="auto" w:fill="CBCEE0"/>
          </w:tcPr>
          <w:p>
            <w:pPr>
              <w:ind w:left="100"/>
              <w:spacing w:after="0"/>
              <w:rPr>
                <w:sz w:val="20"/>
                <w:szCs w:val="20"/>
                <w:color w:val="auto"/>
              </w:rPr>
            </w:pPr>
            <w:r>
              <w:rPr>
                <w:rFonts w:ascii="Arial" w:cs="Arial" w:eastAsia="Arial" w:hAnsi="Arial"/>
                <w:sz w:val="16"/>
                <w:szCs w:val="16"/>
                <w:color w:val="auto"/>
              </w:rPr>
              <w:t>Kurt Wolf</w:t>
            </w:r>
            <w:r>
              <w:rPr>
                <w:rFonts w:ascii="Arial" w:cs="Arial" w:eastAsia="Arial" w:hAnsi="Arial"/>
                <w:sz w:val="26"/>
                <w:szCs w:val="26"/>
                <w:color w:val="auto"/>
                <w:vertAlign w:val="superscript"/>
              </w:rPr>
              <w:t>(5)</w:t>
            </w:r>
          </w:p>
        </w:tc>
        <w:tc>
          <w:tcPr>
            <w:tcW w:w="2340" w:type="dxa"/>
            <w:vAlign w:val="bottom"/>
            <w:shd w:val="clear" w:color="auto" w:fill="CBCEE0"/>
          </w:tcPr>
          <w:p>
            <w:pPr>
              <w:jc w:val="right"/>
              <w:ind w:right="641"/>
              <w:spacing w:after="0"/>
              <w:rPr>
                <w:sz w:val="20"/>
                <w:szCs w:val="20"/>
                <w:color w:val="auto"/>
              </w:rPr>
            </w:pPr>
            <w:r>
              <w:rPr>
                <w:rFonts w:ascii="Arial" w:cs="Arial" w:eastAsia="Arial" w:hAnsi="Arial"/>
                <w:sz w:val="16"/>
                <w:szCs w:val="16"/>
                <w:color w:val="auto"/>
              </w:rPr>
              <w:t>0</w:t>
            </w:r>
          </w:p>
        </w:tc>
        <w:tc>
          <w:tcPr>
            <w:tcW w:w="1240" w:type="dxa"/>
            <w:vAlign w:val="bottom"/>
            <w:shd w:val="clear" w:color="auto" w:fill="CBCEE0"/>
          </w:tcPr>
          <w:p>
            <w:pPr>
              <w:jc w:val="center"/>
              <w:spacing w:after="0"/>
              <w:rPr>
                <w:sz w:val="20"/>
                <w:szCs w:val="20"/>
                <w:color w:val="auto"/>
              </w:rPr>
            </w:pPr>
            <w:r>
              <w:rPr>
                <w:rFonts w:ascii="Arial" w:cs="Arial" w:eastAsia="Arial" w:hAnsi="Arial"/>
                <w:sz w:val="16"/>
                <w:szCs w:val="16"/>
                <w:color w:val="auto"/>
              </w:rPr>
              <w:t>0</w:t>
            </w:r>
          </w:p>
        </w:tc>
        <w:tc>
          <w:tcPr>
            <w:tcW w:w="1640" w:type="dxa"/>
            <w:vAlign w:val="bottom"/>
            <w:shd w:val="clear" w:color="auto" w:fill="CBCEE0"/>
          </w:tcPr>
          <w:p>
            <w:pPr>
              <w:jc w:val="right"/>
              <w:ind w:right="681"/>
              <w:spacing w:after="0"/>
              <w:rPr>
                <w:sz w:val="20"/>
                <w:szCs w:val="20"/>
                <w:color w:val="auto"/>
              </w:rPr>
            </w:pPr>
            <w:r>
              <w:rPr>
                <w:rFonts w:ascii="Arial" w:cs="Arial" w:eastAsia="Arial" w:hAnsi="Arial"/>
                <w:sz w:val="16"/>
                <w:szCs w:val="16"/>
                <w:color w:val="auto"/>
              </w:rPr>
              <w:t>0</w:t>
            </w:r>
          </w:p>
        </w:tc>
        <w:tc>
          <w:tcPr>
            <w:tcW w:w="960" w:type="dxa"/>
            <w:vAlign w:val="bottom"/>
            <w:shd w:val="clear" w:color="auto" w:fill="CBCEE0"/>
          </w:tcPr>
          <w:p>
            <w:pPr>
              <w:jc w:val="center"/>
              <w:ind w:left="240"/>
              <w:spacing w:after="0"/>
              <w:rPr>
                <w:sz w:val="20"/>
                <w:szCs w:val="20"/>
                <w:color w:val="auto"/>
              </w:rPr>
            </w:pPr>
            <w:r>
              <w:rPr>
                <w:rFonts w:ascii="Arial" w:cs="Arial" w:eastAsia="Arial" w:hAnsi="Arial"/>
                <w:sz w:val="16"/>
                <w:szCs w:val="16"/>
                <w:color w:val="auto"/>
                <w:w w:val="89"/>
              </w:rPr>
              <w:t>0</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jc w:val="both"/>
        <w:ind w:left="340"/>
        <w:spacing w:after="0" w:line="233" w:lineRule="auto"/>
        <w:rPr>
          <w:sz w:val="20"/>
          <w:szCs w:val="20"/>
          <w:color w:val="auto"/>
        </w:rPr>
      </w:pPr>
      <w:r>
        <w:rPr>
          <w:rFonts w:ascii="Arial" w:cs="Arial" w:eastAsia="Arial" w:hAnsi="Arial"/>
          <w:sz w:val="14"/>
          <w:szCs w:val="14"/>
          <w:color w:val="auto"/>
        </w:rPr>
        <w:t>Each non-employee director receives an annual retainer of $75,000 ($18,750 per quarter). The Non-Executive Chair receives an additional annual retainer of $100,000 ($25,000 per quarter). Each committee member receives the following annual retainer: $12,000 for Audit, $10,500 for Executive Compensation and $9,000 each for Finance and Governance. The committee Chairs receive an additional retainer of equal amounts for their respective committees.</w:t>
      </w:r>
    </w:p>
    <w:p>
      <w:pPr>
        <w:spacing w:after="0" w:line="200" w:lineRule="auto"/>
        <w:rPr>
          <w:sz w:val="20"/>
          <w:szCs w:val="20"/>
          <w:color w:val="auto"/>
        </w:rPr>
      </w:pPr>
      <w:r>
        <w:rPr>
          <w:rFonts w:ascii="Arial" w:cs="Arial" w:eastAsia="Arial" w:hAnsi="Arial"/>
          <w:sz w:val="8"/>
          <w:szCs w:val="8"/>
          <w:color w:val="auto"/>
        </w:rPr>
        <w:t>(2)</w:t>
      </w:r>
    </w:p>
    <w:p>
      <w:pPr>
        <w:jc w:val="both"/>
        <w:ind w:left="340"/>
        <w:spacing w:after="0" w:line="237" w:lineRule="auto"/>
        <w:rPr>
          <w:sz w:val="20"/>
          <w:szCs w:val="20"/>
          <w:color w:val="auto"/>
        </w:rPr>
      </w:pPr>
      <w:r>
        <w:rPr>
          <w:rFonts w:ascii="Arial" w:cs="Arial" w:eastAsia="Arial" w:hAnsi="Arial"/>
          <w:sz w:val="14"/>
          <w:szCs w:val="14"/>
          <w:color w:val="auto"/>
        </w:rPr>
        <w:t>Represents the grant date fair value of 30,769 restricted stock units granted on May 19, 2023. The number of restricted stock units was derived by dividing $100,000 by $3.25, the closing price on May 19, 2023, on the New York Stock Exchange. Steven D. Brill and Darrell Thomas received an additional partial RSU grant of 3,725 restricted stock units on March 2. The number of restricted stock units was derived by dividing $16,986.30 by $4.56, the closing price on March 2, 2023, on the New York Stock Exchange. Neither restricted stock nor stock options were awarded to non-employee directors during 2023. See Note 19 “Stock-Based Compensation” in the Notes to our Consolidated Financial Statements included in our 2023 Form 10-K, for the valuation assumptions used in determining the fair value of equity grants. Since the Company does not issue fractional shares, total shares issued to non-employee directors are determined by dividing $100,000 by the closing share price on May 19, 2023, and rounding to the nearest whole number.</w:t>
      </w:r>
    </w:p>
    <w:p>
      <w:pPr>
        <w:spacing w:after="0" w:line="181" w:lineRule="auto"/>
        <w:rPr>
          <w:sz w:val="20"/>
          <w:szCs w:val="20"/>
          <w:color w:val="auto"/>
        </w:rPr>
      </w:pPr>
      <w:r>
        <w:rPr>
          <w:rFonts w:ascii="Arial" w:cs="Arial" w:eastAsia="Arial" w:hAnsi="Arial"/>
          <w:sz w:val="9"/>
          <w:szCs w:val="9"/>
          <w:color w:val="auto"/>
        </w:rPr>
        <w:t>(3)</w:t>
      </w:r>
    </w:p>
    <w:p>
      <w:pPr>
        <w:jc w:val="both"/>
        <w:ind w:left="340"/>
        <w:spacing w:after="0" w:line="237" w:lineRule="auto"/>
        <w:rPr>
          <w:sz w:val="20"/>
          <w:szCs w:val="20"/>
          <w:color w:val="auto"/>
        </w:rPr>
      </w:pPr>
      <w:r>
        <w:rPr>
          <w:rFonts w:ascii="Arial" w:cs="Arial" w:eastAsia="Arial" w:hAnsi="Arial"/>
          <w:sz w:val="14"/>
          <w:szCs w:val="14"/>
          <w:color w:val="auto"/>
        </w:rPr>
        <w:t>During 2023, dividend equivalents were paid quarterly in cash to non-employee directors with respect to (a) the first quarter on the award of 19,802 restricted stock units granted in May 2022 and (b) the second, third and fourth quarter on the 30,769 restricted stock units granted in May 2023. Also, Steven D. Brill and Darrell Thomas received dividend equivalents (c) on the second, third and fourth quarter dividends on the 3,725 restricted stock units that were granted on March 2, 2023. In addition, with respect to Ms. Busquet, and Messrs. Hutcheson and Shedlarz, for the first and second quarter, dividend equivalents were paid with respect to the vested restricted stock units previously deferred and Ms. Stamps received dividend equivalents in the second, third and fourth quarters on her deferred RSU’s. The Company matches individual contributions by non-employee directors made through the Company’s charitable giving campaign. There were no matching gifts related to the Board Directors in 2023.</w:t>
      </w:r>
    </w:p>
    <w:p>
      <w:pPr>
        <w:spacing w:after="0" w:line="181" w:lineRule="auto"/>
        <w:rPr>
          <w:sz w:val="20"/>
          <w:szCs w:val="20"/>
          <w:color w:val="auto"/>
        </w:rPr>
      </w:pPr>
      <w:r>
        <w:rPr>
          <w:rFonts w:ascii="Arial" w:cs="Arial" w:eastAsia="Arial" w:hAnsi="Arial"/>
          <w:sz w:val="9"/>
          <w:szCs w:val="9"/>
          <w:color w:val="auto"/>
        </w:rPr>
        <w:t>(4)</w:t>
      </w:r>
    </w:p>
    <w:p>
      <w:pPr>
        <w:jc w:val="both"/>
        <w:ind w:left="340" w:right="20"/>
        <w:spacing w:after="0" w:line="225" w:lineRule="auto"/>
        <w:rPr>
          <w:sz w:val="20"/>
          <w:szCs w:val="20"/>
          <w:color w:val="auto"/>
        </w:rPr>
      </w:pPr>
      <w:r>
        <w:rPr>
          <w:rFonts w:ascii="Arial" w:cs="Arial" w:eastAsia="Arial" w:hAnsi="Arial"/>
          <w:sz w:val="14"/>
          <w:szCs w:val="14"/>
          <w:color w:val="auto"/>
        </w:rPr>
        <w:t>Mmes. Busquet, and Sanford and Messrs. Dutkowsky, Hutcheson, Roth and Shedlarz left the Board following the 2023 annual meeting of stockholders.</w:t>
      </w:r>
    </w:p>
    <w:p>
      <w:pPr>
        <w:spacing w:after="0" w:line="198" w:lineRule="auto"/>
        <w:rPr>
          <w:sz w:val="20"/>
          <w:szCs w:val="20"/>
          <w:color w:val="auto"/>
        </w:rPr>
      </w:pPr>
      <w:r>
        <w:rPr>
          <w:rFonts w:ascii="Arial" w:cs="Arial" w:eastAsia="Arial" w:hAnsi="Arial"/>
          <w:sz w:val="8"/>
          <w:szCs w:val="8"/>
          <w:color w:val="auto"/>
        </w:rPr>
        <w:t>(5)</w:t>
      </w:r>
    </w:p>
    <w:p>
      <w:pPr>
        <w:ind w:left="340"/>
        <w:spacing w:after="0"/>
        <w:rPr>
          <w:sz w:val="20"/>
          <w:szCs w:val="20"/>
          <w:color w:val="auto"/>
        </w:rPr>
      </w:pPr>
      <w:r>
        <w:rPr>
          <w:rFonts w:ascii="Arial" w:cs="Arial" w:eastAsia="Arial" w:hAnsi="Arial"/>
          <w:sz w:val="14"/>
          <w:szCs w:val="14"/>
          <w:color w:val="auto"/>
        </w:rPr>
        <w:t>Mr. Wolf voluntarily waived his right to receive compensation as a non-employee director.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23" w:name="page24"/>
    <w:bookmarkEnd w:id="23"/>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RELATIONSHIPS AND RELATED-PERSON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2" w:lineRule="exact"/>
        <w:rPr>
          <w:sz w:val="20"/>
          <w:szCs w:val="20"/>
          <w:color w:val="auto"/>
        </w:rPr>
      </w:pPr>
    </w:p>
    <w:p>
      <w:pPr>
        <w:ind w:left="6"/>
        <w:spacing w:after="0"/>
        <w:rPr>
          <w:sz w:val="20"/>
          <w:szCs w:val="20"/>
          <w:color w:val="auto"/>
        </w:rPr>
      </w:pPr>
      <w:r>
        <w:rPr>
          <w:rFonts w:ascii="Arial" w:cs="Arial" w:eastAsia="Arial" w:hAnsi="Arial"/>
          <w:sz w:val="32"/>
          <w:szCs w:val="32"/>
          <w:b w:val="1"/>
          <w:bCs w:val="1"/>
          <w:color w:val="4B5A89"/>
        </w:rPr>
        <w:t>Relationships and Related-Person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58293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8" w:lineRule="exact"/>
        <w:rPr>
          <w:sz w:val="20"/>
          <w:szCs w:val="20"/>
          <w:color w:val="auto"/>
        </w:rPr>
      </w:pPr>
    </w:p>
    <w:p>
      <w:pPr>
        <w:jc w:val="both"/>
        <w:ind w:left="6"/>
        <w:spacing w:after="0" w:line="242" w:lineRule="auto"/>
        <w:rPr>
          <w:sz w:val="20"/>
          <w:szCs w:val="20"/>
          <w:color w:val="auto"/>
        </w:rPr>
      </w:pPr>
      <w:r>
        <w:rPr>
          <w:rFonts w:ascii="Arial" w:cs="Arial" w:eastAsia="Arial" w:hAnsi="Arial"/>
          <w:sz w:val="18"/>
          <w:szCs w:val="18"/>
          <w:color w:val="auto"/>
        </w:rPr>
        <w:t>The Board has a written “Policy on Approval and Ratification of Related-Person Transactions” which states that the Governance Committee is responsible for reviewing and approving any related person transactions between the Company and its directors, nominees for director, executive officers, beneficial owners of more than five percent of any class of the Company’s voting stock and their “immediate family members” as defined by the rules and regulations of the SEC. The Board amended its policy in the Fall of 2021 to reflect changes in NYSE listed Company rules.</w:t>
      </w:r>
    </w:p>
    <w:p>
      <w:pPr>
        <w:spacing w:after="0" w:line="138" w:lineRule="exact"/>
        <w:rPr>
          <w:sz w:val="20"/>
          <w:szCs w:val="20"/>
          <w:color w:val="auto"/>
        </w:rPr>
      </w:pPr>
    </w:p>
    <w:p>
      <w:pPr>
        <w:jc w:val="both"/>
        <w:ind w:left="6"/>
        <w:spacing w:after="0" w:line="237" w:lineRule="auto"/>
        <w:rPr>
          <w:sz w:val="20"/>
          <w:szCs w:val="20"/>
          <w:color w:val="auto"/>
        </w:rPr>
      </w:pPr>
      <w:r>
        <w:rPr>
          <w:rFonts w:ascii="Arial" w:cs="Arial" w:eastAsia="Arial" w:hAnsi="Arial"/>
          <w:sz w:val="18"/>
          <w:szCs w:val="18"/>
          <w:color w:val="auto"/>
        </w:rPr>
        <w:t>Under the related-person transaction approval policy, any newly proposed transaction between the Company and a related person must be submitted to the Governance Committee for approval if the amount involved in the transaction or series of transactions is greater than $120,000. Any related-person transactions for which advance review is not reasonably feasible that have not been pre-approved by the Governance Committee must be submitted for review as soon as they are identified. The Governance Committee shall approve or ratify, as applicable, a related-person transaction if the Governance Committee determines such transaction to be fair and reasonable to the Company and not inconsistent with the interests of the Company and its stockholders. Ongoing related-person transactions are reviewed on an annual basis. The material facts of the transaction and the related person’s interest in the transaction must be disclosed to the Governance Committee. The Governance Committee prohibits any related-person transaction (including those deemed pre-approved by the Governance Committee, as further described below) if it determines the related-person transaction to be inconsistent with the interests of the Company and its stockholders. It is the expectation and policy of the Board that any related-person transactions will be at arms’ length and on terms that are fair to the Company and not inconsistent with the interests of Pitney Bowes and its stockholders.</w:t>
      </w:r>
    </w:p>
    <w:p>
      <w:pPr>
        <w:spacing w:after="0" w:line="162" w:lineRule="exact"/>
        <w:rPr>
          <w:sz w:val="20"/>
          <w:szCs w:val="20"/>
          <w:color w:val="auto"/>
        </w:rPr>
      </w:pPr>
    </w:p>
    <w:p>
      <w:pPr>
        <w:jc w:val="both"/>
        <w:ind w:left="6" w:right="20"/>
        <w:spacing w:after="0" w:line="253" w:lineRule="auto"/>
        <w:rPr>
          <w:sz w:val="20"/>
          <w:szCs w:val="20"/>
          <w:color w:val="auto"/>
        </w:rPr>
      </w:pPr>
      <w:r>
        <w:rPr>
          <w:rFonts w:ascii="Arial" w:cs="Arial" w:eastAsia="Arial" w:hAnsi="Arial"/>
          <w:sz w:val="18"/>
          <w:szCs w:val="18"/>
          <w:color w:val="auto"/>
        </w:rPr>
        <w:t>If the proposed transaction involves a related person who is a Pitney Bowes director or an immediate family member of a director, that director may not participate in the deliberations or vote regarding approval or ratification of the transaction but may be counted for the purposes of determining a quorum.</w:t>
      </w:r>
    </w:p>
    <w:p>
      <w:pPr>
        <w:spacing w:after="0" w:line="128"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8"/>
          <w:szCs w:val="18"/>
          <w:color w:val="auto"/>
        </w:rPr>
        <w:t>The following related-person transactions do not require approval and we have determined that each will be deemed pre-approved by the Governance Committee:</w:t>
      </w:r>
    </w:p>
    <w:p>
      <w:pPr>
        <w:spacing w:after="0" w:line="113" w:lineRule="exact"/>
        <w:rPr>
          <w:sz w:val="20"/>
          <w:szCs w:val="20"/>
          <w:color w:val="auto"/>
        </w:rPr>
      </w:pPr>
    </w:p>
    <w:p>
      <w:pPr>
        <w:jc w:val="both"/>
        <w:ind w:left="346" w:right="20" w:hanging="346"/>
        <w:spacing w:after="0" w:line="253" w:lineRule="auto"/>
        <w:tabs>
          <w:tab w:leader="none" w:pos="3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transaction with another Company with which a related person’s only relationship is as an employee or beneficial owner of less than ten percent of that Company’s shares, if the aggregate amount invested does not exceed the greater of $1 million or two percent of that Company’s consolidated gross revenues;</w:t>
      </w:r>
    </w:p>
    <w:p>
      <w:pPr>
        <w:spacing w:after="0" w:line="141" w:lineRule="exact"/>
        <w:rPr>
          <w:rFonts w:ascii="Arial" w:cs="Arial" w:eastAsia="Arial" w:hAnsi="Arial"/>
          <w:sz w:val="18"/>
          <w:szCs w:val="18"/>
          <w:color w:val="auto"/>
        </w:rPr>
      </w:pPr>
    </w:p>
    <w:p>
      <w:pPr>
        <w:jc w:val="both"/>
        <w:ind w:left="346" w:right="20" w:hanging="346"/>
        <w:spacing w:after="0" w:line="253" w:lineRule="auto"/>
        <w:tabs>
          <w:tab w:leader="none" w:pos="3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relationship with a firm, corporation or other entity that engages in a transaction with Pitney Bowes where the related person’s interest in the transaction arises only from his or her position as a director or limited partner of the other entity that is party to the transaction;</w:t>
      </w:r>
    </w:p>
    <w:p>
      <w:pPr>
        <w:spacing w:after="0" w:line="128" w:lineRule="exact"/>
        <w:rPr>
          <w:rFonts w:ascii="Arial" w:cs="Arial" w:eastAsia="Arial" w:hAnsi="Arial"/>
          <w:sz w:val="18"/>
          <w:szCs w:val="18"/>
          <w:color w:val="auto"/>
        </w:rPr>
      </w:pPr>
    </w:p>
    <w:p>
      <w:pPr>
        <w:jc w:val="both"/>
        <w:ind w:left="346" w:hanging="346"/>
        <w:spacing w:after="0" w:line="253" w:lineRule="auto"/>
        <w:tabs>
          <w:tab w:leader="none" w:pos="3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charitable contribution by Pitney Bowes to a charitable organization where a related person is an officer, director or trustee, if the aggregate amount involved does not exceed the greater of $1 million or two percent of the charitable organization’s consolidated gross revenues;</w:t>
      </w:r>
    </w:p>
    <w:p>
      <w:pPr>
        <w:spacing w:after="0" w:line="128" w:lineRule="exact"/>
        <w:rPr>
          <w:rFonts w:ascii="Arial" w:cs="Arial" w:eastAsia="Arial" w:hAnsi="Arial"/>
          <w:sz w:val="18"/>
          <w:szCs w:val="18"/>
          <w:color w:val="auto"/>
        </w:rPr>
      </w:pPr>
    </w:p>
    <w:p>
      <w:pPr>
        <w:ind w:left="346" w:right="20" w:hanging="346"/>
        <w:spacing w:after="0" w:line="271" w:lineRule="auto"/>
        <w:tabs>
          <w:tab w:leader="none" w:pos="3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transaction involving a related person where the rates or charges involved are determined by competitive bids; and,</w:t>
      </w:r>
    </w:p>
    <w:p>
      <w:pPr>
        <w:spacing w:after="0" w:line="126" w:lineRule="exact"/>
        <w:rPr>
          <w:rFonts w:ascii="Arial" w:cs="Arial" w:eastAsia="Arial" w:hAnsi="Arial"/>
          <w:sz w:val="18"/>
          <w:szCs w:val="18"/>
          <w:color w:val="auto"/>
        </w:rPr>
      </w:pPr>
    </w:p>
    <w:p>
      <w:pPr>
        <w:ind w:left="346" w:right="20" w:hanging="346"/>
        <w:spacing w:after="0" w:line="271" w:lineRule="auto"/>
        <w:tabs>
          <w:tab w:leader="none" w:pos="3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transaction with a related person involving services as a bank depositary of funds, transfer agent, registrar, trustee under a trust indenture, or similar services.</w:t>
      </w:r>
    </w:p>
    <w:p>
      <w:pPr>
        <w:spacing w:after="0" w:line="113" w:lineRule="exact"/>
        <w:rPr>
          <w:sz w:val="20"/>
          <w:szCs w:val="20"/>
          <w:color w:val="auto"/>
        </w:rPr>
      </w:pPr>
    </w:p>
    <w:p>
      <w:pPr>
        <w:jc w:val="both"/>
        <w:ind w:left="6" w:right="20"/>
        <w:spacing w:after="0" w:line="253" w:lineRule="auto"/>
        <w:rPr>
          <w:sz w:val="20"/>
          <w:szCs w:val="20"/>
          <w:color w:val="auto"/>
        </w:rPr>
      </w:pPr>
      <w:r>
        <w:rPr>
          <w:rFonts w:ascii="Arial" w:cs="Arial" w:eastAsia="Arial" w:hAnsi="Arial"/>
          <w:sz w:val="18"/>
          <w:szCs w:val="18"/>
          <w:color w:val="auto"/>
        </w:rPr>
        <w:t>The Governance Committee may delegate authority to approve related-person transactions to one or more of its members. The member to whom such authority is delegated must report, for informational purposes only, any approval or ratification decisions to the Governance Committee at its next scheduled meeting.</w:t>
      </w:r>
    </w:p>
    <w:p>
      <w:pPr>
        <w:spacing w:after="0" w:line="169" w:lineRule="exact"/>
        <w:rPr>
          <w:sz w:val="20"/>
          <w:szCs w:val="20"/>
          <w:color w:val="auto"/>
        </w:rPr>
      </w:pPr>
    </w:p>
    <w:p>
      <w:pPr>
        <w:ind w:left="6"/>
        <w:spacing w:after="0"/>
        <w:rPr>
          <w:sz w:val="20"/>
          <w:szCs w:val="20"/>
          <w:color w:val="auto"/>
        </w:rPr>
      </w:pPr>
      <w:r>
        <w:rPr>
          <w:rFonts w:ascii="Arial" w:cs="Arial" w:eastAsia="Arial" w:hAnsi="Arial"/>
          <w:sz w:val="18"/>
          <w:szCs w:val="18"/>
          <w:color w:val="auto"/>
        </w:rPr>
        <w:t>Other than as disclosed in this Proxy Statement, there were no such transactions since January 1, 2023.</w:t>
      </w:r>
    </w:p>
    <w:p>
      <w:pPr>
        <w:spacing w:after="0" w:line="212"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120650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STOCK OWNERSHIP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32"/>
          <w:szCs w:val="32"/>
          <w:b w:val="1"/>
          <w:bCs w:val="1"/>
          <w:color w:val="4B5A89"/>
        </w:rPr>
        <w:t>Stock Ownership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58293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8"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The following table sets forth the number of shares of Common Stock reported to be beneficially owned by (i) each of our directors and director nominees, and each executive officer named in the Summary Compensation Table (NEOs) and (ii) all directors, director nominees and executive officers as a group. Information reported with respect to our directors, director nominees and executive officers is based on ownership as of the close of business on February 15, 2024.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ind w:left="160"/>
              <w:spacing w:after="0"/>
              <w:rPr>
                <w:sz w:val="20"/>
                <w:szCs w:val="20"/>
                <w:color w:val="auto"/>
              </w:rPr>
            </w:pPr>
            <w:r>
              <w:rPr>
                <w:rFonts w:ascii="Arial" w:cs="Arial" w:eastAsia="Arial" w:hAnsi="Arial"/>
                <w:sz w:val="14"/>
                <w:szCs w:val="14"/>
                <w:b w:val="1"/>
                <w:bCs w:val="1"/>
                <w:color w:val="auto"/>
              </w:rPr>
              <w:t>Title of</w:t>
            </w:r>
          </w:p>
        </w:tc>
        <w:tc>
          <w:tcPr>
            <w:tcW w:w="6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20" w:type="dxa"/>
            <w:vAlign w:val="bottom"/>
            <w:gridSpan w:val="2"/>
          </w:tcPr>
          <w:p>
            <w:pPr>
              <w:jc w:val="center"/>
              <w:ind w:left="106"/>
              <w:spacing w:after="0"/>
              <w:rPr>
                <w:sz w:val="20"/>
                <w:szCs w:val="20"/>
                <w:color w:val="auto"/>
              </w:rPr>
            </w:pPr>
            <w:r>
              <w:rPr>
                <w:rFonts w:ascii="Arial" w:cs="Arial" w:eastAsia="Arial" w:hAnsi="Arial"/>
                <w:sz w:val="14"/>
                <w:szCs w:val="14"/>
                <w:b w:val="1"/>
                <w:bCs w:val="1"/>
                <w:color w:val="auto"/>
              </w:rPr>
              <w:t>Shares Deemed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880" w:type="dxa"/>
            <w:vAlign w:val="bottom"/>
          </w:tcPr>
          <w:p>
            <w:pPr>
              <w:spacing w:after="0"/>
              <w:rPr>
                <w:sz w:val="14"/>
                <w:szCs w:val="14"/>
                <w:color w:val="auto"/>
              </w:rPr>
            </w:pPr>
          </w:p>
        </w:tc>
      </w:tr>
      <w:tr>
        <w:trPr>
          <w:trHeight w:val="162"/>
        </w:trPr>
        <w:tc>
          <w:tcPr>
            <w:tcW w:w="920" w:type="dxa"/>
            <w:vAlign w:val="bottom"/>
          </w:tcPr>
          <w:p>
            <w:pPr>
              <w:ind w:left="120"/>
              <w:spacing w:after="0"/>
              <w:rPr>
                <w:sz w:val="20"/>
                <w:szCs w:val="20"/>
                <w:color w:val="auto"/>
              </w:rPr>
            </w:pPr>
            <w:r>
              <w:rPr>
                <w:rFonts w:ascii="Arial" w:cs="Arial" w:eastAsia="Arial" w:hAnsi="Arial"/>
                <w:sz w:val="14"/>
                <w:szCs w:val="14"/>
                <w:b w:val="1"/>
                <w:bCs w:val="1"/>
                <w:color w:val="auto"/>
              </w:rPr>
              <w:t>Class of</w:t>
            </w:r>
          </w:p>
        </w:tc>
        <w:tc>
          <w:tcPr>
            <w:tcW w:w="6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20" w:type="dxa"/>
            <w:vAlign w:val="bottom"/>
            <w:gridSpan w:val="2"/>
          </w:tcPr>
          <w:p>
            <w:pPr>
              <w:jc w:val="center"/>
              <w:ind w:left="86"/>
              <w:spacing w:after="0"/>
              <w:rPr>
                <w:sz w:val="20"/>
                <w:szCs w:val="20"/>
                <w:color w:val="auto"/>
              </w:rPr>
            </w:pPr>
            <w:r>
              <w:rPr>
                <w:rFonts w:ascii="Arial" w:cs="Arial" w:eastAsia="Arial" w:hAnsi="Arial"/>
                <w:sz w:val="14"/>
                <w:szCs w:val="14"/>
                <w:b w:val="1"/>
                <w:bCs w:val="1"/>
                <w:color w:val="auto"/>
              </w:rPr>
              <w:t>to be Beneficially</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Exercisable</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Percent of</w:t>
            </w:r>
          </w:p>
        </w:tc>
      </w:tr>
      <w:tr>
        <w:trPr>
          <w:trHeight w:val="270"/>
        </w:trPr>
        <w:tc>
          <w:tcPr>
            <w:tcW w:w="920" w:type="dxa"/>
            <w:vAlign w:val="bottom"/>
            <w:tcBorders>
              <w:bottom w:val="single" w:sz="8" w:color="0072AF"/>
            </w:tcBorders>
          </w:tcPr>
          <w:p>
            <w:pPr>
              <w:ind w:left="220"/>
              <w:spacing w:after="0"/>
              <w:rPr>
                <w:sz w:val="20"/>
                <w:szCs w:val="20"/>
                <w:color w:val="auto"/>
              </w:rPr>
            </w:pPr>
            <w:r>
              <w:rPr>
                <w:rFonts w:ascii="Arial" w:cs="Arial" w:eastAsia="Arial" w:hAnsi="Arial"/>
                <w:sz w:val="14"/>
                <w:szCs w:val="14"/>
                <w:b w:val="1"/>
                <w:bCs w:val="1"/>
                <w:color w:val="auto"/>
              </w:rPr>
              <w:t>Stock</w:t>
            </w:r>
          </w:p>
        </w:tc>
        <w:tc>
          <w:tcPr>
            <w:tcW w:w="600" w:type="dxa"/>
            <w:vAlign w:val="bottom"/>
            <w:tcBorders>
              <w:bottom w:val="single" w:sz="8" w:color="0072AF"/>
            </w:tcBorders>
          </w:tcPr>
          <w:p>
            <w:pPr>
              <w:spacing w:after="0"/>
              <w:rPr>
                <w:sz w:val="23"/>
                <w:szCs w:val="23"/>
                <w:color w:val="auto"/>
              </w:rPr>
            </w:pPr>
          </w:p>
        </w:tc>
        <w:tc>
          <w:tcPr>
            <w:tcW w:w="3720" w:type="dxa"/>
            <w:vAlign w:val="bottom"/>
            <w:tcBorders>
              <w:bottom w:val="single" w:sz="8" w:color="0072AF"/>
            </w:tcBorders>
          </w:tcPr>
          <w:p>
            <w:pPr>
              <w:ind w:left="780"/>
              <w:spacing w:after="0"/>
              <w:rPr>
                <w:sz w:val="20"/>
                <w:szCs w:val="20"/>
                <w:color w:val="auto"/>
              </w:rPr>
            </w:pPr>
            <w:r>
              <w:rPr>
                <w:rFonts w:ascii="Arial" w:cs="Arial" w:eastAsia="Arial" w:hAnsi="Arial"/>
                <w:sz w:val="14"/>
                <w:szCs w:val="14"/>
                <w:b w:val="1"/>
                <w:bCs w:val="1"/>
                <w:color w:val="auto"/>
              </w:rPr>
              <w:t>Name of Beneficial Owner</w:t>
            </w:r>
          </w:p>
        </w:tc>
        <w:tc>
          <w:tcPr>
            <w:tcW w:w="1620" w:type="dxa"/>
            <w:vAlign w:val="bottom"/>
            <w:tcBorders>
              <w:bottom w:val="single" w:sz="8" w:color="0072AF"/>
            </w:tcBorders>
            <w:gridSpan w:val="2"/>
          </w:tcPr>
          <w:p>
            <w:pPr>
              <w:jc w:val="center"/>
              <w:ind w:left="146"/>
              <w:spacing w:after="0" w:line="270" w:lineRule="exact"/>
              <w:rPr>
                <w:sz w:val="20"/>
                <w:szCs w:val="20"/>
                <w:color w:val="auto"/>
              </w:rPr>
            </w:pPr>
            <w:r>
              <w:rPr>
                <w:rFonts w:ascii="Arial" w:cs="Arial" w:eastAsia="Arial" w:hAnsi="Arial"/>
                <w:sz w:val="28"/>
                <w:szCs w:val="28"/>
                <w:b w:val="1"/>
                <w:bCs w:val="1"/>
                <w:color w:val="auto"/>
                <w:w w:val="86"/>
                <w:vertAlign w:val="subscript"/>
              </w:rPr>
              <w:t>Owned</w:t>
            </w:r>
            <w:r>
              <w:rPr>
                <w:rFonts w:ascii="Arial" w:cs="Arial" w:eastAsia="Arial" w:hAnsi="Arial"/>
                <w:sz w:val="12"/>
                <w:szCs w:val="12"/>
                <w:b w:val="1"/>
                <w:bCs w:val="1"/>
                <w:color w:val="auto"/>
                <w:w w:val="86"/>
              </w:rPr>
              <w:t>(1)(2)(3)</w:t>
            </w:r>
          </w:p>
        </w:tc>
        <w:tc>
          <w:tcPr>
            <w:tcW w:w="1440" w:type="dxa"/>
            <w:vAlign w:val="bottom"/>
            <w:tcBorders>
              <w:bottom w:val="single" w:sz="8" w:color="0072AF"/>
            </w:tcBorders>
          </w:tcPr>
          <w:p>
            <w:pPr>
              <w:jc w:val="center"/>
              <w:spacing w:after="0"/>
              <w:rPr>
                <w:sz w:val="20"/>
                <w:szCs w:val="20"/>
                <w:color w:val="auto"/>
              </w:rPr>
            </w:pPr>
            <w:r>
              <w:rPr>
                <w:rFonts w:ascii="Arial" w:cs="Arial" w:eastAsia="Arial" w:hAnsi="Arial"/>
                <w:sz w:val="14"/>
                <w:szCs w:val="14"/>
                <w:b w:val="1"/>
                <w:bCs w:val="1"/>
                <w:color w:val="auto"/>
                <w:w w:val="99"/>
              </w:rPr>
              <w:t>Within 60 Days</w:t>
            </w:r>
            <w:r>
              <w:rPr>
                <w:rFonts w:ascii="Arial" w:cs="Arial" w:eastAsia="Arial" w:hAnsi="Arial"/>
                <w:sz w:val="23"/>
                <w:szCs w:val="23"/>
                <w:b w:val="1"/>
                <w:bCs w:val="1"/>
                <w:color w:val="auto"/>
                <w:w w:val="99"/>
                <w:vertAlign w:val="superscript"/>
              </w:rPr>
              <w:t>(4)</w:t>
            </w:r>
          </w:p>
        </w:tc>
        <w:tc>
          <w:tcPr>
            <w:tcW w:w="880" w:type="dxa"/>
            <w:vAlign w:val="bottom"/>
            <w:tcBorders>
              <w:bottom w:val="single" w:sz="8" w:color="0072AF"/>
            </w:tcBorders>
          </w:tcPr>
          <w:p>
            <w:pPr>
              <w:jc w:val="right"/>
              <w:ind w:right="120"/>
              <w:spacing w:after="0"/>
              <w:rPr>
                <w:sz w:val="20"/>
                <w:szCs w:val="20"/>
                <w:color w:val="auto"/>
              </w:rPr>
            </w:pPr>
            <w:r>
              <w:rPr>
                <w:rFonts w:ascii="Arial" w:cs="Arial" w:eastAsia="Arial" w:hAnsi="Arial"/>
                <w:sz w:val="14"/>
                <w:szCs w:val="14"/>
                <w:b w:val="1"/>
                <w:bCs w:val="1"/>
                <w:color w:val="auto"/>
              </w:rPr>
              <w:t>Class</w:t>
            </w:r>
          </w:p>
        </w:tc>
      </w:tr>
      <w:tr>
        <w:trPr>
          <w:trHeight w:val="275"/>
        </w:trPr>
        <w:tc>
          <w:tcPr>
            <w:tcW w:w="920" w:type="dxa"/>
            <w:vAlign w:val="bottom"/>
          </w:tcPr>
          <w:p>
            <w:pPr>
              <w:ind w:left="100"/>
              <w:spacing w:after="0"/>
              <w:rPr>
                <w:sz w:val="20"/>
                <w:szCs w:val="20"/>
                <w:color w:val="auto"/>
              </w:rPr>
            </w:pPr>
            <w:r>
              <w:rPr>
                <w:rFonts w:ascii="Arial" w:cs="Arial" w:eastAsia="Arial" w:hAnsi="Arial"/>
                <w:sz w:val="16"/>
                <w:szCs w:val="16"/>
                <w:color w:val="auto"/>
              </w:rPr>
              <w:t>Common</w:t>
            </w:r>
          </w:p>
        </w:tc>
        <w:tc>
          <w:tcPr>
            <w:tcW w:w="4320" w:type="dxa"/>
            <w:vAlign w:val="bottom"/>
            <w:gridSpan w:val="2"/>
          </w:tcPr>
          <w:p>
            <w:pPr>
              <w:ind w:left="120"/>
              <w:spacing w:after="0"/>
              <w:rPr>
                <w:sz w:val="20"/>
                <w:szCs w:val="20"/>
                <w:color w:val="auto"/>
              </w:rPr>
            </w:pPr>
            <w:r>
              <w:rPr>
                <w:rFonts w:ascii="Arial" w:cs="Arial" w:eastAsia="Arial" w:hAnsi="Arial"/>
                <w:sz w:val="16"/>
                <w:szCs w:val="16"/>
                <w:color w:val="auto"/>
              </w:rPr>
              <w:t>Milena Alberti-Perez</w:t>
            </w:r>
          </w:p>
        </w:tc>
        <w:tc>
          <w:tcPr>
            <w:tcW w:w="540" w:type="dxa"/>
            <w:vAlign w:val="bottom"/>
          </w:tcPr>
          <w:p>
            <w:pPr>
              <w:spacing w:after="0"/>
              <w:rPr>
                <w:sz w:val="23"/>
                <w:szCs w:val="23"/>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color w:val="auto"/>
              </w:rPr>
              <w:t>500</w:t>
            </w:r>
          </w:p>
        </w:tc>
        <w:tc>
          <w:tcPr>
            <w:tcW w:w="1440" w:type="dxa"/>
            <w:vAlign w:val="bottom"/>
          </w:tcPr>
          <w:p>
            <w:pPr>
              <w:jc w:val="right"/>
              <w:ind w:right="340"/>
              <w:spacing w:after="0"/>
              <w:rPr>
                <w:sz w:val="20"/>
                <w:szCs w:val="20"/>
                <w:color w:val="auto"/>
              </w:rPr>
            </w:pPr>
            <w:r>
              <w:rPr>
                <w:rFonts w:ascii="Arial" w:cs="Arial" w:eastAsia="Arial" w:hAnsi="Arial"/>
                <w:sz w:val="16"/>
                <w:szCs w:val="16"/>
                <w:color w:val="auto"/>
              </w:rPr>
              <w:t>0</w:t>
            </w:r>
          </w:p>
        </w:tc>
        <w:tc>
          <w:tcPr>
            <w:tcW w:w="880" w:type="dxa"/>
            <w:vAlign w:val="bottom"/>
          </w:tcPr>
          <w:p>
            <w:pPr>
              <w:jc w:val="right"/>
              <w:ind w:right="160"/>
              <w:spacing w:after="0"/>
              <w:rPr>
                <w:sz w:val="20"/>
                <w:szCs w:val="20"/>
                <w:color w:val="auto"/>
              </w:rPr>
            </w:pPr>
            <w:r>
              <w:rPr>
                <w:rFonts w:ascii="Arial" w:cs="Arial" w:eastAsia="Arial" w:hAnsi="Arial"/>
                <w:sz w:val="16"/>
                <w:szCs w:val="16"/>
                <w:color w:val="auto"/>
              </w:rPr>
              <w:t>*</w:t>
            </w:r>
          </w:p>
        </w:tc>
      </w:tr>
      <w:tr>
        <w:trPr>
          <w:trHeight w:val="56"/>
        </w:trPr>
        <w:tc>
          <w:tcPr>
            <w:tcW w:w="920" w:type="dxa"/>
            <w:vAlign w:val="bottom"/>
          </w:tcPr>
          <w:p>
            <w:pPr>
              <w:spacing w:after="0"/>
              <w:rPr>
                <w:sz w:val="4"/>
                <w:szCs w:val="4"/>
                <w:color w:val="auto"/>
              </w:rPr>
            </w:pPr>
          </w:p>
        </w:tc>
        <w:tc>
          <w:tcPr>
            <w:tcW w:w="4320" w:type="dxa"/>
            <w:vAlign w:val="bottom"/>
            <w:gridSpan w:val="2"/>
          </w:tcPr>
          <w:p>
            <w:pPr>
              <w:spacing w:after="0"/>
              <w:rPr>
                <w:sz w:val="4"/>
                <w:szCs w:val="4"/>
                <w:color w:val="auto"/>
              </w:rPr>
            </w:pPr>
          </w:p>
        </w:tc>
        <w:tc>
          <w:tcPr>
            <w:tcW w:w="5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04"/>
        </w:trPr>
        <w:tc>
          <w:tcPr>
            <w:tcW w:w="920" w:type="dxa"/>
            <w:vAlign w:val="bottom"/>
            <w:tcBorders>
              <w:bottom w:val="single" w:sz="8" w:color="CBCEE0"/>
            </w:tcBorders>
            <w:shd w:val="clear" w:color="auto" w:fill="CBCEE0"/>
          </w:tcPr>
          <w:p>
            <w:pPr>
              <w:ind w:left="100"/>
              <w:spacing w:after="0"/>
              <w:rPr>
                <w:sz w:val="20"/>
                <w:szCs w:val="20"/>
                <w:color w:val="auto"/>
              </w:rPr>
            </w:pPr>
            <w:r>
              <w:rPr>
                <w:rFonts w:ascii="Arial" w:cs="Arial" w:eastAsia="Arial" w:hAnsi="Arial"/>
                <w:sz w:val="16"/>
                <w:szCs w:val="16"/>
                <w:color w:val="auto"/>
              </w:rPr>
              <w:t>Common</w:t>
            </w:r>
          </w:p>
        </w:tc>
        <w:tc>
          <w:tcPr>
            <w:tcW w:w="4320" w:type="dxa"/>
            <w:vAlign w:val="bottom"/>
            <w:tcBorders>
              <w:bottom w:val="single" w:sz="8" w:color="CBCEE0"/>
            </w:tcBorders>
            <w:gridSpan w:val="2"/>
            <w:shd w:val="clear" w:color="auto" w:fill="CBCEE0"/>
          </w:tcPr>
          <w:p>
            <w:pPr>
              <w:ind w:left="120"/>
              <w:spacing w:after="0"/>
              <w:rPr>
                <w:sz w:val="20"/>
                <w:szCs w:val="20"/>
                <w:color w:val="auto"/>
              </w:rPr>
            </w:pPr>
            <w:r>
              <w:rPr>
                <w:rFonts w:ascii="Arial" w:cs="Arial" w:eastAsia="Arial" w:hAnsi="Arial"/>
                <w:sz w:val="16"/>
                <w:szCs w:val="16"/>
                <w:color w:val="auto"/>
              </w:rPr>
              <w:t>Steven D. Brill</w:t>
            </w:r>
          </w:p>
        </w:tc>
        <w:tc>
          <w:tcPr>
            <w:tcW w:w="540" w:type="dxa"/>
            <w:vAlign w:val="bottom"/>
            <w:tcBorders>
              <w:bottom w:val="single" w:sz="8" w:color="CBCEE0"/>
            </w:tcBorders>
            <w:shd w:val="clear" w:color="auto" w:fill="CBCEE0"/>
          </w:tcPr>
          <w:p>
            <w:pPr>
              <w:spacing w:after="0"/>
              <w:rPr>
                <w:sz w:val="24"/>
                <w:szCs w:val="24"/>
                <w:color w:val="auto"/>
              </w:rPr>
            </w:pPr>
          </w:p>
        </w:tc>
        <w:tc>
          <w:tcPr>
            <w:tcW w:w="1080" w:type="dxa"/>
            <w:vAlign w:val="bottom"/>
            <w:tcBorders>
              <w:bottom w:val="single" w:sz="8" w:color="CBCEE0"/>
            </w:tcBorders>
            <w:shd w:val="clear" w:color="auto" w:fill="CBCEE0"/>
          </w:tcPr>
          <w:p>
            <w:pPr>
              <w:jc w:val="right"/>
              <w:ind w:right="279"/>
              <w:spacing w:after="0"/>
              <w:rPr>
                <w:sz w:val="20"/>
                <w:szCs w:val="20"/>
                <w:color w:val="auto"/>
              </w:rPr>
            </w:pPr>
            <w:r>
              <w:rPr>
                <w:rFonts w:ascii="Arial" w:cs="Arial" w:eastAsia="Arial" w:hAnsi="Arial"/>
                <w:sz w:val="16"/>
                <w:szCs w:val="16"/>
                <w:color w:val="auto"/>
              </w:rPr>
              <w:t>3,725</w:t>
            </w:r>
          </w:p>
        </w:tc>
        <w:tc>
          <w:tcPr>
            <w:tcW w:w="1440" w:type="dxa"/>
            <w:vAlign w:val="bottom"/>
            <w:tcBorders>
              <w:bottom w:val="single" w:sz="8" w:color="CBCEE0"/>
            </w:tcBorders>
            <w:shd w:val="clear" w:color="auto" w:fill="CBCEE0"/>
          </w:tcPr>
          <w:p>
            <w:pPr>
              <w:jc w:val="right"/>
              <w:ind w:right="320"/>
              <w:spacing w:after="0"/>
              <w:rPr>
                <w:sz w:val="20"/>
                <w:szCs w:val="20"/>
                <w:color w:val="auto"/>
              </w:rPr>
            </w:pPr>
            <w:r>
              <w:rPr>
                <w:rFonts w:ascii="Arial" w:cs="Arial" w:eastAsia="Arial" w:hAnsi="Arial"/>
                <w:sz w:val="16"/>
                <w:szCs w:val="16"/>
                <w:color w:val="auto"/>
              </w:rPr>
              <w:t>3,725</w:t>
            </w:r>
          </w:p>
        </w:tc>
        <w:tc>
          <w:tcPr>
            <w:tcW w:w="880" w:type="dxa"/>
            <w:vAlign w:val="bottom"/>
            <w:tcBorders>
              <w:bottom w:val="single" w:sz="8" w:color="CBCEE0"/>
            </w:tcBorders>
            <w:shd w:val="clear" w:color="auto" w:fill="CBCEE0"/>
          </w:tcPr>
          <w:p>
            <w:pPr>
              <w:jc w:val="right"/>
              <w:ind w:right="160"/>
              <w:spacing w:after="0"/>
              <w:rPr>
                <w:sz w:val="20"/>
                <w:szCs w:val="20"/>
                <w:color w:val="auto"/>
              </w:rPr>
            </w:pPr>
            <w:r>
              <w:rPr>
                <w:rFonts w:ascii="Arial" w:cs="Arial" w:eastAsia="Arial" w:hAnsi="Arial"/>
                <w:sz w:val="16"/>
                <w:szCs w:val="16"/>
                <w:color w:val="auto"/>
              </w:rPr>
              <w:t>*</w:t>
            </w:r>
          </w:p>
        </w:tc>
      </w:tr>
      <w:tr>
        <w:trPr>
          <w:trHeight w:val="268"/>
        </w:trPr>
        <w:tc>
          <w:tcPr>
            <w:tcW w:w="920" w:type="dxa"/>
            <w:vAlign w:val="bottom"/>
          </w:tcPr>
          <w:p>
            <w:pPr>
              <w:ind w:left="100"/>
              <w:spacing w:after="0"/>
              <w:rPr>
                <w:sz w:val="20"/>
                <w:szCs w:val="20"/>
                <w:color w:val="auto"/>
              </w:rPr>
            </w:pPr>
            <w:r>
              <w:rPr>
                <w:rFonts w:ascii="Arial" w:cs="Arial" w:eastAsia="Arial" w:hAnsi="Arial"/>
                <w:sz w:val="16"/>
                <w:szCs w:val="16"/>
                <w:color w:val="auto"/>
              </w:rPr>
              <w:t>Common</w:t>
            </w:r>
          </w:p>
        </w:tc>
        <w:tc>
          <w:tcPr>
            <w:tcW w:w="4320" w:type="dxa"/>
            <w:vAlign w:val="bottom"/>
            <w:gridSpan w:val="2"/>
          </w:tcPr>
          <w:p>
            <w:pPr>
              <w:ind w:left="120"/>
              <w:spacing w:after="0"/>
              <w:rPr>
                <w:sz w:val="20"/>
                <w:szCs w:val="20"/>
                <w:color w:val="auto"/>
              </w:rPr>
            </w:pPr>
            <w:r>
              <w:rPr>
                <w:rFonts w:ascii="Arial" w:cs="Arial" w:eastAsia="Arial" w:hAnsi="Arial"/>
                <w:sz w:val="16"/>
                <w:szCs w:val="16"/>
                <w:color w:val="auto"/>
              </w:rPr>
              <w:t>Todd Everett</w:t>
            </w:r>
          </w:p>
        </w:tc>
        <w:tc>
          <w:tcPr>
            <w:tcW w:w="540" w:type="dxa"/>
            <w:vAlign w:val="bottom"/>
          </w:tcPr>
          <w:p>
            <w:pPr>
              <w:spacing w:after="0"/>
              <w:rPr>
                <w:sz w:val="23"/>
                <w:szCs w:val="23"/>
                <w:color w:val="auto"/>
              </w:rPr>
            </w:pP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10,472</w:t>
            </w:r>
          </w:p>
        </w:tc>
        <w:tc>
          <w:tcPr>
            <w:tcW w:w="1440" w:type="dxa"/>
            <w:vAlign w:val="bottom"/>
          </w:tcPr>
          <w:p>
            <w:pPr>
              <w:jc w:val="right"/>
              <w:ind w:right="340"/>
              <w:spacing w:after="0"/>
              <w:rPr>
                <w:sz w:val="20"/>
                <w:szCs w:val="20"/>
                <w:color w:val="auto"/>
              </w:rPr>
            </w:pPr>
            <w:r>
              <w:rPr>
                <w:rFonts w:ascii="Arial" w:cs="Arial" w:eastAsia="Arial" w:hAnsi="Arial"/>
                <w:sz w:val="16"/>
                <w:szCs w:val="16"/>
                <w:color w:val="auto"/>
              </w:rPr>
              <w:t>0</w:t>
            </w:r>
          </w:p>
        </w:tc>
        <w:tc>
          <w:tcPr>
            <w:tcW w:w="880" w:type="dxa"/>
            <w:vAlign w:val="bottom"/>
          </w:tcPr>
          <w:p>
            <w:pPr>
              <w:jc w:val="right"/>
              <w:ind w:right="160"/>
              <w:spacing w:after="0"/>
              <w:rPr>
                <w:sz w:val="20"/>
                <w:szCs w:val="20"/>
                <w:color w:val="auto"/>
              </w:rPr>
            </w:pPr>
            <w:r>
              <w:rPr>
                <w:rFonts w:ascii="Arial" w:cs="Arial" w:eastAsia="Arial" w:hAnsi="Arial"/>
                <w:sz w:val="16"/>
                <w:szCs w:val="16"/>
                <w:color w:val="auto"/>
              </w:rPr>
              <w:t>*</w:t>
            </w:r>
          </w:p>
        </w:tc>
      </w:tr>
      <w:tr>
        <w:trPr>
          <w:trHeight w:val="56"/>
        </w:trPr>
        <w:tc>
          <w:tcPr>
            <w:tcW w:w="920" w:type="dxa"/>
            <w:vAlign w:val="bottom"/>
          </w:tcPr>
          <w:p>
            <w:pPr>
              <w:spacing w:after="0"/>
              <w:rPr>
                <w:sz w:val="4"/>
                <w:szCs w:val="4"/>
                <w:color w:val="auto"/>
              </w:rPr>
            </w:pPr>
          </w:p>
        </w:tc>
        <w:tc>
          <w:tcPr>
            <w:tcW w:w="4320" w:type="dxa"/>
            <w:vAlign w:val="bottom"/>
            <w:gridSpan w:val="2"/>
          </w:tcPr>
          <w:p>
            <w:pPr>
              <w:spacing w:after="0"/>
              <w:rPr>
                <w:sz w:val="4"/>
                <w:szCs w:val="4"/>
                <w:color w:val="auto"/>
              </w:rPr>
            </w:pPr>
          </w:p>
        </w:tc>
        <w:tc>
          <w:tcPr>
            <w:tcW w:w="5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04"/>
        </w:trPr>
        <w:tc>
          <w:tcPr>
            <w:tcW w:w="920" w:type="dxa"/>
            <w:vAlign w:val="bottom"/>
            <w:tcBorders>
              <w:bottom w:val="single" w:sz="8" w:color="CBCEE0"/>
            </w:tcBorders>
            <w:shd w:val="clear" w:color="auto" w:fill="CBCEE0"/>
          </w:tcPr>
          <w:p>
            <w:pPr>
              <w:ind w:left="100"/>
              <w:spacing w:after="0"/>
              <w:rPr>
                <w:sz w:val="20"/>
                <w:szCs w:val="20"/>
                <w:color w:val="auto"/>
              </w:rPr>
            </w:pPr>
            <w:r>
              <w:rPr>
                <w:rFonts w:ascii="Arial" w:cs="Arial" w:eastAsia="Arial" w:hAnsi="Arial"/>
                <w:sz w:val="16"/>
                <w:szCs w:val="16"/>
                <w:color w:val="auto"/>
              </w:rPr>
              <w:t>Common</w:t>
            </w:r>
          </w:p>
        </w:tc>
        <w:tc>
          <w:tcPr>
            <w:tcW w:w="4320" w:type="dxa"/>
            <w:vAlign w:val="bottom"/>
            <w:tcBorders>
              <w:bottom w:val="single" w:sz="8" w:color="CBCEE0"/>
            </w:tcBorders>
            <w:gridSpan w:val="2"/>
            <w:shd w:val="clear" w:color="auto" w:fill="CBCEE0"/>
          </w:tcPr>
          <w:p>
            <w:pPr>
              <w:ind w:left="120"/>
              <w:spacing w:after="0"/>
              <w:rPr>
                <w:sz w:val="20"/>
                <w:szCs w:val="20"/>
                <w:color w:val="auto"/>
              </w:rPr>
            </w:pPr>
            <w:r>
              <w:rPr>
                <w:rFonts w:ascii="Arial" w:cs="Arial" w:eastAsia="Arial" w:hAnsi="Arial"/>
                <w:sz w:val="16"/>
                <w:szCs w:val="16"/>
                <w:color w:val="auto"/>
              </w:rPr>
              <w:t>Mary J. Steele Guilfoile</w:t>
            </w:r>
          </w:p>
        </w:tc>
        <w:tc>
          <w:tcPr>
            <w:tcW w:w="540" w:type="dxa"/>
            <w:vAlign w:val="bottom"/>
            <w:tcBorders>
              <w:bottom w:val="single" w:sz="8" w:color="CBCEE0"/>
            </w:tcBorders>
            <w:shd w:val="clear" w:color="auto" w:fill="CBCEE0"/>
          </w:tcPr>
          <w:p>
            <w:pPr>
              <w:spacing w:after="0"/>
              <w:rPr>
                <w:sz w:val="24"/>
                <w:szCs w:val="24"/>
                <w:color w:val="auto"/>
              </w:rPr>
            </w:pPr>
          </w:p>
        </w:tc>
        <w:tc>
          <w:tcPr>
            <w:tcW w:w="1080" w:type="dxa"/>
            <w:vAlign w:val="bottom"/>
            <w:tcBorders>
              <w:bottom w:val="single" w:sz="8" w:color="CBCEE0"/>
            </w:tcBorders>
            <w:shd w:val="clear" w:color="auto" w:fill="CBCEE0"/>
          </w:tcPr>
          <w:p>
            <w:pPr>
              <w:jc w:val="right"/>
              <w:ind w:right="279"/>
              <w:spacing w:after="0"/>
              <w:rPr>
                <w:sz w:val="20"/>
                <w:szCs w:val="20"/>
                <w:color w:val="auto"/>
              </w:rPr>
            </w:pPr>
            <w:r>
              <w:rPr>
                <w:rFonts w:ascii="Arial" w:cs="Arial" w:eastAsia="Arial" w:hAnsi="Arial"/>
                <w:sz w:val="16"/>
                <w:szCs w:val="16"/>
                <w:color w:val="auto"/>
              </w:rPr>
              <w:t>128,643</w:t>
            </w:r>
          </w:p>
        </w:tc>
        <w:tc>
          <w:tcPr>
            <w:tcW w:w="1440" w:type="dxa"/>
            <w:vAlign w:val="bottom"/>
            <w:tcBorders>
              <w:bottom w:val="single" w:sz="8" w:color="CBCEE0"/>
            </w:tcBorders>
            <w:shd w:val="clear" w:color="auto" w:fill="CBCEE0"/>
          </w:tcPr>
          <w:p>
            <w:pPr>
              <w:jc w:val="right"/>
              <w:ind w:right="340"/>
              <w:spacing w:after="0"/>
              <w:rPr>
                <w:sz w:val="20"/>
                <w:szCs w:val="20"/>
                <w:color w:val="auto"/>
              </w:rPr>
            </w:pPr>
            <w:r>
              <w:rPr>
                <w:rFonts w:ascii="Arial" w:cs="Arial" w:eastAsia="Arial" w:hAnsi="Arial"/>
                <w:sz w:val="16"/>
                <w:szCs w:val="16"/>
                <w:color w:val="auto"/>
              </w:rPr>
              <w:t>0</w:t>
            </w:r>
          </w:p>
        </w:tc>
        <w:tc>
          <w:tcPr>
            <w:tcW w:w="880" w:type="dxa"/>
            <w:vAlign w:val="bottom"/>
            <w:tcBorders>
              <w:bottom w:val="single" w:sz="8" w:color="CBCEE0"/>
            </w:tcBorders>
            <w:shd w:val="clear" w:color="auto" w:fill="CBCEE0"/>
          </w:tcPr>
          <w:p>
            <w:pPr>
              <w:jc w:val="right"/>
              <w:ind w:right="160"/>
              <w:spacing w:after="0"/>
              <w:rPr>
                <w:sz w:val="20"/>
                <w:szCs w:val="20"/>
                <w:color w:val="auto"/>
              </w:rPr>
            </w:pPr>
            <w:r>
              <w:rPr>
                <w:rFonts w:ascii="Arial" w:cs="Arial" w:eastAsia="Arial" w:hAnsi="Arial"/>
                <w:sz w:val="16"/>
                <w:szCs w:val="16"/>
                <w:color w:val="auto"/>
              </w:rPr>
              <w:t>*</w:t>
            </w:r>
          </w:p>
        </w:tc>
      </w:tr>
      <w:tr>
        <w:trPr>
          <w:trHeight w:val="268"/>
        </w:trPr>
        <w:tc>
          <w:tcPr>
            <w:tcW w:w="920" w:type="dxa"/>
            <w:vAlign w:val="bottom"/>
          </w:tcPr>
          <w:p>
            <w:pPr>
              <w:ind w:left="100"/>
              <w:spacing w:after="0"/>
              <w:rPr>
                <w:sz w:val="20"/>
                <w:szCs w:val="20"/>
                <w:color w:val="auto"/>
              </w:rPr>
            </w:pPr>
            <w:r>
              <w:rPr>
                <w:rFonts w:ascii="Arial" w:cs="Arial" w:eastAsia="Arial" w:hAnsi="Arial"/>
                <w:sz w:val="16"/>
                <w:szCs w:val="16"/>
                <w:color w:val="auto"/>
              </w:rPr>
              <w:t>Common</w:t>
            </w:r>
          </w:p>
        </w:tc>
        <w:tc>
          <w:tcPr>
            <w:tcW w:w="4320" w:type="dxa"/>
            <w:vAlign w:val="bottom"/>
            <w:gridSpan w:val="2"/>
          </w:tcPr>
          <w:p>
            <w:pPr>
              <w:ind w:left="120"/>
              <w:spacing w:after="0"/>
              <w:rPr>
                <w:sz w:val="20"/>
                <w:szCs w:val="20"/>
                <w:color w:val="auto"/>
              </w:rPr>
            </w:pPr>
            <w:r>
              <w:rPr>
                <w:rFonts w:ascii="Arial" w:cs="Arial" w:eastAsia="Arial" w:hAnsi="Arial"/>
                <w:sz w:val="16"/>
                <w:szCs w:val="16"/>
                <w:color w:val="auto"/>
              </w:rPr>
              <w:t>Katie May</w:t>
            </w:r>
          </w:p>
        </w:tc>
        <w:tc>
          <w:tcPr>
            <w:tcW w:w="540" w:type="dxa"/>
            <w:vAlign w:val="bottom"/>
          </w:tcPr>
          <w:p>
            <w:pPr>
              <w:spacing w:after="0"/>
              <w:rPr>
                <w:sz w:val="23"/>
                <w:szCs w:val="23"/>
                <w:color w:val="auto"/>
              </w:rPr>
            </w:pP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2,300</w:t>
            </w:r>
          </w:p>
        </w:tc>
        <w:tc>
          <w:tcPr>
            <w:tcW w:w="1440" w:type="dxa"/>
            <w:vAlign w:val="bottom"/>
          </w:tcPr>
          <w:p>
            <w:pPr>
              <w:jc w:val="right"/>
              <w:ind w:right="340"/>
              <w:spacing w:after="0"/>
              <w:rPr>
                <w:sz w:val="20"/>
                <w:szCs w:val="20"/>
                <w:color w:val="auto"/>
              </w:rPr>
            </w:pPr>
            <w:r>
              <w:rPr>
                <w:rFonts w:ascii="Arial" w:cs="Arial" w:eastAsia="Arial" w:hAnsi="Arial"/>
                <w:sz w:val="16"/>
                <w:szCs w:val="16"/>
                <w:color w:val="auto"/>
              </w:rPr>
              <w:t>0</w:t>
            </w:r>
          </w:p>
        </w:tc>
        <w:tc>
          <w:tcPr>
            <w:tcW w:w="880" w:type="dxa"/>
            <w:vAlign w:val="bottom"/>
          </w:tcPr>
          <w:p>
            <w:pPr>
              <w:jc w:val="right"/>
              <w:ind w:right="160"/>
              <w:spacing w:after="0"/>
              <w:rPr>
                <w:sz w:val="20"/>
                <w:szCs w:val="20"/>
                <w:color w:val="auto"/>
              </w:rPr>
            </w:pPr>
            <w:r>
              <w:rPr>
                <w:rFonts w:ascii="Arial" w:cs="Arial" w:eastAsia="Arial" w:hAnsi="Arial"/>
                <w:sz w:val="16"/>
                <w:szCs w:val="16"/>
                <w:color w:val="auto"/>
              </w:rPr>
              <w:t>*</w:t>
            </w:r>
          </w:p>
        </w:tc>
      </w:tr>
      <w:tr>
        <w:trPr>
          <w:trHeight w:val="56"/>
        </w:trPr>
        <w:tc>
          <w:tcPr>
            <w:tcW w:w="9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64"/>
        </w:trPr>
        <w:tc>
          <w:tcPr>
            <w:tcW w:w="920" w:type="dxa"/>
            <w:vAlign w:val="bottom"/>
            <w:shd w:val="clear" w:color="auto" w:fill="CBCEE0"/>
          </w:tcPr>
          <w:p>
            <w:pPr>
              <w:ind w:left="100"/>
              <w:spacing w:after="0"/>
              <w:rPr>
                <w:sz w:val="20"/>
                <w:szCs w:val="20"/>
                <w:color w:val="auto"/>
              </w:rPr>
            </w:pPr>
            <w:r>
              <w:rPr>
                <w:rFonts w:ascii="Arial" w:cs="Arial" w:eastAsia="Arial" w:hAnsi="Arial"/>
                <w:sz w:val="16"/>
                <w:szCs w:val="16"/>
                <w:color w:val="auto"/>
              </w:rPr>
              <w:t>Common</w:t>
            </w:r>
          </w:p>
        </w:tc>
        <w:tc>
          <w:tcPr>
            <w:tcW w:w="600" w:type="dxa"/>
            <w:vAlign w:val="bottom"/>
            <w:shd w:val="clear" w:color="auto" w:fill="CBCEE0"/>
          </w:tcPr>
          <w:p>
            <w:pPr>
              <w:ind w:left="120"/>
              <w:spacing w:after="0"/>
              <w:rPr>
                <w:sz w:val="20"/>
                <w:szCs w:val="20"/>
                <w:color w:val="auto"/>
              </w:rPr>
            </w:pPr>
            <w:r>
              <w:rPr>
                <w:rFonts w:ascii="Arial" w:cs="Arial" w:eastAsia="Arial" w:hAnsi="Arial"/>
                <w:sz w:val="16"/>
                <w:szCs w:val="16"/>
                <w:color w:val="auto"/>
              </w:rPr>
              <w:t>Lance​</w:t>
            </w:r>
          </w:p>
        </w:tc>
        <w:tc>
          <w:tcPr>
            <w:tcW w:w="3720" w:type="dxa"/>
            <w:vAlign w:val="bottom"/>
            <w:shd w:val="clear" w:color="auto" w:fill="CBCEE0"/>
          </w:tcPr>
          <w:p>
            <w:pPr>
              <w:ind w:left="20"/>
              <w:spacing w:after="0"/>
              <w:rPr>
                <w:sz w:val="20"/>
                <w:szCs w:val="20"/>
                <w:color w:val="auto"/>
              </w:rPr>
            </w:pPr>
            <w:r>
              <w:rPr>
                <w:rFonts w:ascii="Arial" w:cs="Arial" w:eastAsia="Arial" w:hAnsi="Arial"/>
                <w:sz w:val="16"/>
                <w:szCs w:val="16"/>
                <w:color w:val="auto"/>
              </w:rPr>
              <w:t>Rosenzweig</w:t>
            </w:r>
            <w:r>
              <w:rPr>
                <w:rFonts w:ascii="Arial" w:cs="Arial" w:eastAsia="Arial" w:hAnsi="Arial"/>
                <w:sz w:val="26"/>
                <w:szCs w:val="26"/>
                <w:color w:val="auto"/>
                <w:vertAlign w:val="superscript"/>
              </w:rPr>
              <w:t>(5)</w:t>
            </w:r>
          </w:p>
        </w:tc>
        <w:tc>
          <w:tcPr>
            <w:tcW w:w="540" w:type="dxa"/>
            <w:vAlign w:val="bottom"/>
            <w:shd w:val="clear" w:color="auto" w:fill="CBCEE0"/>
          </w:tcPr>
          <w:p>
            <w:pPr>
              <w:spacing w:after="0"/>
              <w:rPr>
                <w:sz w:val="24"/>
                <w:szCs w:val="24"/>
                <w:color w:val="auto"/>
              </w:rPr>
            </w:pPr>
          </w:p>
        </w:tc>
        <w:tc>
          <w:tcPr>
            <w:tcW w:w="1080" w:type="dxa"/>
            <w:vAlign w:val="bottom"/>
            <w:shd w:val="clear" w:color="auto" w:fill="CBCEE0"/>
          </w:tcPr>
          <w:p>
            <w:pPr>
              <w:jc w:val="right"/>
              <w:ind w:right="279"/>
              <w:spacing w:after="0"/>
              <w:rPr>
                <w:sz w:val="20"/>
                <w:szCs w:val="20"/>
                <w:color w:val="auto"/>
              </w:rPr>
            </w:pPr>
            <w:r>
              <w:rPr>
                <w:rFonts w:ascii="Arial" w:cs="Arial" w:eastAsia="Arial" w:hAnsi="Arial"/>
                <w:sz w:val="16"/>
                <w:szCs w:val="16"/>
                <w:color w:val="auto"/>
              </w:rPr>
              <w:t>10,000</w:t>
            </w:r>
          </w:p>
        </w:tc>
        <w:tc>
          <w:tcPr>
            <w:tcW w:w="1440" w:type="dxa"/>
            <w:vAlign w:val="bottom"/>
            <w:shd w:val="clear" w:color="auto" w:fill="CBCEE0"/>
          </w:tcPr>
          <w:p>
            <w:pPr>
              <w:jc w:val="right"/>
              <w:ind w:right="340"/>
              <w:spacing w:after="0"/>
              <w:rPr>
                <w:sz w:val="20"/>
                <w:szCs w:val="20"/>
                <w:color w:val="auto"/>
              </w:rPr>
            </w:pPr>
            <w:r>
              <w:rPr>
                <w:rFonts w:ascii="Arial" w:cs="Arial" w:eastAsia="Arial" w:hAnsi="Arial"/>
                <w:sz w:val="16"/>
                <w:szCs w:val="16"/>
                <w:color w:val="auto"/>
              </w:rPr>
              <w:t>0</w:t>
            </w:r>
          </w:p>
        </w:tc>
        <w:tc>
          <w:tcPr>
            <w:tcW w:w="880" w:type="dxa"/>
            <w:vAlign w:val="bottom"/>
            <w:shd w:val="clear" w:color="auto" w:fill="CBCEE0"/>
          </w:tcPr>
          <w:p>
            <w:pPr>
              <w:jc w:val="right"/>
              <w:ind w:right="160"/>
              <w:spacing w:after="0"/>
              <w:rPr>
                <w:sz w:val="20"/>
                <w:szCs w:val="20"/>
                <w:color w:val="auto"/>
              </w:rPr>
            </w:pPr>
            <w:r>
              <w:rPr>
                <w:rFonts w:ascii="Arial" w:cs="Arial" w:eastAsia="Arial" w:hAnsi="Arial"/>
                <w:sz w:val="16"/>
                <w:szCs w:val="16"/>
                <w:color w:val="auto"/>
              </w:rPr>
              <w:t>*</w:t>
            </w:r>
          </w:p>
        </w:tc>
      </w:tr>
      <w:tr>
        <w:trPr>
          <w:trHeight w:val="268"/>
        </w:trPr>
        <w:tc>
          <w:tcPr>
            <w:tcW w:w="920" w:type="dxa"/>
            <w:vAlign w:val="bottom"/>
          </w:tcPr>
          <w:p>
            <w:pPr>
              <w:ind w:left="100"/>
              <w:spacing w:after="0"/>
              <w:rPr>
                <w:sz w:val="20"/>
                <w:szCs w:val="20"/>
                <w:color w:val="auto"/>
              </w:rPr>
            </w:pPr>
            <w:r>
              <w:rPr>
                <w:rFonts w:ascii="Arial" w:cs="Arial" w:eastAsia="Arial" w:hAnsi="Arial"/>
                <w:sz w:val="16"/>
                <w:szCs w:val="16"/>
                <w:color w:val="auto"/>
              </w:rPr>
              <w:t>Common</w:t>
            </w:r>
          </w:p>
        </w:tc>
        <w:tc>
          <w:tcPr>
            <w:tcW w:w="4320" w:type="dxa"/>
            <w:vAlign w:val="bottom"/>
            <w:gridSpan w:val="2"/>
          </w:tcPr>
          <w:p>
            <w:pPr>
              <w:ind w:left="120"/>
              <w:spacing w:after="0"/>
              <w:rPr>
                <w:sz w:val="20"/>
                <w:szCs w:val="20"/>
                <w:color w:val="auto"/>
              </w:rPr>
            </w:pPr>
            <w:r>
              <w:rPr>
                <w:rFonts w:ascii="Arial" w:cs="Arial" w:eastAsia="Arial" w:hAnsi="Arial"/>
                <w:sz w:val="16"/>
                <w:szCs w:val="16"/>
                <w:color w:val="auto"/>
              </w:rPr>
              <w:t>Sheila A. Stamps</w:t>
            </w:r>
          </w:p>
        </w:tc>
        <w:tc>
          <w:tcPr>
            <w:tcW w:w="540" w:type="dxa"/>
            <w:vAlign w:val="bottom"/>
          </w:tcPr>
          <w:p>
            <w:pPr>
              <w:spacing w:after="0"/>
              <w:rPr>
                <w:sz w:val="23"/>
                <w:szCs w:val="23"/>
                <w:color w:val="auto"/>
              </w:rPr>
            </w:pP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65,636</w:t>
            </w:r>
          </w:p>
        </w:tc>
        <w:tc>
          <w:tcPr>
            <w:tcW w:w="1440" w:type="dxa"/>
            <w:vAlign w:val="bottom"/>
          </w:tcPr>
          <w:p>
            <w:pPr>
              <w:jc w:val="right"/>
              <w:ind w:right="320"/>
              <w:spacing w:after="0"/>
              <w:rPr>
                <w:sz w:val="20"/>
                <w:szCs w:val="20"/>
                <w:color w:val="auto"/>
              </w:rPr>
            </w:pPr>
            <w:r>
              <w:rPr>
                <w:rFonts w:ascii="Arial" w:cs="Arial" w:eastAsia="Arial" w:hAnsi="Arial"/>
                <w:sz w:val="16"/>
                <w:szCs w:val="16"/>
                <w:color w:val="auto"/>
              </w:rPr>
              <w:t>19,802</w:t>
            </w:r>
          </w:p>
        </w:tc>
        <w:tc>
          <w:tcPr>
            <w:tcW w:w="880" w:type="dxa"/>
            <w:vAlign w:val="bottom"/>
          </w:tcPr>
          <w:p>
            <w:pPr>
              <w:jc w:val="right"/>
              <w:ind w:right="160"/>
              <w:spacing w:after="0"/>
              <w:rPr>
                <w:sz w:val="20"/>
                <w:szCs w:val="20"/>
                <w:color w:val="auto"/>
              </w:rPr>
            </w:pPr>
            <w:r>
              <w:rPr>
                <w:rFonts w:ascii="Arial" w:cs="Arial" w:eastAsia="Arial" w:hAnsi="Arial"/>
                <w:sz w:val="16"/>
                <w:szCs w:val="16"/>
                <w:color w:val="auto"/>
              </w:rPr>
              <w:t>*</w:t>
            </w:r>
          </w:p>
        </w:tc>
      </w:tr>
      <w:tr>
        <w:trPr>
          <w:trHeight w:val="56"/>
        </w:trPr>
        <w:tc>
          <w:tcPr>
            <w:tcW w:w="920" w:type="dxa"/>
            <w:vAlign w:val="bottom"/>
          </w:tcPr>
          <w:p>
            <w:pPr>
              <w:spacing w:after="0"/>
              <w:rPr>
                <w:sz w:val="4"/>
                <w:szCs w:val="4"/>
                <w:color w:val="auto"/>
              </w:rPr>
            </w:pPr>
          </w:p>
        </w:tc>
        <w:tc>
          <w:tcPr>
            <w:tcW w:w="4320" w:type="dxa"/>
            <w:vAlign w:val="bottom"/>
            <w:gridSpan w:val="2"/>
          </w:tcPr>
          <w:p>
            <w:pPr>
              <w:spacing w:after="0"/>
              <w:rPr>
                <w:sz w:val="4"/>
                <w:szCs w:val="4"/>
                <w:color w:val="auto"/>
              </w:rPr>
            </w:pPr>
          </w:p>
        </w:tc>
        <w:tc>
          <w:tcPr>
            <w:tcW w:w="5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64"/>
        </w:trPr>
        <w:tc>
          <w:tcPr>
            <w:tcW w:w="920" w:type="dxa"/>
            <w:vAlign w:val="bottom"/>
            <w:shd w:val="clear" w:color="auto" w:fill="CBCEE0"/>
          </w:tcPr>
          <w:p>
            <w:pPr>
              <w:ind w:left="100"/>
              <w:spacing w:after="0"/>
              <w:rPr>
                <w:sz w:val="20"/>
                <w:szCs w:val="20"/>
                <w:color w:val="auto"/>
              </w:rPr>
            </w:pPr>
            <w:r>
              <w:rPr>
                <w:rFonts w:ascii="Arial" w:cs="Arial" w:eastAsia="Arial" w:hAnsi="Arial"/>
                <w:sz w:val="16"/>
                <w:szCs w:val="16"/>
                <w:color w:val="auto"/>
              </w:rPr>
              <w:t>Common</w:t>
            </w:r>
          </w:p>
        </w:tc>
        <w:tc>
          <w:tcPr>
            <w:tcW w:w="4320" w:type="dxa"/>
            <w:vAlign w:val="bottom"/>
            <w:gridSpan w:val="2"/>
            <w:shd w:val="clear" w:color="auto" w:fill="CBCEE0"/>
          </w:tcPr>
          <w:p>
            <w:pPr>
              <w:ind w:left="120"/>
              <w:spacing w:after="0"/>
              <w:rPr>
                <w:sz w:val="20"/>
                <w:szCs w:val="20"/>
                <w:color w:val="auto"/>
              </w:rPr>
            </w:pPr>
            <w:r>
              <w:rPr>
                <w:rFonts w:ascii="Arial" w:cs="Arial" w:eastAsia="Arial" w:hAnsi="Arial"/>
                <w:sz w:val="16"/>
                <w:szCs w:val="16"/>
                <w:color w:val="auto"/>
              </w:rPr>
              <w:t>Jill Sutton</w:t>
            </w:r>
            <w:r>
              <w:rPr>
                <w:rFonts w:ascii="Arial" w:cs="Arial" w:eastAsia="Arial" w:hAnsi="Arial"/>
                <w:sz w:val="26"/>
                <w:szCs w:val="26"/>
                <w:color w:val="auto"/>
                <w:vertAlign w:val="superscript"/>
              </w:rPr>
              <w:t>(6)</w:t>
            </w:r>
          </w:p>
        </w:tc>
        <w:tc>
          <w:tcPr>
            <w:tcW w:w="540" w:type="dxa"/>
            <w:vAlign w:val="bottom"/>
            <w:shd w:val="clear" w:color="auto" w:fill="CBCEE0"/>
          </w:tcPr>
          <w:p>
            <w:pPr>
              <w:spacing w:after="0"/>
              <w:rPr>
                <w:sz w:val="24"/>
                <w:szCs w:val="24"/>
                <w:color w:val="auto"/>
              </w:rPr>
            </w:pPr>
          </w:p>
        </w:tc>
        <w:tc>
          <w:tcPr>
            <w:tcW w:w="1080" w:type="dxa"/>
            <w:vAlign w:val="bottom"/>
            <w:shd w:val="clear" w:color="auto" w:fill="CBCEE0"/>
          </w:tcPr>
          <w:p>
            <w:pPr>
              <w:jc w:val="right"/>
              <w:ind w:right="299"/>
              <w:spacing w:after="0"/>
              <w:rPr>
                <w:sz w:val="20"/>
                <w:szCs w:val="20"/>
                <w:color w:val="auto"/>
              </w:rPr>
            </w:pPr>
            <w:r>
              <w:rPr>
                <w:rFonts w:ascii="Arial" w:cs="Arial" w:eastAsia="Arial" w:hAnsi="Arial"/>
                <w:sz w:val="16"/>
                <w:szCs w:val="16"/>
                <w:color w:val="auto"/>
              </w:rPr>
              <w:t>0</w:t>
            </w:r>
          </w:p>
        </w:tc>
        <w:tc>
          <w:tcPr>
            <w:tcW w:w="1440" w:type="dxa"/>
            <w:vAlign w:val="bottom"/>
            <w:shd w:val="clear" w:color="auto" w:fill="CBCEE0"/>
          </w:tcPr>
          <w:p>
            <w:pPr>
              <w:jc w:val="right"/>
              <w:ind w:right="340"/>
              <w:spacing w:after="0"/>
              <w:rPr>
                <w:sz w:val="20"/>
                <w:szCs w:val="20"/>
                <w:color w:val="auto"/>
              </w:rPr>
            </w:pPr>
            <w:r>
              <w:rPr>
                <w:rFonts w:ascii="Arial" w:cs="Arial" w:eastAsia="Arial" w:hAnsi="Arial"/>
                <w:sz w:val="16"/>
                <w:szCs w:val="16"/>
                <w:color w:val="auto"/>
              </w:rPr>
              <w:t>0</w:t>
            </w:r>
          </w:p>
        </w:tc>
        <w:tc>
          <w:tcPr>
            <w:tcW w:w="880" w:type="dxa"/>
            <w:vAlign w:val="bottom"/>
            <w:shd w:val="clear" w:color="auto" w:fill="CBCEE0"/>
          </w:tcPr>
          <w:p>
            <w:pPr>
              <w:jc w:val="right"/>
              <w:ind w:right="160"/>
              <w:spacing w:after="0"/>
              <w:rPr>
                <w:sz w:val="20"/>
                <w:szCs w:val="20"/>
                <w:color w:val="auto"/>
              </w:rPr>
            </w:pPr>
            <w:r>
              <w:rPr>
                <w:rFonts w:ascii="Arial" w:cs="Arial" w:eastAsia="Arial" w:hAnsi="Arial"/>
                <w:sz w:val="16"/>
                <w:szCs w:val="16"/>
                <w:color w:val="auto"/>
              </w:rPr>
              <w:t>*</w:t>
            </w:r>
          </w:p>
        </w:tc>
      </w:tr>
      <w:tr>
        <w:trPr>
          <w:trHeight w:val="268"/>
        </w:trPr>
        <w:tc>
          <w:tcPr>
            <w:tcW w:w="920" w:type="dxa"/>
            <w:vAlign w:val="bottom"/>
          </w:tcPr>
          <w:p>
            <w:pPr>
              <w:ind w:left="100"/>
              <w:spacing w:after="0"/>
              <w:rPr>
                <w:sz w:val="20"/>
                <w:szCs w:val="20"/>
                <w:color w:val="auto"/>
              </w:rPr>
            </w:pPr>
            <w:r>
              <w:rPr>
                <w:rFonts w:ascii="Arial" w:cs="Arial" w:eastAsia="Arial" w:hAnsi="Arial"/>
                <w:sz w:val="16"/>
                <w:szCs w:val="16"/>
                <w:color w:val="auto"/>
              </w:rPr>
              <w:t>Common</w:t>
            </w:r>
          </w:p>
        </w:tc>
        <w:tc>
          <w:tcPr>
            <w:tcW w:w="4320" w:type="dxa"/>
            <w:vAlign w:val="bottom"/>
            <w:gridSpan w:val="2"/>
          </w:tcPr>
          <w:p>
            <w:pPr>
              <w:ind w:left="120"/>
              <w:spacing w:after="0"/>
              <w:rPr>
                <w:sz w:val="20"/>
                <w:szCs w:val="20"/>
                <w:color w:val="auto"/>
              </w:rPr>
            </w:pPr>
            <w:r>
              <w:rPr>
                <w:rFonts w:ascii="Arial" w:cs="Arial" w:eastAsia="Arial" w:hAnsi="Arial"/>
                <w:sz w:val="16"/>
                <w:szCs w:val="16"/>
                <w:color w:val="auto"/>
              </w:rPr>
              <w:t>Darrell Thomas</w:t>
            </w:r>
          </w:p>
        </w:tc>
        <w:tc>
          <w:tcPr>
            <w:tcW w:w="540" w:type="dxa"/>
            <w:vAlign w:val="bottom"/>
          </w:tcPr>
          <w:p>
            <w:pPr>
              <w:ind w:left="4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3,725</w:t>
            </w:r>
          </w:p>
        </w:tc>
        <w:tc>
          <w:tcPr>
            <w:tcW w:w="1440" w:type="dxa"/>
            <w:vAlign w:val="bottom"/>
          </w:tcPr>
          <w:p>
            <w:pPr>
              <w:ind w:left="340"/>
              <w:spacing w:after="0"/>
              <w:rPr>
                <w:sz w:val="20"/>
                <w:szCs w:val="20"/>
                <w:color w:val="auto"/>
              </w:rPr>
            </w:pPr>
            <w:r>
              <w:rPr>
                <w:rFonts w:ascii="Arial" w:cs="Arial" w:eastAsia="Arial" w:hAnsi="Arial"/>
                <w:sz w:val="16"/>
                <w:szCs w:val="16"/>
                <w:color w:val="auto"/>
              </w:rPr>
              <w:t>​   3,725</w:t>
            </w:r>
          </w:p>
        </w:tc>
        <w:tc>
          <w:tcPr>
            <w:tcW w:w="880" w:type="dxa"/>
            <w:vAlign w:val="bottom"/>
          </w:tcPr>
          <w:p>
            <w:pPr>
              <w:jc w:val="right"/>
              <w:ind w:right="160"/>
              <w:spacing w:after="0"/>
              <w:rPr>
                <w:sz w:val="20"/>
                <w:szCs w:val="20"/>
                <w:color w:val="auto"/>
              </w:rPr>
            </w:pPr>
            <w:r>
              <w:rPr>
                <w:rFonts w:ascii="Arial" w:cs="Arial" w:eastAsia="Arial" w:hAnsi="Arial"/>
                <w:sz w:val="16"/>
                <w:szCs w:val="16"/>
                <w:color w:val="auto"/>
              </w:rPr>
              <w:t>*</w:t>
            </w:r>
          </w:p>
        </w:tc>
      </w:tr>
      <w:tr>
        <w:trPr>
          <w:trHeight w:val="56"/>
        </w:trPr>
        <w:tc>
          <w:tcPr>
            <w:tcW w:w="920" w:type="dxa"/>
            <w:vAlign w:val="bottom"/>
          </w:tcPr>
          <w:p>
            <w:pPr>
              <w:spacing w:after="0"/>
              <w:rPr>
                <w:sz w:val="4"/>
                <w:szCs w:val="4"/>
                <w:color w:val="auto"/>
              </w:rPr>
            </w:pPr>
          </w:p>
        </w:tc>
        <w:tc>
          <w:tcPr>
            <w:tcW w:w="4320" w:type="dxa"/>
            <w:vAlign w:val="bottom"/>
            <w:gridSpan w:val="2"/>
          </w:tcPr>
          <w:p>
            <w:pPr>
              <w:spacing w:after="0"/>
              <w:rPr>
                <w:sz w:val="4"/>
                <w:szCs w:val="4"/>
                <w:color w:val="auto"/>
              </w:rPr>
            </w:pPr>
          </w:p>
        </w:tc>
        <w:tc>
          <w:tcPr>
            <w:tcW w:w="1620" w:type="dxa"/>
            <w:vAlign w:val="bottom"/>
            <w:gridSpan w:val="2"/>
          </w:tcPr>
          <w:p>
            <w:pPr>
              <w:spacing w:after="0"/>
              <w:rPr>
                <w:sz w:val="4"/>
                <w:szCs w:val="4"/>
                <w:color w:val="auto"/>
              </w:rPr>
            </w:pPr>
          </w:p>
        </w:tc>
        <w:tc>
          <w:tcPr>
            <w:tcW w:w="14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65"/>
        </w:trPr>
        <w:tc>
          <w:tcPr>
            <w:tcW w:w="920" w:type="dxa"/>
            <w:vAlign w:val="bottom"/>
            <w:shd w:val="clear" w:color="auto" w:fill="CBCEE0"/>
          </w:tcPr>
          <w:p>
            <w:pPr>
              <w:ind w:left="100"/>
              <w:spacing w:after="0"/>
              <w:rPr>
                <w:sz w:val="20"/>
                <w:szCs w:val="20"/>
                <w:color w:val="auto"/>
              </w:rPr>
            </w:pPr>
            <w:r>
              <w:rPr>
                <w:rFonts w:ascii="Arial" w:cs="Arial" w:eastAsia="Arial" w:hAnsi="Arial"/>
                <w:sz w:val="16"/>
                <w:szCs w:val="16"/>
                <w:color w:val="auto"/>
              </w:rPr>
              <w:t>Common</w:t>
            </w:r>
          </w:p>
        </w:tc>
        <w:tc>
          <w:tcPr>
            <w:tcW w:w="4320" w:type="dxa"/>
            <w:vAlign w:val="bottom"/>
            <w:gridSpan w:val="2"/>
            <w:shd w:val="clear" w:color="auto" w:fill="CBCEE0"/>
          </w:tcPr>
          <w:p>
            <w:pPr>
              <w:ind w:left="120"/>
              <w:spacing w:after="0"/>
              <w:rPr>
                <w:sz w:val="20"/>
                <w:szCs w:val="20"/>
                <w:color w:val="auto"/>
              </w:rPr>
            </w:pPr>
            <w:r>
              <w:rPr>
                <w:rFonts w:ascii="Arial" w:cs="Arial" w:eastAsia="Arial" w:hAnsi="Arial"/>
                <w:sz w:val="16"/>
                <w:szCs w:val="16"/>
                <w:color w:val="auto"/>
              </w:rPr>
              <w:t>Kurt Wolf</w:t>
            </w:r>
            <w:r>
              <w:rPr>
                <w:rFonts w:ascii="Arial" w:cs="Arial" w:eastAsia="Arial" w:hAnsi="Arial"/>
                <w:sz w:val="26"/>
                <w:szCs w:val="26"/>
                <w:color w:val="auto"/>
                <w:vertAlign w:val="superscript"/>
              </w:rPr>
              <w:t>(7)</w:t>
            </w:r>
          </w:p>
        </w:tc>
        <w:tc>
          <w:tcPr>
            <w:tcW w:w="1620" w:type="dxa"/>
            <w:vAlign w:val="bottom"/>
            <w:gridSpan w:val="2"/>
            <w:shd w:val="clear" w:color="auto" w:fill="CBCEE0"/>
          </w:tcPr>
          <w:p>
            <w:pPr>
              <w:ind w:left="480"/>
              <w:spacing w:after="0"/>
              <w:rPr>
                <w:sz w:val="20"/>
                <w:szCs w:val="20"/>
                <w:color w:val="auto"/>
              </w:rPr>
            </w:pPr>
            <w:r>
              <w:rPr>
                <w:rFonts w:ascii="Arial" w:cs="Arial" w:eastAsia="Arial" w:hAnsi="Arial"/>
                <w:sz w:val="16"/>
                <w:szCs w:val="16"/>
                <w:color w:val="auto"/>
              </w:rPr>
              <w:t>15,790,922</w:t>
            </w:r>
          </w:p>
        </w:tc>
        <w:tc>
          <w:tcPr>
            <w:tcW w:w="1440" w:type="dxa"/>
            <w:vAlign w:val="bottom"/>
            <w:shd w:val="clear" w:color="auto" w:fill="CBCEE0"/>
          </w:tcPr>
          <w:p>
            <w:pPr>
              <w:jc w:val="right"/>
              <w:ind w:right="340"/>
              <w:spacing w:after="0"/>
              <w:rPr>
                <w:sz w:val="20"/>
                <w:szCs w:val="20"/>
                <w:color w:val="auto"/>
              </w:rPr>
            </w:pPr>
            <w:r>
              <w:rPr>
                <w:rFonts w:ascii="Arial" w:cs="Arial" w:eastAsia="Arial" w:hAnsi="Arial"/>
                <w:sz w:val="16"/>
                <w:szCs w:val="16"/>
                <w:color w:val="auto"/>
              </w:rPr>
              <w:t>0</w:t>
            </w:r>
          </w:p>
        </w:tc>
        <w:tc>
          <w:tcPr>
            <w:tcW w:w="880" w:type="dxa"/>
            <w:vAlign w:val="bottom"/>
            <w:shd w:val="clear" w:color="auto" w:fill="CBCEE0"/>
          </w:tcPr>
          <w:p>
            <w:pPr>
              <w:jc w:val="right"/>
              <w:ind w:right="40"/>
              <w:spacing w:after="0"/>
              <w:rPr>
                <w:sz w:val="20"/>
                <w:szCs w:val="20"/>
                <w:color w:val="auto"/>
              </w:rPr>
            </w:pPr>
            <w:r>
              <w:rPr>
                <w:rFonts w:ascii="Arial" w:cs="Arial" w:eastAsia="Arial" w:hAnsi="Arial"/>
                <w:sz w:val="16"/>
                <w:szCs w:val="16"/>
                <w:color w:val="auto"/>
              </w:rPr>
              <w:t>8.9%</w:t>
            </w:r>
          </w:p>
        </w:tc>
      </w:tr>
      <w:tr>
        <w:trPr>
          <w:trHeight w:val="365"/>
        </w:trPr>
        <w:tc>
          <w:tcPr>
            <w:tcW w:w="920" w:type="dxa"/>
            <w:vAlign w:val="bottom"/>
          </w:tcPr>
          <w:p>
            <w:pPr>
              <w:ind w:left="100"/>
              <w:spacing w:after="0"/>
              <w:rPr>
                <w:sz w:val="20"/>
                <w:szCs w:val="20"/>
                <w:color w:val="auto"/>
              </w:rPr>
            </w:pPr>
            <w:r>
              <w:rPr>
                <w:rFonts w:ascii="Arial" w:cs="Arial" w:eastAsia="Arial" w:hAnsi="Arial"/>
                <w:sz w:val="16"/>
                <w:szCs w:val="16"/>
                <w:color w:val="auto"/>
              </w:rPr>
              <w:t>Common</w:t>
            </w:r>
          </w:p>
        </w:tc>
        <w:tc>
          <w:tcPr>
            <w:tcW w:w="4320" w:type="dxa"/>
            <w:vAlign w:val="bottom"/>
            <w:gridSpan w:val="2"/>
          </w:tcPr>
          <w:p>
            <w:pPr>
              <w:ind w:left="120"/>
              <w:spacing w:after="0"/>
              <w:rPr>
                <w:sz w:val="20"/>
                <w:szCs w:val="20"/>
                <w:color w:val="auto"/>
              </w:rPr>
            </w:pPr>
            <w:r>
              <w:rPr>
                <w:rFonts w:ascii="Arial" w:cs="Arial" w:eastAsia="Arial" w:hAnsi="Arial"/>
                <w:sz w:val="16"/>
                <w:szCs w:val="16"/>
                <w:color w:val="auto"/>
              </w:rPr>
              <w:t>Jason C. Dies</w:t>
            </w:r>
            <w:r>
              <w:rPr>
                <w:rFonts w:ascii="Arial" w:cs="Arial" w:eastAsia="Arial" w:hAnsi="Arial"/>
                <w:sz w:val="26"/>
                <w:szCs w:val="26"/>
                <w:color w:val="auto"/>
                <w:vertAlign w:val="superscript"/>
              </w:rPr>
              <w:t>(8)</w:t>
            </w:r>
          </w:p>
        </w:tc>
        <w:tc>
          <w:tcPr>
            <w:tcW w:w="540" w:type="dxa"/>
            <w:vAlign w:val="bottom"/>
          </w:tcPr>
          <w:p>
            <w:pPr>
              <w:spacing w:after="0"/>
              <w:rPr>
                <w:sz w:val="24"/>
                <w:szCs w:val="24"/>
                <w:color w:val="auto"/>
              </w:rPr>
            </w:pP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869,703</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651,135</w:t>
            </w:r>
          </w:p>
        </w:tc>
        <w:tc>
          <w:tcPr>
            <w:tcW w:w="880" w:type="dxa"/>
            <w:vAlign w:val="bottom"/>
          </w:tcPr>
          <w:p>
            <w:pPr>
              <w:jc w:val="right"/>
              <w:ind w:right="160"/>
              <w:spacing w:after="0"/>
              <w:rPr>
                <w:sz w:val="20"/>
                <w:szCs w:val="20"/>
                <w:color w:val="auto"/>
              </w:rPr>
            </w:pPr>
            <w:r>
              <w:rPr>
                <w:rFonts w:ascii="Arial" w:cs="Arial" w:eastAsia="Arial" w:hAnsi="Arial"/>
                <w:sz w:val="16"/>
                <w:szCs w:val="16"/>
                <w:color w:val="auto"/>
              </w:rPr>
              <w:t>*</w:t>
            </w:r>
          </w:p>
        </w:tc>
      </w:tr>
      <w:tr>
        <w:trPr>
          <w:trHeight w:val="365"/>
        </w:trPr>
        <w:tc>
          <w:tcPr>
            <w:tcW w:w="920" w:type="dxa"/>
            <w:vAlign w:val="bottom"/>
            <w:shd w:val="clear" w:color="auto" w:fill="CBCEE0"/>
          </w:tcPr>
          <w:p>
            <w:pPr>
              <w:ind w:left="100"/>
              <w:spacing w:after="0"/>
              <w:rPr>
                <w:sz w:val="20"/>
                <w:szCs w:val="20"/>
                <w:color w:val="auto"/>
              </w:rPr>
            </w:pPr>
            <w:r>
              <w:rPr>
                <w:rFonts w:ascii="Arial" w:cs="Arial" w:eastAsia="Arial" w:hAnsi="Arial"/>
                <w:sz w:val="16"/>
                <w:szCs w:val="16"/>
                <w:color w:val="auto"/>
              </w:rPr>
              <w:t>Common</w:t>
            </w:r>
          </w:p>
        </w:tc>
        <w:tc>
          <w:tcPr>
            <w:tcW w:w="4320" w:type="dxa"/>
            <w:vAlign w:val="bottom"/>
            <w:gridSpan w:val="2"/>
            <w:shd w:val="clear" w:color="auto" w:fill="CBCEE0"/>
          </w:tcPr>
          <w:p>
            <w:pPr>
              <w:ind w:left="120"/>
              <w:spacing w:after="0"/>
              <w:rPr>
                <w:sz w:val="20"/>
                <w:szCs w:val="20"/>
                <w:color w:val="auto"/>
              </w:rPr>
            </w:pPr>
            <w:r>
              <w:rPr>
                <w:rFonts w:ascii="Arial" w:cs="Arial" w:eastAsia="Arial" w:hAnsi="Arial"/>
                <w:sz w:val="16"/>
                <w:szCs w:val="16"/>
                <w:color w:val="auto"/>
              </w:rPr>
              <w:t>Ana Maria Chadwick</w:t>
            </w:r>
            <w:r>
              <w:rPr>
                <w:rFonts w:ascii="Arial" w:cs="Arial" w:eastAsia="Arial" w:hAnsi="Arial"/>
                <w:sz w:val="26"/>
                <w:szCs w:val="26"/>
                <w:color w:val="auto"/>
                <w:vertAlign w:val="superscript"/>
              </w:rPr>
              <w:t>(9)</w:t>
            </w:r>
          </w:p>
        </w:tc>
        <w:tc>
          <w:tcPr>
            <w:tcW w:w="540" w:type="dxa"/>
            <w:vAlign w:val="bottom"/>
            <w:shd w:val="clear" w:color="auto" w:fill="CBCEE0"/>
          </w:tcPr>
          <w:p>
            <w:pPr>
              <w:spacing w:after="0"/>
              <w:rPr>
                <w:sz w:val="24"/>
                <w:szCs w:val="24"/>
                <w:color w:val="auto"/>
              </w:rPr>
            </w:pPr>
          </w:p>
        </w:tc>
        <w:tc>
          <w:tcPr>
            <w:tcW w:w="1080" w:type="dxa"/>
            <w:vAlign w:val="bottom"/>
            <w:shd w:val="clear" w:color="auto" w:fill="CBCEE0"/>
          </w:tcPr>
          <w:p>
            <w:pPr>
              <w:jc w:val="right"/>
              <w:ind w:right="279"/>
              <w:spacing w:after="0"/>
              <w:rPr>
                <w:sz w:val="20"/>
                <w:szCs w:val="20"/>
                <w:color w:val="auto"/>
              </w:rPr>
            </w:pPr>
            <w:r>
              <w:rPr>
                <w:rFonts w:ascii="Arial" w:cs="Arial" w:eastAsia="Arial" w:hAnsi="Arial"/>
                <w:sz w:val="16"/>
                <w:szCs w:val="16"/>
                <w:color w:val="auto"/>
              </w:rPr>
              <w:t>173,206</w:t>
            </w:r>
          </w:p>
        </w:tc>
        <w:tc>
          <w:tcPr>
            <w:tcW w:w="1440" w:type="dxa"/>
            <w:vAlign w:val="bottom"/>
            <w:shd w:val="clear" w:color="auto" w:fill="CBCEE0"/>
          </w:tcPr>
          <w:p>
            <w:pPr>
              <w:jc w:val="right"/>
              <w:ind w:right="300"/>
              <w:spacing w:after="0"/>
              <w:rPr>
                <w:sz w:val="20"/>
                <w:szCs w:val="20"/>
                <w:color w:val="auto"/>
              </w:rPr>
            </w:pPr>
            <w:r>
              <w:rPr>
                <w:rFonts w:ascii="Arial" w:cs="Arial" w:eastAsia="Arial" w:hAnsi="Arial"/>
                <w:sz w:val="16"/>
                <w:szCs w:val="16"/>
                <w:color w:val="auto"/>
              </w:rPr>
              <w:t>120,095</w:t>
            </w:r>
          </w:p>
        </w:tc>
        <w:tc>
          <w:tcPr>
            <w:tcW w:w="880" w:type="dxa"/>
            <w:vAlign w:val="bottom"/>
            <w:shd w:val="clear" w:color="auto" w:fill="CBCEE0"/>
          </w:tcPr>
          <w:p>
            <w:pPr>
              <w:jc w:val="right"/>
              <w:ind w:right="160"/>
              <w:spacing w:after="0"/>
              <w:rPr>
                <w:sz w:val="20"/>
                <w:szCs w:val="20"/>
                <w:color w:val="auto"/>
              </w:rPr>
            </w:pPr>
            <w:r>
              <w:rPr>
                <w:rFonts w:ascii="Arial" w:cs="Arial" w:eastAsia="Arial" w:hAnsi="Arial"/>
                <w:sz w:val="16"/>
                <w:szCs w:val="16"/>
                <w:color w:val="auto"/>
              </w:rPr>
              <w:t>*</w:t>
            </w:r>
          </w:p>
        </w:tc>
      </w:tr>
      <w:tr>
        <w:trPr>
          <w:trHeight w:val="268"/>
        </w:trPr>
        <w:tc>
          <w:tcPr>
            <w:tcW w:w="920" w:type="dxa"/>
            <w:vAlign w:val="bottom"/>
          </w:tcPr>
          <w:p>
            <w:pPr>
              <w:ind w:left="100"/>
              <w:spacing w:after="0"/>
              <w:rPr>
                <w:sz w:val="20"/>
                <w:szCs w:val="20"/>
                <w:color w:val="auto"/>
              </w:rPr>
            </w:pPr>
            <w:r>
              <w:rPr>
                <w:rFonts w:ascii="Arial" w:cs="Arial" w:eastAsia="Arial" w:hAnsi="Arial"/>
                <w:sz w:val="16"/>
                <w:szCs w:val="16"/>
                <w:color w:val="auto"/>
              </w:rPr>
              <w:t>Common</w:t>
            </w:r>
          </w:p>
        </w:tc>
        <w:tc>
          <w:tcPr>
            <w:tcW w:w="4320" w:type="dxa"/>
            <w:vAlign w:val="bottom"/>
            <w:gridSpan w:val="2"/>
          </w:tcPr>
          <w:p>
            <w:pPr>
              <w:ind w:left="120"/>
              <w:spacing w:after="0"/>
              <w:rPr>
                <w:sz w:val="20"/>
                <w:szCs w:val="20"/>
                <w:color w:val="auto"/>
              </w:rPr>
            </w:pPr>
            <w:r>
              <w:rPr>
                <w:rFonts w:ascii="Arial" w:cs="Arial" w:eastAsia="Arial" w:hAnsi="Arial"/>
                <w:sz w:val="16"/>
                <w:szCs w:val="16"/>
                <w:color w:val="auto"/>
              </w:rPr>
              <w:t>Gregg Zegras</w:t>
            </w:r>
          </w:p>
        </w:tc>
        <w:tc>
          <w:tcPr>
            <w:tcW w:w="540" w:type="dxa"/>
            <w:vAlign w:val="bottom"/>
          </w:tcPr>
          <w:p>
            <w:pPr>
              <w:spacing w:after="0"/>
              <w:rPr>
                <w:sz w:val="23"/>
                <w:szCs w:val="23"/>
                <w:color w:val="auto"/>
              </w:rPr>
            </w:pP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382,025</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308,107</w:t>
            </w:r>
          </w:p>
        </w:tc>
        <w:tc>
          <w:tcPr>
            <w:tcW w:w="880" w:type="dxa"/>
            <w:vAlign w:val="bottom"/>
          </w:tcPr>
          <w:p>
            <w:pPr>
              <w:jc w:val="right"/>
              <w:ind w:right="160"/>
              <w:spacing w:after="0"/>
              <w:rPr>
                <w:sz w:val="20"/>
                <w:szCs w:val="20"/>
                <w:color w:val="auto"/>
              </w:rPr>
            </w:pPr>
            <w:r>
              <w:rPr>
                <w:rFonts w:ascii="Arial" w:cs="Arial" w:eastAsia="Arial" w:hAnsi="Arial"/>
                <w:sz w:val="16"/>
                <w:szCs w:val="16"/>
                <w:color w:val="auto"/>
              </w:rPr>
              <w:t>*</w:t>
            </w:r>
          </w:p>
        </w:tc>
      </w:tr>
      <w:tr>
        <w:trPr>
          <w:trHeight w:val="56"/>
        </w:trPr>
        <w:tc>
          <w:tcPr>
            <w:tcW w:w="920" w:type="dxa"/>
            <w:vAlign w:val="bottom"/>
          </w:tcPr>
          <w:p>
            <w:pPr>
              <w:spacing w:after="0"/>
              <w:rPr>
                <w:sz w:val="4"/>
                <w:szCs w:val="4"/>
                <w:color w:val="auto"/>
              </w:rPr>
            </w:pPr>
          </w:p>
        </w:tc>
        <w:tc>
          <w:tcPr>
            <w:tcW w:w="4320" w:type="dxa"/>
            <w:vAlign w:val="bottom"/>
            <w:gridSpan w:val="2"/>
          </w:tcPr>
          <w:p>
            <w:pPr>
              <w:spacing w:after="0"/>
              <w:rPr>
                <w:sz w:val="4"/>
                <w:szCs w:val="4"/>
                <w:color w:val="auto"/>
              </w:rPr>
            </w:pPr>
          </w:p>
        </w:tc>
        <w:tc>
          <w:tcPr>
            <w:tcW w:w="5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65"/>
        </w:trPr>
        <w:tc>
          <w:tcPr>
            <w:tcW w:w="920" w:type="dxa"/>
            <w:vAlign w:val="bottom"/>
            <w:shd w:val="clear" w:color="auto" w:fill="CBCEE0"/>
          </w:tcPr>
          <w:p>
            <w:pPr>
              <w:ind w:left="100"/>
              <w:spacing w:after="0"/>
              <w:rPr>
                <w:sz w:val="20"/>
                <w:szCs w:val="20"/>
                <w:color w:val="auto"/>
              </w:rPr>
            </w:pPr>
            <w:r>
              <w:rPr>
                <w:rFonts w:ascii="Arial" w:cs="Arial" w:eastAsia="Arial" w:hAnsi="Arial"/>
                <w:sz w:val="16"/>
                <w:szCs w:val="16"/>
                <w:color w:val="auto"/>
              </w:rPr>
              <w:t>Common</w:t>
            </w:r>
          </w:p>
        </w:tc>
        <w:tc>
          <w:tcPr>
            <w:tcW w:w="4320" w:type="dxa"/>
            <w:vAlign w:val="bottom"/>
            <w:gridSpan w:val="2"/>
            <w:shd w:val="clear" w:color="auto" w:fill="CBCEE0"/>
          </w:tcPr>
          <w:p>
            <w:pPr>
              <w:ind w:left="120"/>
              <w:spacing w:after="0"/>
              <w:rPr>
                <w:sz w:val="20"/>
                <w:szCs w:val="20"/>
                <w:color w:val="auto"/>
              </w:rPr>
            </w:pPr>
            <w:r>
              <w:rPr>
                <w:rFonts w:ascii="Arial" w:cs="Arial" w:eastAsia="Arial" w:hAnsi="Arial"/>
                <w:sz w:val="16"/>
                <w:szCs w:val="16"/>
                <w:color w:val="auto"/>
              </w:rPr>
              <w:t>Daniel J. Goldstein</w:t>
            </w:r>
            <w:r>
              <w:rPr>
                <w:rFonts w:ascii="Arial" w:cs="Arial" w:eastAsia="Arial" w:hAnsi="Arial"/>
                <w:sz w:val="26"/>
                <w:szCs w:val="26"/>
                <w:color w:val="auto"/>
                <w:vertAlign w:val="superscript"/>
              </w:rPr>
              <w:t>(10)</w:t>
            </w:r>
          </w:p>
        </w:tc>
        <w:tc>
          <w:tcPr>
            <w:tcW w:w="540" w:type="dxa"/>
            <w:vAlign w:val="bottom"/>
            <w:shd w:val="clear" w:color="auto" w:fill="CBCEE0"/>
          </w:tcPr>
          <w:p>
            <w:pPr>
              <w:spacing w:after="0"/>
              <w:rPr>
                <w:sz w:val="24"/>
                <w:szCs w:val="24"/>
                <w:color w:val="auto"/>
              </w:rPr>
            </w:pPr>
          </w:p>
        </w:tc>
        <w:tc>
          <w:tcPr>
            <w:tcW w:w="1080" w:type="dxa"/>
            <w:vAlign w:val="bottom"/>
            <w:shd w:val="clear" w:color="auto" w:fill="CBCEE0"/>
          </w:tcPr>
          <w:p>
            <w:pPr>
              <w:jc w:val="right"/>
              <w:ind w:right="279"/>
              <w:spacing w:after="0"/>
              <w:rPr>
                <w:sz w:val="20"/>
                <w:szCs w:val="20"/>
                <w:color w:val="auto"/>
              </w:rPr>
            </w:pPr>
            <w:r>
              <w:rPr>
                <w:rFonts w:ascii="Arial" w:cs="Arial" w:eastAsia="Arial" w:hAnsi="Arial"/>
                <w:sz w:val="16"/>
                <w:szCs w:val="16"/>
                <w:color w:val="auto"/>
              </w:rPr>
              <w:t>846,652</w:t>
            </w:r>
          </w:p>
        </w:tc>
        <w:tc>
          <w:tcPr>
            <w:tcW w:w="1440" w:type="dxa"/>
            <w:vAlign w:val="bottom"/>
            <w:shd w:val="clear" w:color="auto" w:fill="CBCEE0"/>
          </w:tcPr>
          <w:p>
            <w:pPr>
              <w:jc w:val="right"/>
              <w:ind w:right="300"/>
              <w:spacing w:after="0"/>
              <w:rPr>
                <w:sz w:val="20"/>
                <w:szCs w:val="20"/>
                <w:color w:val="auto"/>
              </w:rPr>
            </w:pPr>
            <w:r>
              <w:rPr>
                <w:rFonts w:ascii="Arial" w:cs="Arial" w:eastAsia="Arial" w:hAnsi="Arial"/>
                <w:sz w:val="16"/>
                <w:szCs w:val="16"/>
                <w:color w:val="auto"/>
              </w:rPr>
              <w:t>753,489</w:t>
            </w:r>
          </w:p>
        </w:tc>
        <w:tc>
          <w:tcPr>
            <w:tcW w:w="880" w:type="dxa"/>
            <w:vAlign w:val="bottom"/>
            <w:shd w:val="clear" w:color="auto" w:fill="CBCEE0"/>
          </w:tcPr>
          <w:p>
            <w:pPr>
              <w:jc w:val="right"/>
              <w:ind w:right="160"/>
              <w:spacing w:after="0"/>
              <w:rPr>
                <w:sz w:val="20"/>
                <w:szCs w:val="20"/>
                <w:color w:val="auto"/>
              </w:rPr>
            </w:pPr>
            <w:r>
              <w:rPr>
                <w:rFonts w:ascii="Arial" w:cs="Arial" w:eastAsia="Arial" w:hAnsi="Arial"/>
                <w:sz w:val="16"/>
                <w:szCs w:val="16"/>
                <w:color w:val="auto"/>
              </w:rPr>
              <w:t>*</w:t>
            </w:r>
          </w:p>
        </w:tc>
      </w:tr>
      <w:tr>
        <w:trPr>
          <w:trHeight w:val="365"/>
        </w:trPr>
        <w:tc>
          <w:tcPr>
            <w:tcW w:w="920" w:type="dxa"/>
            <w:vAlign w:val="bottom"/>
          </w:tcPr>
          <w:p>
            <w:pPr>
              <w:ind w:left="100"/>
              <w:spacing w:after="0"/>
              <w:rPr>
                <w:sz w:val="20"/>
                <w:szCs w:val="20"/>
                <w:color w:val="auto"/>
              </w:rPr>
            </w:pPr>
            <w:r>
              <w:rPr>
                <w:rFonts w:ascii="Arial" w:cs="Arial" w:eastAsia="Arial" w:hAnsi="Arial"/>
                <w:sz w:val="16"/>
                <w:szCs w:val="16"/>
                <w:color w:val="auto"/>
              </w:rPr>
              <w:t>Common</w:t>
            </w:r>
          </w:p>
        </w:tc>
        <w:tc>
          <w:tcPr>
            <w:tcW w:w="4320" w:type="dxa"/>
            <w:vAlign w:val="bottom"/>
            <w:gridSpan w:val="2"/>
          </w:tcPr>
          <w:p>
            <w:pPr>
              <w:ind w:left="120"/>
              <w:spacing w:after="0"/>
              <w:rPr>
                <w:sz w:val="20"/>
                <w:szCs w:val="20"/>
                <w:color w:val="auto"/>
              </w:rPr>
            </w:pPr>
            <w:r>
              <w:rPr>
                <w:rFonts w:ascii="Arial" w:cs="Arial" w:eastAsia="Arial" w:hAnsi="Arial"/>
                <w:sz w:val="16"/>
                <w:szCs w:val="16"/>
                <w:color w:val="auto"/>
              </w:rPr>
              <w:t>James Fairweather</w:t>
            </w:r>
            <w:r>
              <w:rPr>
                <w:rFonts w:ascii="Arial" w:cs="Arial" w:eastAsia="Arial" w:hAnsi="Arial"/>
                <w:sz w:val="26"/>
                <w:szCs w:val="26"/>
                <w:color w:val="auto"/>
                <w:vertAlign w:val="superscript"/>
              </w:rPr>
              <w:t>(11)</w:t>
            </w:r>
          </w:p>
        </w:tc>
        <w:tc>
          <w:tcPr>
            <w:tcW w:w="540" w:type="dxa"/>
            <w:vAlign w:val="bottom"/>
          </w:tcPr>
          <w:p>
            <w:pPr>
              <w:spacing w:after="0"/>
              <w:rPr>
                <w:sz w:val="24"/>
                <w:szCs w:val="24"/>
                <w:color w:val="auto"/>
              </w:rPr>
            </w:pP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441,499</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239,204</w:t>
            </w:r>
          </w:p>
        </w:tc>
        <w:tc>
          <w:tcPr>
            <w:tcW w:w="880" w:type="dxa"/>
            <w:vAlign w:val="bottom"/>
          </w:tcPr>
          <w:p>
            <w:pPr>
              <w:jc w:val="right"/>
              <w:ind w:right="160"/>
              <w:spacing w:after="0"/>
              <w:rPr>
                <w:sz w:val="20"/>
                <w:szCs w:val="20"/>
                <w:color w:val="auto"/>
              </w:rPr>
            </w:pPr>
            <w:r>
              <w:rPr>
                <w:rFonts w:ascii="Arial" w:cs="Arial" w:eastAsia="Arial" w:hAnsi="Arial"/>
                <w:sz w:val="16"/>
                <w:szCs w:val="16"/>
                <w:color w:val="auto"/>
              </w:rPr>
              <w:t>*</w:t>
            </w:r>
          </w:p>
        </w:tc>
      </w:tr>
      <w:tr>
        <w:trPr>
          <w:trHeight w:val="364"/>
        </w:trPr>
        <w:tc>
          <w:tcPr>
            <w:tcW w:w="920" w:type="dxa"/>
            <w:vAlign w:val="bottom"/>
            <w:shd w:val="clear" w:color="auto" w:fill="CBCEE0"/>
          </w:tcPr>
          <w:p>
            <w:pPr>
              <w:ind w:left="100"/>
              <w:spacing w:after="0"/>
              <w:rPr>
                <w:sz w:val="20"/>
                <w:szCs w:val="20"/>
                <w:color w:val="auto"/>
              </w:rPr>
            </w:pPr>
            <w:r>
              <w:rPr>
                <w:rFonts w:ascii="Arial" w:cs="Arial" w:eastAsia="Arial" w:hAnsi="Arial"/>
                <w:sz w:val="16"/>
                <w:szCs w:val="16"/>
                <w:color w:val="auto"/>
              </w:rPr>
              <w:t>Common</w:t>
            </w:r>
          </w:p>
        </w:tc>
        <w:tc>
          <w:tcPr>
            <w:tcW w:w="4320" w:type="dxa"/>
            <w:vAlign w:val="bottom"/>
            <w:gridSpan w:val="2"/>
            <w:shd w:val="clear" w:color="auto" w:fill="CBCEE0"/>
          </w:tcPr>
          <w:p>
            <w:pPr>
              <w:ind w:left="120"/>
              <w:spacing w:after="0"/>
              <w:rPr>
                <w:sz w:val="20"/>
                <w:szCs w:val="20"/>
                <w:color w:val="auto"/>
              </w:rPr>
            </w:pPr>
            <w:r>
              <w:rPr>
                <w:rFonts w:ascii="Arial" w:cs="Arial" w:eastAsia="Arial" w:hAnsi="Arial"/>
                <w:sz w:val="16"/>
                <w:szCs w:val="16"/>
                <w:color w:val="auto"/>
              </w:rPr>
              <w:t>Marc B. Lautenbach</w:t>
            </w:r>
            <w:r>
              <w:rPr>
                <w:rFonts w:ascii="Arial" w:cs="Arial" w:eastAsia="Arial" w:hAnsi="Arial"/>
                <w:sz w:val="26"/>
                <w:szCs w:val="26"/>
                <w:color w:val="auto"/>
                <w:vertAlign w:val="superscript"/>
              </w:rPr>
              <w:t>(12)</w:t>
            </w:r>
          </w:p>
        </w:tc>
        <w:tc>
          <w:tcPr>
            <w:tcW w:w="540" w:type="dxa"/>
            <w:vAlign w:val="bottom"/>
            <w:shd w:val="clear" w:color="auto" w:fill="CBCEE0"/>
          </w:tcPr>
          <w:p>
            <w:pPr>
              <w:spacing w:after="0"/>
              <w:rPr>
                <w:sz w:val="24"/>
                <w:szCs w:val="24"/>
                <w:color w:val="auto"/>
              </w:rPr>
            </w:pPr>
          </w:p>
        </w:tc>
        <w:tc>
          <w:tcPr>
            <w:tcW w:w="1080" w:type="dxa"/>
            <w:vAlign w:val="bottom"/>
            <w:shd w:val="clear" w:color="auto" w:fill="CBCEE0"/>
          </w:tcPr>
          <w:p>
            <w:pPr>
              <w:jc w:val="center"/>
              <w:ind w:right="239"/>
              <w:spacing w:after="0"/>
              <w:rPr>
                <w:sz w:val="20"/>
                <w:szCs w:val="20"/>
                <w:color w:val="auto"/>
              </w:rPr>
            </w:pPr>
            <w:r>
              <w:rPr>
                <w:rFonts w:ascii="Arial" w:cs="Arial" w:eastAsia="Arial" w:hAnsi="Arial"/>
                <w:sz w:val="16"/>
                <w:szCs w:val="16"/>
                <w:color w:val="auto"/>
              </w:rPr>
              <w:t>5,395,177</w:t>
            </w:r>
          </w:p>
        </w:tc>
        <w:tc>
          <w:tcPr>
            <w:tcW w:w="1440" w:type="dxa"/>
            <w:vAlign w:val="bottom"/>
            <w:shd w:val="clear" w:color="auto" w:fill="CBCEE0"/>
          </w:tcPr>
          <w:p>
            <w:pPr>
              <w:ind w:left="340"/>
              <w:spacing w:after="0"/>
              <w:rPr>
                <w:sz w:val="20"/>
                <w:szCs w:val="20"/>
                <w:color w:val="auto"/>
              </w:rPr>
            </w:pPr>
            <w:r>
              <w:rPr>
                <w:rFonts w:ascii="Arial" w:cs="Arial" w:eastAsia="Arial" w:hAnsi="Arial"/>
                <w:sz w:val="16"/>
                <w:szCs w:val="16"/>
                <w:color w:val="auto"/>
              </w:rPr>
              <w:t>5,142,508</w:t>
            </w:r>
          </w:p>
        </w:tc>
        <w:tc>
          <w:tcPr>
            <w:tcW w:w="880" w:type="dxa"/>
            <w:vAlign w:val="bottom"/>
            <w:shd w:val="clear" w:color="auto" w:fill="CBCEE0"/>
          </w:tcPr>
          <w:p>
            <w:pPr>
              <w:jc w:val="right"/>
              <w:ind w:right="40"/>
              <w:spacing w:after="0"/>
              <w:rPr>
                <w:sz w:val="20"/>
                <w:szCs w:val="20"/>
                <w:color w:val="auto"/>
              </w:rPr>
            </w:pPr>
            <w:r>
              <w:rPr>
                <w:rFonts w:ascii="Arial" w:cs="Arial" w:eastAsia="Arial" w:hAnsi="Arial"/>
                <w:sz w:val="16"/>
                <w:szCs w:val="16"/>
                <w:color w:val="auto"/>
              </w:rPr>
              <w:t>3.0%</w:t>
            </w:r>
          </w:p>
        </w:tc>
      </w:tr>
      <w:tr>
        <w:trPr>
          <w:trHeight w:val="276"/>
        </w:trPr>
        <w:tc>
          <w:tcPr>
            <w:tcW w:w="920" w:type="dxa"/>
            <w:vAlign w:val="bottom"/>
          </w:tcPr>
          <w:p>
            <w:pPr>
              <w:ind w:left="100"/>
              <w:spacing w:after="0"/>
              <w:rPr>
                <w:sz w:val="20"/>
                <w:szCs w:val="20"/>
                <w:color w:val="auto"/>
              </w:rPr>
            </w:pPr>
            <w:r>
              <w:rPr>
                <w:rFonts w:ascii="Arial" w:cs="Arial" w:eastAsia="Arial" w:hAnsi="Arial"/>
                <w:sz w:val="16"/>
                <w:szCs w:val="16"/>
                <w:b w:val="1"/>
                <w:bCs w:val="1"/>
                <w:color w:val="auto"/>
              </w:rPr>
              <w:t>Common</w:t>
            </w:r>
          </w:p>
        </w:tc>
        <w:tc>
          <w:tcPr>
            <w:tcW w:w="4320" w:type="dxa"/>
            <w:vAlign w:val="bottom"/>
            <w:gridSpan w:val="2"/>
          </w:tcPr>
          <w:p>
            <w:pPr>
              <w:ind w:left="120"/>
              <w:spacing w:after="0"/>
              <w:rPr>
                <w:sz w:val="20"/>
                <w:szCs w:val="20"/>
                <w:color w:val="auto"/>
              </w:rPr>
            </w:pPr>
            <w:r>
              <w:rPr>
                <w:rFonts w:ascii="Arial" w:cs="Arial" w:eastAsia="Arial" w:hAnsi="Arial"/>
                <w:sz w:val="16"/>
                <w:szCs w:val="16"/>
                <w:b w:val="1"/>
                <w:bCs w:val="1"/>
                <w:color w:val="auto"/>
              </w:rPr>
              <w:t>All executive officers and directors as a group (24)</w:t>
            </w:r>
          </w:p>
        </w:tc>
        <w:tc>
          <w:tcPr>
            <w:tcW w:w="1620" w:type="dxa"/>
            <w:vAlign w:val="bottom"/>
            <w:gridSpan w:val="2"/>
          </w:tcPr>
          <w:p>
            <w:pPr>
              <w:ind w:left="480"/>
              <w:spacing w:after="0"/>
              <w:rPr>
                <w:sz w:val="20"/>
                <w:szCs w:val="20"/>
                <w:color w:val="auto"/>
              </w:rPr>
            </w:pPr>
            <w:r>
              <w:rPr>
                <w:rFonts w:ascii="Arial" w:cs="Arial" w:eastAsia="Arial" w:hAnsi="Arial"/>
                <w:sz w:val="16"/>
                <w:szCs w:val="16"/>
                <w:b w:val="1"/>
                <w:bCs w:val="1"/>
                <w:color w:val="auto"/>
              </w:rPr>
              <w:t>26,535,855</w:t>
            </w:r>
          </w:p>
        </w:tc>
        <w:tc>
          <w:tcPr>
            <w:tcW w:w="1440" w:type="dxa"/>
            <w:vAlign w:val="bottom"/>
          </w:tcPr>
          <w:p>
            <w:pPr>
              <w:ind w:left="340"/>
              <w:spacing w:after="0"/>
              <w:rPr>
                <w:sz w:val="20"/>
                <w:szCs w:val="20"/>
                <w:color w:val="auto"/>
              </w:rPr>
            </w:pPr>
            <w:r>
              <w:rPr>
                <w:rFonts w:ascii="Arial" w:cs="Arial" w:eastAsia="Arial" w:hAnsi="Arial"/>
                <w:sz w:val="16"/>
                <w:szCs w:val="16"/>
                <w:b w:val="1"/>
                <w:bCs w:val="1"/>
                <w:color w:val="auto"/>
              </w:rPr>
              <w:t>8,948,672</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14.3%</w:t>
            </w:r>
          </w:p>
        </w:tc>
      </w:tr>
    </w:tbl>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ind w:left="340"/>
        <w:spacing w:after="0" w:line="209" w:lineRule="auto"/>
        <w:rPr>
          <w:sz w:val="20"/>
          <w:szCs w:val="20"/>
          <w:color w:val="auto"/>
        </w:rPr>
      </w:pPr>
      <w:r>
        <w:rPr>
          <w:rFonts w:ascii="Arial" w:cs="Arial" w:eastAsia="Arial" w:hAnsi="Arial"/>
          <w:sz w:val="14"/>
          <w:szCs w:val="14"/>
          <w:color w:val="auto"/>
        </w:rPr>
        <w:t>Less than 1% of Pitney Bowes Inc. Common Stock.</w:t>
      </w:r>
    </w:p>
    <w:p>
      <w:pPr>
        <w:spacing w:after="0" w:line="197" w:lineRule="auto"/>
        <w:rPr>
          <w:sz w:val="20"/>
          <w:szCs w:val="20"/>
          <w:color w:val="auto"/>
        </w:rPr>
      </w:pPr>
      <w:r>
        <w:rPr>
          <w:rFonts w:ascii="Arial" w:cs="Arial" w:eastAsia="Arial" w:hAnsi="Arial"/>
          <w:sz w:val="8"/>
          <w:szCs w:val="8"/>
          <w:color w:val="auto"/>
        </w:rPr>
        <w:t>(1)</w:t>
      </w:r>
    </w:p>
    <w:p>
      <w:pPr>
        <w:jc w:val="both"/>
        <w:ind w:left="340"/>
        <w:spacing w:after="0" w:line="230" w:lineRule="auto"/>
        <w:rPr>
          <w:sz w:val="20"/>
          <w:szCs w:val="20"/>
          <w:color w:val="auto"/>
        </w:rPr>
      </w:pPr>
      <w:r>
        <w:rPr>
          <w:rFonts w:ascii="Arial" w:cs="Arial" w:eastAsia="Arial" w:hAnsi="Arial"/>
          <w:sz w:val="14"/>
          <w:szCs w:val="14"/>
          <w:color w:val="auto"/>
        </w:rPr>
        <w:t>These shares represent Common Stock beneficially owned as of February 15, 2024 and shares for which such person has the right to acquire beneficial ownership within 60 days thereafter. To our knowledge, none of these shares are pledged as security. There were 176,630,070 shares of our Common Stock outstanding as of February 15, 2024.</w:t>
      </w:r>
    </w:p>
    <w:p>
      <w:pPr>
        <w:spacing w:after="0" w:line="201" w:lineRule="auto"/>
        <w:rPr>
          <w:sz w:val="20"/>
          <w:szCs w:val="20"/>
          <w:color w:val="auto"/>
        </w:rPr>
      </w:pPr>
      <w:r>
        <w:rPr>
          <w:rFonts w:ascii="Arial" w:cs="Arial" w:eastAsia="Arial" w:hAnsi="Arial"/>
          <w:sz w:val="8"/>
          <w:szCs w:val="8"/>
          <w:color w:val="auto"/>
        </w:rPr>
        <w:t>(2)</w:t>
      </w:r>
    </w:p>
    <w:p>
      <w:pPr>
        <w:jc w:val="both"/>
        <w:ind w:left="340" w:right="20"/>
        <w:spacing w:after="0" w:line="225" w:lineRule="auto"/>
        <w:rPr>
          <w:sz w:val="20"/>
          <w:szCs w:val="20"/>
          <w:color w:val="auto"/>
        </w:rPr>
      </w:pPr>
      <w:r>
        <w:rPr>
          <w:rFonts w:ascii="Arial" w:cs="Arial" w:eastAsia="Arial" w:hAnsi="Arial"/>
          <w:sz w:val="14"/>
          <w:szCs w:val="14"/>
          <w:color w:val="auto"/>
        </w:rPr>
        <w:t>Other than with respect to ownership by family members, the reporting persons have sole voting and investment power with respect to the shares listed.</w:t>
      </w:r>
    </w:p>
    <w:p>
      <w:pPr>
        <w:spacing w:after="0" w:line="198" w:lineRule="auto"/>
        <w:rPr>
          <w:sz w:val="20"/>
          <w:szCs w:val="20"/>
          <w:color w:val="auto"/>
        </w:rPr>
      </w:pPr>
      <w:r>
        <w:rPr>
          <w:rFonts w:ascii="Arial" w:cs="Arial" w:eastAsia="Arial" w:hAnsi="Arial"/>
          <w:sz w:val="8"/>
          <w:szCs w:val="8"/>
          <w:color w:val="auto"/>
        </w:rPr>
        <w:t>(3)</w:t>
      </w:r>
    </w:p>
    <w:p>
      <w:pPr>
        <w:ind w:left="340"/>
        <w:spacing w:after="0" w:line="209" w:lineRule="auto"/>
        <w:rPr>
          <w:sz w:val="20"/>
          <w:szCs w:val="20"/>
          <w:color w:val="auto"/>
        </w:rPr>
      </w:pPr>
      <w:r>
        <w:rPr>
          <w:rFonts w:ascii="Arial" w:cs="Arial" w:eastAsia="Arial" w:hAnsi="Arial"/>
          <w:sz w:val="14"/>
          <w:szCs w:val="14"/>
          <w:color w:val="auto"/>
        </w:rPr>
        <w:t>Includes shares that are held indirectly through the Pitney Bowes 401(k) Plan.</w:t>
      </w:r>
    </w:p>
    <w:p>
      <w:pPr>
        <w:spacing w:after="0" w:line="198" w:lineRule="auto"/>
        <w:rPr>
          <w:sz w:val="20"/>
          <w:szCs w:val="20"/>
          <w:color w:val="auto"/>
        </w:rPr>
      </w:pPr>
      <w:r>
        <w:rPr>
          <w:rFonts w:ascii="Arial" w:cs="Arial" w:eastAsia="Arial" w:hAnsi="Arial"/>
          <w:sz w:val="8"/>
          <w:szCs w:val="8"/>
          <w:color w:val="auto"/>
        </w:rPr>
        <w:t>(4)</w:t>
      </w:r>
    </w:p>
    <w:p>
      <w:pPr>
        <w:jc w:val="both"/>
        <w:ind w:left="340"/>
        <w:spacing w:after="0" w:line="230" w:lineRule="auto"/>
        <w:rPr>
          <w:sz w:val="20"/>
          <w:szCs w:val="20"/>
          <w:color w:val="auto"/>
        </w:rPr>
      </w:pPr>
      <w:r>
        <w:rPr>
          <w:rFonts w:ascii="Arial" w:cs="Arial" w:eastAsia="Arial" w:hAnsi="Arial"/>
          <w:sz w:val="14"/>
          <w:szCs w:val="14"/>
          <w:color w:val="auto"/>
        </w:rPr>
        <w:t>The director or executive officer has the right to acquire beneficial ownership of this number of shares within 60 days of February 15, 2024 by exercising outstanding stock options or through the conversion of restricted stock into securities. Amounts in this column are also included in the column “Shares Deemed to be Beneficially Owned.”</w:t>
      </w:r>
    </w:p>
    <w:p>
      <w:pPr>
        <w:spacing w:after="0" w:line="201" w:lineRule="auto"/>
        <w:rPr>
          <w:sz w:val="20"/>
          <w:szCs w:val="20"/>
          <w:color w:val="auto"/>
        </w:rPr>
      </w:pPr>
      <w:r>
        <w:rPr>
          <w:rFonts w:ascii="Arial" w:cs="Arial" w:eastAsia="Arial" w:hAnsi="Arial"/>
          <w:sz w:val="8"/>
          <w:szCs w:val="8"/>
          <w:color w:val="auto"/>
        </w:rPr>
        <w:t>(5)</w:t>
      </w:r>
    </w:p>
    <w:p>
      <w:pPr>
        <w:ind w:left="340"/>
        <w:spacing w:after="0" w:line="209" w:lineRule="auto"/>
        <w:rPr>
          <w:sz w:val="20"/>
          <w:szCs w:val="20"/>
          <w:color w:val="auto"/>
        </w:rPr>
      </w:pPr>
      <w:r>
        <w:rPr>
          <w:rFonts w:ascii="Arial" w:cs="Arial" w:eastAsia="Arial" w:hAnsi="Arial"/>
          <w:sz w:val="14"/>
          <w:szCs w:val="14"/>
          <w:color w:val="auto"/>
        </w:rPr>
        <w:t>While Mr. Rosenzweig was appointed to the Board on April 4, 2024, he beneficially owned 10,000 shares as of February 15, 2024.</w:t>
      </w:r>
    </w:p>
    <w:p>
      <w:pPr>
        <w:spacing w:after="0" w:line="198" w:lineRule="auto"/>
        <w:rPr>
          <w:sz w:val="20"/>
          <w:szCs w:val="20"/>
          <w:color w:val="auto"/>
        </w:rPr>
      </w:pPr>
      <w:r>
        <w:rPr>
          <w:rFonts w:ascii="Arial" w:cs="Arial" w:eastAsia="Arial" w:hAnsi="Arial"/>
          <w:sz w:val="8"/>
          <w:szCs w:val="8"/>
          <w:color w:val="auto"/>
        </w:rPr>
        <w:t>(6)</w:t>
      </w:r>
    </w:p>
    <w:p>
      <w:pPr>
        <w:jc w:val="both"/>
        <w:ind w:left="340" w:right="20"/>
        <w:spacing w:after="0" w:line="225" w:lineRule="auto"/>
        <w:rPr>
          <w:sz w:val="20"/>
          <w:szCs w:val="20"/>
          <w:color w:val="auto"/>
        </w:rPr>
      </w:pPr>
      <w:r>
        <w:rPr>
          <w:rFonts w:ascii="Arial" w:cs="Arial" w:eastAsia="Arial" w:hAnsi="Arial"/>
          <w:sz w:val="14"/>
          <w:szCs w:val="14"/>
          <w:color w:val="auto"/>
        </w:rPr>
        <w:t>In connection with her appointment to the Board, Ms. Sutton received an RSU grant of 6,470 RSUs on February 1, 2024. These RSUs will not vest until January 31, 2025.</w:t>
      </w:r>
    </w:p>
    <w:p>
      <w:pPr>
        <w:spacing w:after="0" w:line="198" w:lineRule="auto"/>
        <w:rPr>
          <w:sz w:val="20"/>
          <w:szCs w:val="20"/>
          <w:color w:val="auto"/>
        </w:rPr>
      </w:pPr>
      <w:r>
        <w:rPr>
          <w:rFonts w:ascii="Arial" w:cs="Arial" w:eastAsia="Arial" w:hAnsi="Arial"/>
          <w:sz w:val="8"/>
          <w:szCs w:val="8"/>
          <w:color w:val="auto"/>
        </w:rPr>
        <w:t>(7)</w:t>
      </w:r>
    </w:p>
    <w:p>
      <w:pPr>
        <w:jc w:val="both"/>
        <w:ind w:left="340"/>
        <w:spacing w:after="0" w:line="235" w:lineRule="auto"/>
        <w:rPr>
          <w:sz w:val="20"/>
          <w:szCs w:val="20"/>
          <w:color w:val="auto"/>
        </w:rPr>
      </w:pPr>
      <w:r>
        <w:rPr>
          <w:rFonts w:ascii="Arial" w:cs="Arial" w:eastAsia="Arial" w:hAnsi="Arial"/>
          <w:sz w:val="14"/>
          <w:szCs w:val="14"/>
          <w:color w:val="auto"/>
        </w:rPr>
        <w:t>Mr. Wolf is the managing member of (a) Hestia Partners GP, the general partner of Hestia Capital Partners, LP (Hestia Capital) and Helios I, LP (Helios), and (b) Hestia LLC, the investment manager of Hestia Capital, Helios, and certain separately managed accounts (the SMAs). As the managing member of each of Hestia Partners GP and Hestia LLC, Mr. Wolf may be deemed the beneficial owner of the (i) 5,572,261 shares directly owned by Hestia Capital, (ii) 9,540,161 shares directly owned by Helios, and (iii) 678,500 shares held in the SMAs. Mr. Wolf disclaims beneficial ownership of these securities except to the extent of his pecuniary interest therein.</w:t>
      </w:r>
    </w:p>
    <w:p>
      <w:pPr>
        <w:spacing w:after="0" w:line="197" w:lineRule="auto"/>
        <w:rPr>
          <w:sz w:val="20"/>
          <w:szCs w:val="20"/>
          <w:color w:val="auto"/>
        </w:rPr>
      </w:pPr>
      <w:r>
        <w:rPr>
          <w:rFonts w:ascii="Arial" w:cs="Arial" w:eastAsia="Arial" w:hAnsi="Arial"/>
          <w:sz w:val="8"/>
          <w:szCs w:val="8"/>
          <w:color w:val="auto"/>
        </w:rPr>
        <w:t>(8)</w:t>
      </w:r>
    </w:p>
    <w:p>
      <w:pPr>
        <w:jc w:val="both"/>
        <w:ind w:left="340" w:right="20"/>
        <w:spacing w:after="0" w:line="225" w:lineRule="auto"/>
        <w:rPr>
          <w:sz w:val="20"/>
          <w:szCs w:val="20"/>
          <w:color w:val="auto"/>
        </w:rPr>
      </w:pPr>
      <w:r>
        <w:rPr>
          <w:rFonts w:ascii="Arial" w:cs="Arial" w:eastAsia="Arial" w:hAnsi="Arial"/>
          <w:sz w:val="14"/>
          <w:szCs w:val="14"/>
          <w:color w:val="auto"/>
        </w:rPr>
        <w:t>The total for Mr. Dies includes one open market purchase of Company stock using his personal funds: 3,600 shares (approximately $20,592) made in May 2019.</w:t>
      </w:r>
    </w:p>
    <w:p>
      <w:pPr>
        <w:spacing w:after="0" w:line="198" w:lineRule="auto"/>
        <w:rPr>
          <w:sz w:val="20"/>
          <w:szCs w:val="20"/>
          <w:color w:val="auto"/>
        </w:rPr>
      </w:pPr>
      <w:r>
        <w:rPr>
          <w:rFonts w:ascii="Arial" w:cs="Arial" w:eastAsia="Arial" w:hAnsi="Arial"/>
          <w:sz w:val="8"/>
          <w:szCs w:val="8"/>
          <w:color w:val="auto"/>
        </w:rPr>
        <w:t>(9)</w:t>
      </w:r>
    </w:p>
    <w:p>
      <w:pPr>
        <w:jc w:val="both"/>
        <w:ind w:left="340" w:right="20"/>
        <w:spacing w:after="0" w:line="225" w:lineRule="auto"/>
        <w:rPr>
          <w:sz w:val="20"/>
          <w:szCs w:val="20"/>
          <w:color w:val="auto"/>
        </w:rPr>
      </w:pPr>
      <w:r>
        <w:rPr>
          <w:rFonts w:ascii="Arial" w:cs="Arial" w:eastAsia="Arial" w:hAnsi="Arial"/>
          <w:sz w:val="14"/>
          <w:szCs w:val="14"/>
          <w:color w:val="auto"/>
        </w:rPr>
        <w:t>Ms. Chadwick’s total includes two open market purchases of Company stock using her personal funds: (i) 2,500 shares (approximately $18,781) made in May 2021 and (ii) 9,800 shares (approximately $49,882) made in February 2022.</w:t>
      </w:r>
    </w:p>
    <w:p>
      <w:pPr>
        <w:spacing w:after="0" w:line="198" w:lineRule="auto"/>
        <w:rPr>
          <w:sz w:val="20"/>
          <w:szCs w:val="20"/>
          <w:color w:val="auto"/>
        </w:rPr>
      </w:pPr>
      <w:r>
        <w:rPr>
          <w:rFonts w:ascii="Arial" w:cs="Arial" w:eastAsia="Arial" w:hAnsi="Arial"/>
          <w:sz w:val="8"/>
          <w:szCs w:val="8"/>
          <w:color w:val="auto"/>
        </w:rPr>
        <w:t>(10)</w:t>
      </w:r>
    </w:p>
    <w:p>
      <w:pPr>
        <w:ind w:left="340"/>
        <w:spacing w:after="0"/>
        <w:rPr>
          <w:sz w:val="20"/>
          <w:szCs w:val="20"/>
          <w:color w:val="auto"/>
        </w:rPr>
      </w:pPr>
      <w:r>
        <w:rPr>
          <w:rFonts w:ascii="Arial" w:cs="Arial" w:eastAsia="Arial" w:hAnsi="Arial"/>
          <w:sz w:val="14"/>
          <w:szCs w:val="14"/>
          <w:color w:val="auto"/>
        </w:rPr>
        <w:t>Mr. Goldstein’s total includes three open market purchases of Company stock using his personal funds: (i) 3.013 shares (approximately</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$10,000) made in July 2022 (ii)1,670 shares (approximately $24,699) made in November 2016 and (iii) 1,850 shares (approximately</w:t>
      </w:r>
    </w:p>
    <w:p>
      <w:pPr>
        <w:ind w:left="340"/>
        <w:spacing w:after="0" w:line="210" w:lineRule="auto"/>
        <w:rPr>
          <w:sz w:val="20"/>
          <w:szCs w:val="20"/>
          <w:color w:val="auto"/>
        </w:rPr>
      </w:pPr>
      <w:r>
        <w:rPr>
          <w:rFonts w:ascii="Arial" w:cs="Arial" w:eastAsia="Arial" w:hAnsi="Arial"/>
          <w:sz w:val="14"/>
          <w:szCs w:val="14"/>
          <w:color w:val="auto"/>
        </w:rPr>
        <w:t>$25,049) made in May 2012.</w:t>
      </w:r>
    </w:p>
    <w:p>
      <w:pPr>
        <w:spacing w:after="0" w:line="198" w:lineRule="auto"/>
        <w:rPr>
          <w:sz w:val="20"/>
          <w:szCs w:val="20"/>
          <w:color w:val="auto"/>
        </w:rPr>
      </w:pPr>
      <w:r>
        <w:rPr>
          <w:rFonts w:ascii="Arial" w:cs="Arial" w:eastAsia="Arial" w:hAnsi="Arial"/>
          <w:sz w:val="8"/>
          <w:szCs w:val="8"/>
          <w:color w:val="auto"/>
        </w:rPr>
        <w:t>(11)</w:t>
      </w:r>
    </w:p>
    <w:p>
      <w:pPr>
        <w:jc w:val="both"/>
        <w:ind w:left="340" w:right="20"/>
        <w:spacing w:after="0" w:line="225" w:lineRule="auto"/>
        <w:rPr>
          <w:sz w:val="20"/>
          <w:szCs w:val="20"/>
          <w:color w:val="auto"/>
        </w:rPr>
      </w:pPr>
      <w:r>
        <w:rPr>
          <w:rFonts w:ascii="Arial" w:cs="Arial" w:eastAsia="Arial" w:hAnsi="Arial"/>
          <w:sz w:val="14"/>
          <w:szCs w:val="14"/>
          <w:color w:val="auto"/>
        </w:rPr>
        <w:t>Mr. Fairweather’s total includes one open market purchase of Company stock using his personal funds: 4,335 shares (approximately $14,823) made in August 2022.</w:t>
      </w:r>
    </w:p>
    <w:p>
      <w:pPr>
        <w:spacing w:after="0" w:line="198" w:lineRule="auto"/>
        <w:rPr>
          <w:sz w:val="20"/>
          <w:szCs w:val="20"/>
          <w:color w:val="auto"/>
        </w:rPr>
      </w:pPr>
      <w:r>
        <w:rPr>
          <w:rFonts w:ascii="Arial" w:cs="Arial" w:eastAsia="Arial" w:hAnsi="Arial"/>
          <w:sz w:val="8"/>
          <w:szCs w:val="8"/>
          <w:color w:val="auto"/>
        </w:rPr>
        <w:t>(12)</w:t>
      </w:r>
    </w:p>
    <w:p>
      <w:pPr>
        <w:ind w:left="340"/>
        <w:spacing w:after="0"/>
        <w:rPr>
          <w:sz w:val="20"/>
          <w:szCs w:val="20"/>
          <w:color w:val="auto"/>
        </w:rPr>
      </w:pPr>
      <w:r>
        <w:rPr>
          <w:rFonts w:ascii="Arial" w:cs="Arial" w:eastAsia="Arial" w:hAnsi="Arial"/>
          <w:sz w:val="14"/>
          <w:szCs w:val="14"/>
          <w:color w:val="auto"/>
        </w:rPr>
        <w:t>Mr. Lautenbach’s total includes four open market purchases of Company stock using his personal funds: (i) 11,100 shares (approximately</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$100,122) made in May 2018 (ii) 4,739 shares (approximately $70,015) made in November 2016 (iii) 12,007 shares (approximately</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$250,000) made in October 2015 and (iv) 66,000 shares (approximately $1,000,000) made in May 2013.</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150" w:gutter="0" w:footer="0" w:header="0"/>
        </w:sectPr>
      </w:pPr>
    </w:p>
    <w:bookmarkStart w:id="25" w:name="page26"/>
    <w:bookmarkEnd w:id="25"/>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BENEFICIAL OWNERSHIP OF COMPANY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2" w:lineRule="exact"/>
        <w:rPr>
          <w:sz w:val="20"/>
          <w:szCs w:val="20"/>
          <w:color w:val="auto"/>
        </w:rPr>
      </w:pPr>
    </w:p>
    <w:p>
      <w:pPr>
        <w:ind w:left="6"/>
        <w:spacing w:after="0"/>
        <w:rPr>
          <w:sz w:val="20"/>
          <w:szCs w:val="20"/>
          <w:color w:val="auto"/>
        </w:rPr>
      </w:pPr>
      <w:r>
        <w:rPr>
          <w:rFonts w:ascii="Arial" w:cs="Arial" w:eastAsia="Arial" w:hAnsi="Arial"/>
          <w:sz w:val="32"/>
          <w:szCs w:val="32"/>
          <w:b w:val="1"/>
          <w:bCs w:val="1"/>
          <w:color w:val="4B5A89"/>
        </w:rPr>
        <w:t>Beneficial Ownership of Company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58293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8" w:lineRule="exact"/>
        <w:rPr>
          <w:sz w:val="20"/>
          <w:szCs w:val="20"/>
          <w:color w:val="auto"/>
        </w:rPr>
      </w:pPr>
    </w:p>
    <w:p>
      <w:pPr>
        <w:jc w:val="both"/>
        <w:ind w:left="6"/>
        <w:spacing w:after="0" w:line="247" w:lineRule="auto"/>
        <w:rPr>
          <w:sz w:val="20"/>
          <w:szCs w:val="20"/>
          <w:color w:val="auto"/>
        </w:rPr>
      </w:pPr>
      <w:r>
        <w:rPr>
          <w:rFonts w:ascii="Arial" w:cs="Arial" w:eastAsia="Arial" w:hAnsi="Arial"/>
          <w:sz w:val="18"/>
          <w:szCs w:val="18"/>
          <w:color w:val="auto"/>
        </w:rPr>
        <w:t>The following table sets forth the number of shares owned by the persons or groups known to the Company to be the beneficial owners of more than five percent of any class of the Company’s voting securities are reflected in the chart below. The following information is based solely upon Schedules 13D, 13G and amendments thereto filed by the entities shown with the SEC as of the date appearing below.</w:t>
      </w:r>
    </w:p>
    <w:p>
      <w:pPr>
        <w:spacing w:after="0" w:line="197"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2680" w:type="dxa"/>
            <w:vAlign w:val="bottom"/>
          </w:tcPr>
          <w:p>
            <w:pPr>
              <w:jc w:val="center"/>
              <w:ind w:right="64"/>
              <w:spacing w:after="0"/>
              <w:rPr>
                <w:sz w:val="20"/>
                <w:szCs w:val="20"/>
                <w:color w:val="auto"/>
              </w:rPr>
            </w:pPr>
            <w:r>
              <w:rPr>
                <w:rFonts w:ascii="Arial" w:cs="Arial" w:eastAsia="Arial" w:hAnsi="Arial"/>
                <w:sz w:val="14"/>
                <w:szCs w:val="14"/>
                <w:b w:val="1"/>
                <w:bCs w:val="1"/>
                <w:color w:val="auto"/>
              </w:rPr>
              <w:t>Amount and Nature of</w:t>
            </w:r>
          </w:p>
        </w:tc>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4"/>
        </w:trPr>
        <w:tc>
          <w:tcPr>
            <w:tcW w:w="3980" w:type="dxa"/>
            <w:vAlign w:val="bottom"/>
            <w:vMerge w:val="restart"/>
          </w:tcPr>
          <w:p>
            <w:pPr>
              <w:spacing w:after="0"/>
              <w:rPr>
                <w:sz w:val="20"/>
                <w:szCs w:val="20"/>
                <w:color w:val="auto"/>
              </w:rPr>
            </w:pPr>
            <w:r>
              <w:rPr>
                <w:rFonts w:ascii="Arial" w:cs="Arial" w:eastAsia="Arial" w:hAnsi="Arial"/>
                <w:sz w:val="18"/>
                <w:szCs w:val="18"/>
                <w:color w:val="auto"/>
              </w:rPr>
              <w:t> </w:t>
            </w:r>
            <w:r>
              <w:rPr>
                <w:rFonts w:ascii="Arial" w:cs="Arial" w:eastAsia="Arial" w:hAnsi="Arial"/>
                <w:sz w:val="14"/>
                <w:szCs w:val="14"/>
                <w:b w:val="1"/>
                <w:bCs w:val="1"/>
                <w:color w:val="auto"/>
              </w:rPr>
              <w:t>Name and Address of Beneficial Owner</w:t>
            </w:r>
          </w:p>
        </w:tc>
        <w:tc>
          <w:tcPr>
            <w:tcW w:w="2680" w:type="dxa"/>
            <w:vAlign w:val="bottom"/>
          </w:tcPr>
          <w:p>
            <w:pPr>
              <w:jc w:val="center"/>
              <w:ind w:right="64"/>
              <w:spacing w:after="0" w:line="145" w:lineRule="exact"/>
              <w:rPr>
                <w:sz w:val="20"/>
                <w:szCs w:val="20"/>
                <w:color w:val="auto"/>
              </w:rPr>
            </w:pPr>
            <w:r>
              <w:rPr>
                <w:rFonts w:ascii="Arial" w:cs="Arial" w:eastAsia="Arial" w:hAnsi="Arial"/>
                <w:sz w:val="14"/>
                <w:szCs w:val="14"/>
                <w:b w:val="1"/>
                <w:bCs w:val="1"/>
                <w:color w:val="auto"/>
              </w:rPr>
              <w:t>Beneficial Ownership</w:t>
            </w:r>
          </w:p>
        </w:tc>
        <w:tc>
          <w:tcPr>
            <w:tcW w:w="2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980" w:type="dxa"/>
            <w:vAlign w:val="bottom"/>
            <w:vMerge w:val="continue"/>
          </w:tcPr>
          <w:p>
            <w:pPr>
              <w:spacing w:after="0"/>
              <w:rPr>
                <w:sz w:val="23"/>
                <w:szCs w:val="23"/>
                <w:color w:val="auto"/>
              </w:rPr>
            </w:pPr>
          </w:p>
        </w:tc>
        <w:tc>
          <w:tcPr>
            <w:tcW w:w="2680" w:type="dxa"/>
            <w:vAlign w:val="bottom"/>
          </w:tcPr>
          <w:p>
            <w:pPr>
              <w:jc w:val="center"/>
              <w:ind w:right="24"/>
              <w:spacing w:after="0"/>
              <w:rPr>
                <w:sz w:val="20"/>
                <w:szCs w:val="20"/>
                <w:color w:val="auto"/>
              </w:rPr>
            </w:pPr>
            <w:r>
              <w:rPr>
                <w:rFonts w:ascii="Arial" w:cs="Arial" w:eastAsia="Arial" w:hAnsi="Arial"/>
                <w:sz w:val="14"/>
                <w:szCs w:val="14"/>
                <w:b w:val="1"/>
                <w:bCs w:val="1"/>
                <w:color w:val="auto"/>
              </w:rPr>
              <w:t>of Common Stock</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8"/>
              </w:rPr>
              <w:t>Common Stock</w:t>
            </w:r>
            <w:r>
              <w:rPr>
                <w:rFonts w:ascii="Arial" w:cs="Arial" w:eastAsia="Arial" w:hAnsi="Arial"/>
                <w:sz w:val="23"/>
                <w:szCs w:val="23"/>
                <w:b w:val="1"/>
                <w:bCs w:val="1"/>
                <w:color w:val="auto"/>
                <w:w w:val="98"/>
                <w:vertAlign w:val="superscript"/>
              </w:rPr>
              <w:t>(1)</w:t>
            </w:r>
          </w:p>
        </w:tc>
        <w:tc>
          <w:tcPr>
            <w:tcW w:w="0" w:type="dxa"/>
            <w:vAlign w:val="bottom"/>
          </w:tcPr>
          <w:p>
            <w:pPr>
              <w:spacing w:after="0"/>
              <w:rPr>
                <w:sz w:val="1"/>
                <w:szCs w:val="1"/>
                <w:color w:val="auto"/>
              </w:rPr>
            </w:pPr>
          </w:p>
        </w:tc>
      </w:tr>
      <w:tr>
        <w:trPr>
          <w:trHeight w:val="256"/>
        </w:trPr>
        <w:tc>
          <w:tcPr>
            <w:tcW w:w="3980" w:type="dxa"/>
            <w:vAlign w:val="bottom"/>
            <w:tcBorders>
              <w:right w:val="single" w:sz="8" w:color="0072AF"/>
            </w:tcBorders>
            <w:shd w:val="clear" w:color="auto" w:fill="CBCEE0"/>
          </w:tcPr>
          <w:p>
            <w:pPr>
              <w:ind w:left="100"/>
              <w:spacing w:after="0"/>
              <w:rPr>
                <w:sz w:val="20"/>
                <w:szCs w:val="20"/>
                <w:color w:val="auto"/>
              </w:rPr>
            </w:pPr>
            <w:r>
              <w:rPr>
                <w:rFonts w:ascii="Arial" w:cs="Arial" w:eastAsia="Arial" w:hAnsi="Arial"/>
                <w:sz w:val="16"/>
                <w:szCs w:val="16"/>
                <w:color w:val="auto"/>
              </w:rPr>
              <w:t>The Vanguard Group, Inc.</w:t>
            </w:r>
          </w:p>
        </w:tc>
        <w:tc>
          <w:tcPr>
            <w:tcW w:w="2680" w:type="dxa"/>
            <w:vAlign w:val="bottom"/>
            <w:vMerge w:val="restart"/>
            <w:shd w:val="clear" w:color="auto" w:fill="CBCEE0"/>
          </w:tcPr>
          <w:p>
            <w:pPr>
              <w:jc w:val="center"/>
              <w:ind w:right="24"/>
              <w:spacing w:after="0"/>
              <w:rPr>
                <w:sz w:val="20"/>
                <w:szCs w:val="20"/>
                <w:color w:val="auto"/>
              </w:rPr>
            </w:pPr>
            <w:r>
              <w:rPr>
                <w:rFonts w:ascii="Arial" w:cs="Arial" w:eastAsia="Arial" w:hAnsi="Arial"/>
                <w:sz w:val="16"/>
                <w:szCs w:val="16"/>
                <w:color w:val="auto"/>
                <w:w w:val="96"/>
              </w:rPr>
              <w:t>18,445,482</w:t>
            </w:r>
            <w:r>
              <w:rPr>
                <w:rFonts w:ascii="Arial" w:cs="Arial" w:eastAsia="Arial" w:hAnsi="Arial"/>
                <w:sz w:val="26"/>
                <w:szCs w:val="26"/>
                <w:color w:val="auto"/>
                <w:w w:val="96"/>
                <w:vertAlign w:val="superscript"/>
              </w:rPr>
              <w:t>(2)</w:t>
            </w:r>
          </w:p>
        </w:tc>
        <w:tc>
          <w:tcPr>
            <w:tcW w:w="2520" w:type="dxa"/>
            <w:vAlign w:val="bottom"/>
            <w:tcBorders>
              <w:right w:val="single" w:sz="8" w:color="0072AF"/>
            </w:tcBorders>
            <w:shd w:val="clear" w:color="auto" w:fill="CBCEE0"/>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980" w:type="dxa"/>
            <w:vAlign w:val="bottom"/>
            <w:tcBorders>
              <w:right w:val="single" w:sz="8" w:color="0072AF"/>
            </w:tcBorders>
            <w:shd w:val="clear" w:color="auto" w:fill="CBCEE0"/>
          </w:tcPr>
          <w:p>
            <w:pPr>
              <w:ind w:left="100"/>
              <w:spacing w:after="0"/>
              <w:rPr>
                <w:sz w:val="20"/>
                <w:szCs w:val="20"/>
                <w:color w:val="auto"/>
              </w:rPr>
            </w:pPr>
            <w:r>
              <w:rPr>
                <w:rFonts w:ascii="Arial" w:cs="Arial" w:eastAsia="Arial" w:hAnsi="Arial"/>
                <w:sz w:val="16"/>
                <w:szCs w:val="16"/>
                <w:color w:val="auto"/>
              </w:rPr>
              <w:t>100 Vanguard Blvd</w:t>
            </w:r>
          </w:p>
        </w:tc>
        <w:tc>
          <w:tcPr>
            <w:tcW w:w="2680" w:type="dxa"/>
            <w:vAlign w:val="bottom"/>
            <w:vMerge w:val="continue"/>
            <w:shd w:val="clear" w:color="auto" w:fill="CBCEE0"/>
          </w:tcPr>
          <w:p>
            <w:pPr>
              <w:spacing w:after="0"/>
              <w:rPr>
                <w:sz w:val="16"/>
                <w:szCs w:val="16"/>
                <w:color w:val="auto"/>
              </w:rPr>
            </w:pPr>
          </w:p>
        </w:tc>
        <w:tc>
          <w:tcPr>
            <w:tcW w:w="2520" w:type="dxa"/>
            <w:vAlign w:val="bottom"/>
            <w:tcBorders>
              <w:right w:val="single" w:sz="8" w:color="0072AF"/>
            </w:tcBorders>
            <w:shd w:val="clear" w:color="auto" w:fill="CBCEE0"/>
          </w:tcPr>
          <w:p>
            <w:pPr>
              <w:jc w:val="center"/>
              <w:ind w:right="103"/>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51"/>
        </w:trPr>
        <w:tc>
          <w:tcPr>
            <w:tcW w:w="3980" w:type="dxa"/>
            <w:vAlign w:val="bottom"/>
            <w:tcBorders>
              <w:bottom w:val="single" w:sz="8" w:color="CBCEE0"/>
              <w:right w:val="single" w:sz="8" w:color="0072AF"/>
            </w:tcBorders>
            <w:shd w:val="clear" w:color="auto" w:fill="CBCEE0"/>
          </w:tcPr>
          <w:p>
            <w:pPr>
              <w:ind w:left="100"/>
              <w:spacing w:after="0"/>
              <w:rPr>
                <w:sz w:val="20"/>
                <w:szCs w:val="20"/>
                <w:color w:val="auto"/>
              </w:rPr>
            </w:pPr>
            <w:r>
              <w:rPr>
                <w:rFonts w:ascii="Arial" w:cs="Arial" w:eastAsia="Arial" w:hAnsi="Arial"/>
                <w:sz w:val="16"/>
                <w:szCs w:val="16"/>
                <w:color w:val="auto"/>
              </w:rPr>
              <w:t>Malvern, PA 19355</w:t>
            </w:r>
          </w:p>
        </w:tc>
        <w:tc>
          <w:tcPr>
            <w:tcW w:w="2680" w:type="dxa"/>
            <w:vAlign w:val="bottom"/>
            <w:tcBorders>
              <w:bottom w:val="single" w:sz="8" w:color="CBCEE0"/>
            </w:tcBorders>
            <w:shd w:val="clear" w:color="auto" w:fill="CBCEE0"/>
          </w:tcPr>
          <w:p>
            <w:pPr>
              <w:spacing w:after="0"/>
              <w:rPr>
                <w:sz w:val="21"/>
                <w:szCs w:val="21"/>
                <w:color w:val="auto"/>
              </w:rPr>
            </w:pPr>
          </w:p>
        </w:tc>
        <w:tc>
          <w:tcPr>
            <w:tcW w:w="2520" w:type="dxa"/>
            <w:vAlign w:val="bottom"/>
            <w:tcBorders>
              <w:bottom w:val="single" w:sz="8" w:color="CBCEE0"/>
              <w:right w:val="single" w:sz="8" w:color="0072AF"/>
            </w:tcBorders>
            <w:shd w:val="clear" w:color="auto" w:fill="CBCEE0"/>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80" w:type="dxa"/>
            <w:vAlign w:val="bottom"/>
            <w:tcBorders>
              <w:right w:val="single" w:sz="8" w:color="0072AF"/>
            </w:tcBorders>
          </w:tcPr>
          <w:p>
            <w:pPr>
              <w:ind w:left="100"/>
              <w:spacing w:after="0"/>
              <w:rPr>
                <w:sz w:val="20"/>
                <w:szCs w:val="20"/>
                <w:color w:val="auto"/>
              </w:rPr>
            </w:pPr>
            <w:r>
              <w:rPr>
                <w:rFonts w:ascii="Arial" w:cs="Arial" w:eastAsia="Arial" w:hAnsi="Arial"/>
                <w:sz w:val="16"/>
                <w:szCs w:val="16"/>
                <w:color w:val="auto"/>
              </w:rPr>
              <w:t>BlackRock, Inc.</w:t>
            </w:r>
          </w:p>
        </w:tc>
        <w:tc>
          <w:tcPr>
            <w:tcW w:w="2680" w:type="dxa"/>
            <w:vAlign w:val="bottom"/>
            <w:vMerge w:val="restart"/>
          </w:tcPr>
          <w:p>
            <w:pPr>
              <w:jc w:val="center"/>
              <w:ind w:right="24"/>
              <w:spacing w:after="0"/>
              <w:rPr>
                <w:sz w:val="20"/>
                <w:szCs w:val="20"/>
                <w:color w:val="auto"/>
              </w:rPr>
            </w:pPr>
            <w:r>
              <w:rPr>
                <w:rFonts w:ascii="Arial" w:cs="Arial" w:eastAsia="Arial" w:hAnsi="Arial"/>
                <w:sz w:val="16"/>
                <w:szCs w:val="16"/>
                <w:color w:val="auto"/>
                <w:w w:val="96"/>
              </w:rPr>
              <w:t>17,084,607</w:t>
            </w:r>
            <w:r>
              <w:rPr>
                <w:rFonts w:ascii="Arial" w:cs="Arial" w:eastAsia="Arial" w:hAnsi="Arial"/>
                <w:sz w:val="26"/>
                <w:szCs w:val="26"/>
                <w:color w:val="auto"/>
                <w:w w:val="96"/>
                <w:vertAlign w:val="superscript"/>
              </w:rPr>
              <w:t>(3)</w:t>
            </w:r>
          </w:p>
        </w:tc>
        <w:tc>
          <w:tcPr>
            <w:tcW w:w="2520" w:type="dxa"/>
            <w:vAlign w:val="bottom"/>
            <w:tcBorders>
              <w:right w:val="single" w:sz="8" w:color="0072AF"/>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980" w:type="dxa"/>
            <w:vAlign w:val="bottom"/>
            <w:tcBorders>
              <w:right w:val="single" w:sz="8" w:color="0072AF"/>
            </w:tcBorders>
          </w:tcPr>
          <w:p>
            <w:pPr>
              <w:ind w:left="100"/>
              <w:spacing w:after="0"/>
              <w:rPr>
                <w:sz w:val="20"/>
                <w:szCs w:val="20"/>
                <w:color w:val="auto"/>
              </w:rPr>
            </w:pPr>
            <w:r>
              <w:rPr>
                <w:rFonts w:ascii="Arial" w:cs="Arial" w:eastAsia="Arial" w:hAnsi="Arial"/>
                <w:sz w:val="16"/>
                <w:szCs w:val="16"/>
                <w:color w:val="auto"/>
              </w:rPr>
              <w:t>50 Hudson Yards</w:t>
            </w:r>
          </w:p>
        </w:tc>
        <w:tc>
          <w:tcPr>
            <w:tcW w:w="2680" w:type="dxa"/>
            <w:vAlign w:val="bottom"/>
            <w:vMerge w:val="continue"/>
          </w:tcPr>
          <w:p>
            <w:pPr>
              <w:spacing w:after="0"/>
              <w:rPr>
                <w:sz w:val="16"/>
                <w:szCs w:val="16"/>
                <w:color w:val="auto"/>
              </w:rPr>
            </w:pPr>
          </w:p>
        </w:tc>
        <w:tc>
          <w:tcPr>
            <w:tcW w:w="2520" w:type="dxa"/>
            <w:vAlign w:val="bottom"/>
            <w:tcBorders>
              <w:right w:val="single" w:sz="8" w:color="0072AF"/>
            </w:tcBorders>
          </w:tcPr>
          <w:p>
            <w:pPr>
              <w:jc w:val="center"/>
              <w:ind w:right="83"/>
              <w:spacing w:after="0"/>
              <w:rPr>
                <w:sz w:val="20"/>
                <w:szCs w:val="20"/>
                <w:color w:val="auto"/>
              </w:rPr>
            </w:pPr>
            <w:r>
              <w:rPr>
                <w:rFonts w:ascii="Arial" w:cs="Arial" w:eastAsia="Arial" w:hAnsi="Arial"/>
                <w:sz w:val="16"/>
                <w:szCs w:val="16"/>
                <w:color w:val="auto"/>
                <w:w w:val="98"/>
              </w:rPr>
              <w:t>9.7%</w:t>
            </w:r>
          </w:p>
        </w:tc>
        <w:tc>
          <w:tcPr>
            <w:tcW w:w="0" w:type="dxa"/>
            <w:vAlign w:val="bottom"/>
          </w:tcPr>
          <w:p>
            <w:pPr>
              <w:spacing w:after="0"/>
              <w:rPr>
                <w:sz w:val="1"/>
                <w:szCs w:val="1"/>
                <w:color w:val="auto"/>
              </w:rPr>
            </w:pPr>
          </w:p>
        </w:tc>
      </w:tr>
      <w:tr>
        <w:trPr>
          <w:trHeight w:val="215"/>
        </w:trPr>
        <w:tc>
          <w:tcPr>
            <w:tcW w:w="3980" w:type="dxa"/>
            <w:vAlign w:val="bottom"/>
            <w:tcBorders>
              <w:right w:val="single" w:sz="8" w:color="0072AF"/>
            </w:tcBorders>
          </w:tcPr>
          <w:p>
            <w:pPr>
              <w:ind w:left="100"/>
              <w:spacing w:after="0"/>
              <w:rPr>
                <w:sz w:val="20"/>
                <w:szCs w:val="20"/>
                <w:color w:val="auto"/>
              </w:rPr>
            </w:pPr>
            <w:r>
              <w:rPr>
                <w:rFonts w:ascii="Arial" w:cs="Arial" w:eastAsia="Arial" w:hAnsi="Arial"/>
                <w:sz w:val="16"/>
                <w:szCs w:val="16"/>
                <w:color w:val="auto"/>
              </w:rPr>
              <w:t>New York, NY 10001</w:t>
            </w:r>
          </w:p>
        </w:tc>
        <w:tc>
          <w:tcPr>
            <w:tcW w:w="2680" w:type="dxa"/>
            <w:vAlign w:val="bottom"/>
          </w:tcPr>
          <w:p>
            <w:pPr>
              <w:spacing w:after="0"/>
              <w:rPr>
                <w:sz w:val="18"/>
                <w:szCs w:val="18"/>
                <w:color w:val="auto"/>
              </w:rPr>
            </w:pPr>
          </w:p>
        </w:tc>
        <w:tc>
          <w:tcPr>
            <w:tcW w:w="2520" w:type="dxa"/>
            <w:vAlign w:val="bottom"/>
            <w:tcBorders>
              <w:right w:val="single" w:sz="8" w:color="0072AF"/>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3980" w:type="dxa"/>
            <w:vAlign w:val="bottom"/>
            <w:tcBorders>
              <w:right w:val="single" w:sz="8" w:color="0072AF"/>
            </w:tcBorders>
          </w:tcPr>
          <w:p>
            <w:pPr>
              <w:spacing w:after="0"/>
              <w:rPr>
                <w:sz w:val="4"/>
                <w:szCs w:val="4"/>
                <w:color w:val="auto"/>
              </w:rPr>
            </w:pPr>
          </w:p>
        </w:tc>
        <w:tc>
          <w:tcPr>
            <w:tcW w:w="2680" w:type="dxa"/>
            <w:vAlign w:val="bottom"/>
          </w:tcPr>
          <w:p>
            <w:pPr>
              <w:spacing w:after="0"/>
              <w:rPr>
                <w:sz w:val="4"/>
                <w:szCs w:val="4"/>
                <w:color w:val="auto"/>
              </w:rPr>
            </w:pPr>
          </w:p>
        </w:tc>
        <w:tc>
          <w:tcPr>
            <w:tcW w:w="2520" w:type="dxa"/>
            <w:vAlign w:val="bottom"/>
            <w:tcBorders>
              <w:right w:val="single" w:sz="8" w:color="0072AF"/>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980" w:type="dxa"/>
            <w:vAlign w:val="bottom"/>
            <w:tcBorders>
              <w:right w:val="single" w:sz="8" w:color="0072AF"/>
            </w:tcBorders>
            <w:shd w:val="clear" w:color="auto" w:fill="CBCEE0"/>
          </w:tcPr>
          <w:p>
            <w:pPr>
              <w:ind w:left="100"/>
              <w:spacing w:after="0"/>
              <w:rPr>
                <w:sz w:val="20"/>
                <w:szCs w:val="20"/>
                <w:color w:val="auto"/>
              </w:rPr>
            </w:pPr>
            <w:r>
              <w:rPr>
                <w:rFonts w:ascii="Arial" w:cs="Arial" w:eastAsia="Arial" w:hAnsi="Arial"/>
                <w:sz w:val="16"/>
                <w:szCs w:val="16"/>
                <w:color w:val="auto"/>
              </w:rPr>
              <w:t>Entities associated with Hestia Capital</w:t>
            </w:r>
          </w:p>
        </w:tc>
        <w:tc>
          <w:tcPr>
            <w:tcW w:w="2680" w:type="dxa"/>
            <w:vAlign w:val="bottom"/>
            <w:shd w:val="clear" w:color="auto" w:fill="CBCEE0"/>
          </w:tcPr>
          <w:p>
            <w:pPr>
              <w:spacing w:after="0"/>
              <w:rPr>
                <w:sz w:val="21"/>
                <w:szCs w:val="21"/>
                <w:color w:val="auto"/>
              </w:rPr>
            </w:pPr>
          </w:p>
        </w:tc>
        <w:tc>
          <w:tcPr>
            <w:tcW w:w="2520" w:type="dxa"/>
            <w:vAlign w:val="bottom"/>
            <w:tcBorders>
              <w:right w:val="single" w:sz="8" w:color="0072AF"/>
            </w:tcBorders>
            <w:shd w:val="clear" w:color="auto" w:fill="CBCEE0"/>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3980" w:type="dxa"/>
            <w:vAlign w:val="bottom"/>
            <w:tcBorders>
              <w:right w:val="single" w:sz="8" w:color="0072AF"/>
            </w:tcBorders>
            <w:shd w:val="clear" w:color="auto" w:fill="CBCEE0"/>
          </w:tcPr>
          <w:p>
            <w:pPr>
              <w:ind w:left="100"/>
              <w:spacing w:after="0" w:line="296" w:lineRule="exact"/>
              <w:rPr>
                <w:sz w:val="20"/>
                <w:szCs w:val="20"/>
                <w:color w:val="auto"/>
              </w:rPr>
            </w:pPr>
            <w:r>
              <w:rPr>
                <w:rFonts w:ascii="Arial" w:cs="Arial" w:eastAsia="Arial" w:hAnsi="Arial"/>
                <w:sz w:val="16"/>
                <w:szCs w:val="16"/>
                <w:color w:val="auto"/>
              </w:rPr>
              <w:t>Partners, LP</w:t>
            </w:r>
            <w:r>
              <w:rPr>
                <w:rFonts w:ascii="Arial" w:cs="Arial" w:eastAsia="Arial" w:hAnsi="Arial"/>
                <w:sz w:val="26"/>
                <w:szCs w:val="26"/>
                <w:color w:val="auto"/>
                <w:vertAlign w:val="superscript"/>
              </w:rPr>
              <w:t>(4)</w:t>
            </w:r>
          </w:p>
        </w:tc>
        <w:tc>
          <w:tcPr>
            <w:tcW w:w="2680" w:type="dxa"/>
            <w:vAlign w:val="bottom"/>
            <w:shd w:val="clear" w:color="auto" w:fill="CBCEE0"/>
          </w:tcPr>
          <w:p>
            <w:pPr>
              <w:jc w:val="center"/>
              <w:ind w:right="24"/>
              <w:spacing w:after="0" w:line="296" w:lineRule="exact"/>
              <w:rPr>
                <w:sz w:val="20"/>
                <w:szCs w:val="20"/>
                <w:color w:val="auto"/>
              </w:rPr>
            </w:pPr>
            <w:r>
              <w:rPr>
                <w:rFonts w:ascii="Arial" w:cs="Arial" w:eastAsia="Arial" w:hAnsi="Arial"/>
                <w:sz w:val="16"/>
                <w:szCs w:val="16"/>
                <w:color w:val="auto"/>
                <w:w w:val="96"/>
              </w:rPr>
              <w:t>15,790,922</w:t>
            </w:r>
            <w:r>
              <w:rPr>
                <w:rFonts w:ascii="Arial" w:cs="Arial" w:eastAsia="Arial" w:hAnsi="Arial"/>
                <w:sz w:val="26"/>
                <w:szCs w:val="26"/>
                <w:color w:val="auto"/>
                <w:w w:val="96"/>
                <w:vertAlign w:val="superscript"/>
              </w:rPr>
              <w:t>(5)</w:t>
            </w:r>
          </w:p>
        </w:tc>
        <w:tc>
          <w:tcPr>
            <w:tcW w:w="2520" w:type="dxa"/>
            <w:vAlign w:val="bottom"/>
            <w:tcBorders>
              <w:right w:val="single" w:sz="8" w:color="0072AF"/>
            </w:tcBorders>
            <w:shd w:val="clear" w:color="auto" w:fill="CBCEE0"/>
          </w:tcPr>
          <w:p>
            <w:pPr>
              <w:jc w:val="center"/>
              <w:ind w:right="83"/>
              <w:spacing w:after="0"/>
              <w:rPr>
                <w:sz w:val="20"/>
                <w:szCs w:val="20"/>
                <w:color w:val="auto"/>
              </w:rPr>
            </w:pPr>
            <w:r>
              <w:rPr>
                <w:rFonts w:ascii="Arial" w:cs="Arial" w:eastAsia="Arial" w:hAnsi="Arial"/>
                <w:sz w:val="16"/>
                <w:szCs w:val="16"/>
                <w:color w:val="auto"/>
                <w:w w:val="98"/>
              </w:rPr>
              <w:t>9.0%</w:t>
            </w:r>
          </w:p>
        </w:tc>
        <w:tc>
          <w:tcPr>
            <w:tcW w:w="0" w:type="dxa"/>
            <w:vAlign w:val="bottom"/>
          </w:tcPr>
          <w:p>
            <w:pPr>
              <w:spacing w:after="0"/>
              <w:rPr>
                <w:sz w:val="1"/>
                <w:szCs w:val="1"/>
                <w:color w:val="auto"/>
              </w:rPr>
            </w:pPr>
          </w:p>
        </w:tc>
      </w:tr>
      <w:tr>
        <w:trPr>
          <w:trHeight w:val="121"/>
        </w:trPr>
        <w:tc>
          <w:tcPr>
            <w:tcW w:w="3980" w:type="dxa"/>
            <w:vAlign w:val="bottom"/>
            <w:tcBorders>
              <w:right w:val="single" w:sz="8" w:color="0072AF"/>
            </w:tcBorders>
            <w:shd w:val="clear" w:color="auto" w:fill="CBCEE0"/>
          </w:tcPr>
          <w:p>
            <w:pPr>
              <w:ind w:left="100"/>
              <w:spacing w:after="0" w:line="121" w:lineRule="exact"/>
              <w:rPr>
                <w:sz w:val="20"/>
                <w:szCs w:val="20"/>
                <w:color w:val="auto"/>
              </w:rPr>
            </w:pPr>
            <w:r>
              <w:rPr>
                <w:rFonts w:ascii="Arial" w:cs="Arial" w:eastAsia="Arial" w:hAnsi="Arial"/>
                <w:sz w:val="14"/>
                <w:szCs w:val="14"/>
                <w:color w:val="auto"/>
              </w:rPr>
              <w:t>175 Brickyard Road, Suite 200</w:t>
            </w:r>
          </w:p>
        </w:tc>
        <w:tc>
          <w:tcPr>
            <w:tcW w:w="2680" w:type="dxa"/>
            <w:vAlign w:val="bottom"/>
            <w:shd w:val="clear" w:color="auto" w:fill="CBCEE0"/>
          </w:tcPr>
          <w:p>
            <w:pPr>
              <w:spacing w:after="0"/>
              <w:rPr>
                <w:sz w:val="10"/>
                <w:szCs w:val="10"/>
                <w:color w:val="auto"/>
              </w:rPr>
            </w:pPr>
          </w:p>
        </w:tc>
        <w:tc>
          <w:tcPr>
            <w:tcW w:w="2520" w:type="dxa"/>
            <w:vAlign w:val="bottom"/>
            <w:tcBorders>
              <w:right w:val="single" w:sz="8" w:color="0072AF"/>
            </w:tcBorders>
            <w:shd w:val="clear" w:color="auto" w:fill="CBCEE0"/>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3980" w:type="dxa"/>
            <w:vAlign w:val="bottom"/>
            <w:tcBorders>
              <w:right w:val="single" w:sz="8" w:color="0072AF"/>
            </w:tcBorders>
            <w:shd w:val="clear" w:color="auto" w:fill="CBCEE0"/>
          </w:tcPr>
          <w:p>
            <w:pPr>
              <w:ind w:left="100"/>
              <w:spacing w:after="0"/>
              <w:rPr>
                <w:sz w:val="20"/>
                <w:szCs w:val="20"/>
                <w:color w:val="auto"/>
              </w:rPr>
            </w:pPr>
            <w:r>
              <w:rPr>
                <w:rFonts w:ascii="Arial" w:cs="Arial" w:eastAsia="Arial" w:hAnsi="Arial"/>
                <w:sz w:val="16"/>
                <w:szCs w:val="16"/>
                <w:color w:val="auto"/>
              </w:rPr>
              <w:t>Adams Township, Pennsylvania 16046</w:t>
            </w:r>
          </w:p>
        </w:tc>
        <w:tc>
          <w:tcPr>
            <w:tcW w:w="2680" w:type="dxa"/>
            <w:vAlign w:val="bottom"/>
            <w:shd w:val="clear" w:color="auto" w:fill="CBCEE0"/>
          </w:tcPr>
          <w:p>
            <w:pPr>
              <w:spacing w:after="0"/>
              <w:rPr>
                <w:sz w:val="18"/>
                <w:szCs w:val="18"/>
                <w:color w:val="auto"/>
              </w:rPr>
            </w:pPr>
          </w:p>
        </w:tc>
        <w:tc>
          <w:tcPr>
            <w:tcW w:w="2520" w:type="dxa"/>
            <w:vAlign w:val="bottom"/>
            <w:tcBorders>
              <w:right w:val="single" w:sz="8" w:color="0072AF"/>
            </w:tcBorders>
            <w:shd w:val="clear" w:color="auto" w:fill="CBCEE0"/>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3980" w:type="dxa"/>
            <w:vAlign w:val="bottom"/>
            <w:tcBorders>
              <w:right w:val="single" w:sz="8" w:color="0072AF"/>
            </w:tcBorders>
            <w:shd w:val="clear" w:color="auto" w:fill="CBCEE0"/>
          </w:tcPr>
          <w:p>
            <w:pPr>
              <w:spacing w:after="0"/>
              <w:rPr>
                <w:sz w:val="6"/>
                <w:szCs w:val="6"/>
                <w:color w:val="auto"/>
              </w:rPr>
            </w:pPr>
          </w:p>
        </w:tc>
        <w:tc>
          <w:tcPr>
            <w:tcW w:w="2680" w:type="dxa"/>
            <w:vAlign w:val="bottom"/>
            <w:shd w:val="clear" w:color="auto" w:fill="CBCEE0"/>
          </w:tcPr>
          <w:p>
            <w:pPr>
              <w:spacing w:after="0"/>
              <w:rPr>
                <w:sz w:val="6"/>
                <w:szCs w:val="6"/>
                <w:color w:val="auto"/>
              </w:rPr>
            </w:pPr>
          </w:p>
        </w:tc>
        <w:tc>
          <w:tcPr>
            <w:tcW w:w="2520" w:type="dxa"/>
            <w:vAlign w:val="bottom"/>
            <w:tcBorders>
              <w:right w:val="single" w:sz="8" w:color="0072AF"/>
            </w:tcBorders>
            <w:shd w:val="clear" w:color="auto" w:fill="CBCEE0"/>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5820410</wp:posOffset>
            </wp:positionH>
            <wp:positionV relativeFrom="paragraph">
              <wp:posOffset>-1499235</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70" w:lineRule="exact"/>
        <w:rPr>
          <w:sz w:val="20"/>
          <w:szCs w:val="20"/>
          <w:color w:val="auto"/>
        </w:rPr>
      </w:pPr>
    </w:p>
    <w:p>
      <w:pPr>
        <w:ind w:left="346" w:hanging="346"/>
        <w:spacing w:after="0"/>
        <w:tabs>
          <w:tab w:leader="none" w:pos="346"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There were 177,667,659 shares of our Common Stock outstanding as of March 15, 2024 (the Record Date for the Annual Meeting).</w:t>
      </w:r>
    </w:p>
    <w:p>
      <w:pPr>
        <w:spacing w:after="0" w:line="39" w:lineRule="exact"/>
        <w:rPr>
          <w:rFonts w:ascii="Arial" w:cs="Arial" w:eastAsia="Arial" w:hAnsi="Arial"/>
          <w:sz w:val="22"/>
          <w:szCs w:val="22"/>
          <w:color w:val="auto"/>
          <w:vertAlign w:val="superscript"/>
        </w:rPr>
      </w:pPr>
    </w:p>
    <w:p>
      <w:pPr>
        <w:jc w:val="both"/>
        <w:ind w:left="346" w:hanging="346"/>
        <w:spacing w:after="0" w:line="208" w:lineRule="auto"/>
        <w:tabs>
          <w:tab w:leader="none" w:pos="346"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As of December 31, 2023, The Vanguard Group, Inc. disclosed sole voting power with respect to 0 shares, shared voting power with respect to 331,281 shares, sole dispositive power with respect to 17,964,528 shares and shared dispositive power with respect to 480,954 shares. The foregoing information is based on a Schedule 13G filed with the SEC on February 13, 2024.</w:t>
      </w:r>
    </w:p>
    <w:p>
      <w:pPr>
        <w:spacing w:after="0" w:line="27" w:lineRule="exact"/>
        <w:rPr>
          <w:rFonts w:ascii="Arial" w:cs="Arial" w:eastAsia="Arial" w:hAnsi="Arial"/>
          <w:sz w:val="22"/>
          <w:szCs w:val="22"/>
          <w:color w:val="auto"/>
          <w:vertAlign w:val="superscript"/>
        </w:rPr>
      </w:pPr>
    </w:p>
    <w:p>
      <w:pPr>
        <w:ind w:left="346" w:right="20" w:hanging="346"/>
        <w:spacing w:after="0" w:line="204" w:lineRule="auto"/>
        <w:tabs>
          <w:tab w:leader="none" w:pos="346"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As of December 31, 2023, BlackRock, Inc. disclosed sole voting power with respect to 16,935,283 shares and sole dispositive power with respect to 17,084,607 shares. The foregoing information is based on a Schedule 13G filed with the SEC on January 24, 2024.</w:t>
      </w:r>
    </w:p>
    <w:p>
      <w:pPr>
        <w:ind w:left="346" w:hanging="346"/>
        <w:spacing w:after="0" w:line="204" w:lineRule="auto"/>
        <w:tabs>
          <w:tab w:leader="none" w:pos="346"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Includes Hestia Capital Partners, LP; Helios I, LP; Hestia Capital Partners GP, LLC; Hestia Capital Management, LLC; and Kurtis J. Wolf.</w:t>
      </w:r>
    </w:p>
    <w:p>
      <w:pPr>
        <w:spacing w:after="0" w:line="40" w:lineRule="exact"/>
        <w:rPr>
          <w:rFonts w:ascii="Arial" w:cs="Arial" w:eastAsia="Arial" w:hAnsi="Arial"/>
          <w:sz w:val="22"/>
          <w:szCs w:val="22"/>
          <w:color w:val="auto"/>
          <w:vertAlign w:val="superscript"/>
        </w:rPr>
      </w:pPr>
    </w:p>
    <w:p>
      <w:pPr>
        <w:jc w:val="both"/>
        <w:ind w:left="346" w:hanging="346"/>
        <w:spacing w:after="0"/>
        <w:tabs>
          <w:tab w:leader="none" w:pos="346"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As of January 31, 2024, Hestia Capital Partners, LP disclosed shared voting power with respect to 5,572,261 shares and shared dispositive power with respect to 5,572,261 shares. The aggregate amount beneficially owned by Hestia Capital Partners, LP was 5,572,261 shares. As of January 31, 2024, Helios I, LP disclosed shared voting power of 9,540,161 shares and shared dispositive power of 9,540,161 shares. The aggregate amount beneficially owned by Helios I, LP was 9,540,161 shares. As of January 31, 2024, Hestia Capital Partners GP, LLC disclosed shared voting power of 15,112,422 shares and shared dispositive power of 15,112,422 shares. The aggregate amount beneficially owned by Hestia Capital Partners GP, LLC was 15,112,422 shares. As of January 31, 2024, Hestia Capital Management, LLC disclosed shared voting power of 15,790,922 shares and shared dispositive power of 15,790,922 shares. The aggregate amount beneficially owned by Hestia Capital Management, LLC was 15,790,922 shares. As of January 31, 2024, Kurtis J. Wolf disclosed shared voting power of 15,790,922 shares and shared dispositive power of 15,790,922 shares. The aggregate amount beneficially owned by Kurtis J. Wolf was 15,790,922 shares. The total aggregate amount beneficially owned by all reporting entities associated with Hestia Capital Partners, LP was 15,790,922 shares. The foregoing information is based on an amendment to a Schedule 13D/A filed with the SEC on February 1, 2024.</w:t>
      </w:r>
    </w:p>
    <w:p>
      <w:pPr>
        <w:spacing w:after="0" w:line="273"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128905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32"/>
          <w:szCs w:val="32"/>
          <w:b w:val="1"/>
          <w:bCs w:val="1"/>
          <w:color w:val="4B5A89"/>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58293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222885</wp:posOffset>
            </wp:positionV>
            <wp:extent cx="58293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58293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The Board believes that, as a whole, the Board should include individuals with a diverse range of experience to give the Board depth and breadth in the mix of skills represented for the Board to oversee management on behalf of our stockholders. In addition, the Board believes that there are certain attributes that each director should possess, as described below. Therefore, the Board and the Governance Committee consider the qualifications of directors and nominees both individually and in the context of the overall composition of the Board.</w:t>
      </w:r>
    </w:p>
    <w:p>
      <w:pPr>
        <w:spacing w:after="0" w:line="13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Board, with the assistance of the Governance Committee, is responsible for assembling appropriate experience and capabilities within its membership as a whole, including financial literacy and expertise needed for the Audit Committee as required by applicable law and the New York Stock Exchange listing standards. The Governance Committee is responsible for reviewing and revising, as needed, criteria for the selection of directors. It also reviews and updates, from time to time, the Board candidate profile used in the context of a director search, in light of the current and anticipated needs of the Company and the experience and talent then represented on the Board. The Governance Committee reviews the qualifications of director candidates in light of the criteria approved by the Board and recommends candidates to the Board for election by the stockholders at the annual stockholders meeting.</w:t>
      </w:r>
    </w:p>
    <w:p>
      <w:pPr>
        <w:spacing w:after="0" w:line="143"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Governance Committee also looks at the diversity of the Board, seeking to include individuals with a variety of occupational and personal backgrounds on the Board in order to obtain a range of viewpoints and perspectives and to enhance the diversity of the Board in such areas as experience and geography, as well as race, gender, ethnicity and age. The Board assesses its effectiveness in this regard as part of the self-evaluation process.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believes all directors should demonstrate integrity and ethics, business acumen, sound judgment, and the ability to commit sufficient time and attention to the activities of the Board, as well as the absence of any conflicts with our interests.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When evaluating and recommending new candidates, the Governance Committee assesses the effectiveness of its criteria and considers whether there are any skill gaps that should be addressed. The Governance Committee looks for candidates who offer a range of skills and experience to the Board rather than a single one, as the Board believes that a well-rounded individual would provide the most effective contributions to the Board.</w:t>
      </w:r>
    </w:p>
    <w:p>
      <w:pPr>
        <w:spacing w:after="0" w:line="147"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Each director brings experience and skills that complement those of the other directors. The Board believes that all the directors nominated for election are highly qualified, and have the attributes, skills and experience required for service on the Board. Additional information about each director for nominee, including biographical information, appears on the following pages.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Cooperation Agreement</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On January 31, 2024, the Company entered into a Cooperation Agreement (the “Cooperation Agreement”) with Hestia Capital Partners, LP, Helios I, LP, Hestia Capital Partners GP, LLC, Hestia Capital Management, LLC and Kurtis J. Wolf (collectively, “Hestia Capital”), pursuant to which the Company increased the size of the Board by two seats and appointed each of William S. Simon and Jill Sutton to the Board, effective as of February 1, 2024. During the term of the Cooperation Agreement, the parties agreed to certain other terms relating to Board composition and mutual non-disparagement provisions. Hestia Capital also agreed to certain customary standstill provisions and voting commitments until the termination of the Cooperation Agreement. On April 4, 2024, following Mr. Simon’s resignation from the Board, Lance Rosenzweig was appointed to the Board as a “Replacement Director” pursuant to the terms of the Cooperation Agreement. The above summary does not purport to be complete and is qualified in its entirety by reference to the full text of the Cooperation Agreement, a copy of which is filed as Exhibit 10.1 to the Form 8-K filed with the SEC on February 1, 2024 and is available, free of charge, at www.sec.gov. Hestia Capital beneficially owns approximately 9% of the Company’s outstanding Common Stock. For further information regarding Hestia Capital’s beneficial ownership, please see “Beneficial Ownership of Company Stock” on page </w:t>
      </w:r>
      <w:r>
        <w:rPr>
          <w:rFonts w:ascii="Arial" w:cs="Arial" w:eastAsia="Arial" w:hAnsi="Arial"/>
          <w:sz w:val="18"/>
          <w:szCs w:val="18"/>
          <w:u w:val="single" w:color="auto"/>
          <w:color w:val="0000EE"/>
        </w:rPr>
        <w:t>25</w:t>
      </w:r>
      <w:r>
        <w:rPr>
          <w:rFonts w:ascii="Arial" w:cs="Arial" w:eastAsia="Arial" w:hAnsi="Arial"/>
          <w:sz w:val="18"/>
          <w:szCs w:val="18"/>
          <w:color w:val="auto"/>
        </w:rPr>
        <w:t xml:space="preserve"> of this Proxy Statement.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175260</wp:posOffset>
            </wp:positionV>
            <wp:extent cx="58293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Board currently has 10 members, and five of our directors are standing for election at the Annual Meeting as nominees. All directors are elected annually to serve one-year terms until the next annual meeting and until his or her successor has been duly elected and qualified, or until such director’s death, resignation or removal. Each of current directors Steven D. Brill, Katie May, Sheila Stamps, Mary J. Steele Guilfoile and Darrell Thomas is not standing for re-election to the Board at the Annual Meeting. The decision of each of these directors not to stand for re-election at the Annual Meeting was not due to any disagreement with the Company on any matter relating to the Company’s operations, policies or practices. We thank them for their dedicated service and the major support they have provided during a critical period of transition for the Company. The size of the Board will be reduced to five members, effective upon the conclusion of the Annual Meeting. In addition, when a permanent CEO is appointed, the Board intends to add the appointed CEO to the Board as a sixth member.</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Upon determining to fill an open Board position, the Board considers candidates submitted by outside independent recruiters, directors, members of management and others. Each of the nominees for election at the Annual Meeting of stockholders is a current Board member and was selected by the Board as a nominee. If elected at the Annual Meeting, each of the nominees would serve until the 2025 Annual Meeting and until his or her successor has been duly elected and qualified, or until such director’s death, resignation or removal.</w:t>
      </w:r>
    </w:p>
    <w:p>
      <w:pPr>
        <w:spacing w:after="0" w:line="14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Information about each nominee for director as of March 1, 2024, is set forth below. Other than Jill Sutton (who was appointed to the Board in February 2024) and Lance Rosenzweig (who was appointed to the Board in April 2024), each nominee for director has previously been elected by the Company’s stockholders.</w:t>
      </w:r>
    </w:p>
    <w:p>
      <w:pPr>
        <w:spacing w:after="0" w:line="12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Should any nominee become unable to accept nomination or election as a director (which is not now anticipated), the persons named in the enclosed proxy will vote for such substitute nominee as may be selected by the Board, unless the size of the Board is reduced.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153670</wp:posOffset>
            </wp:positionV>
            <wp:extent cx="58293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Vote Required; 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accordance with our By-laws, in an uncontested election, a majority of the “votes cast” is required for the election of directors. Abstentions and broker non-votes will not be votes cast and therefore will have no effect on the outcome of the vote. Our Governance Principles provide that any nominee for director in this election who fails to receive a majority of the votes cast in the affirmative must tender his or her resignation for consideration by the Governance Committee. The Governance Committee will recommend to the Board the action to be taken with respect to such offer of resignation. The Board will act on the Governance Committee’s recommendation and publicly disclose its decision within 90 days from the date of the certification of the election results.</w:t>
      </w:r>
    </w:p>
    <w:p>
      <w:pPr>
        <w:spacing w:after="0" w:line="144"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THE BOARD OF DIRECTORS RECOMMENDS THAT STOCKHOLDERS VOTE FOR THE ELECTION OF ALL THE DIRECTOR NOMINEES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128905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175260</wp:posOffset>
            </wp:positionV>
            <wp:extent cx="58293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The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-1284605</wp:posOffset>
            </wp:positionV>
            <wp:extent cx="1105535" cy="11658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05535" cy="11658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b w:val="1"/>
          <w:bCs w:val="1"/>
          <w:color w:val="auto"/>
        </w:rPr>
        <w:t>Director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 since: </w:t>
      </w:r>
      <w:r>
        <w:rPr>
          <w:rFonts w:ascii="Arial" w:cs="Arial" w:eastAsia="Arial" w:hAnsi="Arial"/>
          <w:sz w:val="17"/>
          <w:szCs w:val="17"/>
          <w:color w:val="auto"/>
        </w:rPr>
        <w:t>2023</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717550</wp:posOffset>
            </wp:positionV>
            <wp:extent cx="1105535" cy="11658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0553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w:t>
      </w:r>
    </w:p>
    <w:p>
      <w:pPr>
        <w:ind w:left="40"/>
        <w:spacing w:after="0"/>
        <w:rPr>
          <w:sz w:val="20"/>
          <w:szCs w:val="20"/>
          <w:color w:val="auto"/>
        </w:rPr>
      </w:pPr>
      <w:r>
        <w:rPr>
          <w:rFonts w:ascii="Arial" w:cs="Arial" w:eastAsia="Arial" w:hAnsi="Arial"/>
          <w:sz w:val="17"/>
          <w:szCs w:val="17"/>
          <w:b w:val="1"/>
          <w:bCs w:val="1"/>
          <w:color w:val="auto"/>
        </w:rPr>
        <w:t>Director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 since: </w:t>
      </w:r>
      <w:r>
        <w:rPr>
          <w:rFonts w:ascii="Arial" w:cs="Arial" w:eastAsia="Arial" w:hAnsi="Arial"/>
          <w:sz w:val="17"/>
          <w:szCs w:val="17"/>
          <w:color w:val="auto"/>
        </w:rPr>
        <w:t>2023</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597535</wp:posOffset>
            </wp:positionV>
            <wp:extent cx="1105535" cy="11658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0553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p>
    <w:p>
      <w:pPr>
        <w:ind w:left="40"/>
        <w:spacing w:after="0"/>
        <w:rPr>
          <w:sz w:val="20"/>
          <w:szCs w:val="20"/>
          <w:color w:val="auto"/>
        </w:rPr>
      </w:pPr>
      <w:r>
        <w:rPr>
          <w:rFonts w:ascii="Arial" w:cs="Arial" w:eastAsia="Arial" w:hAnsi="Arial"/>
          <w:sz w:val="17"/>
          <w:szCs w:val="17"/>
          <w:b w:val="1"/>
          <w:bCs w:val="1"/>
          <w:color w:val="auto"/>
        </w:rPr>
        <w:t>Director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 since: </w:t>
      </w:r>
      <w:r>
        <w:rPr>
          <w:rFonts w:ascii="Arial" w:cs="Arial" w:eastAsia="Arial" w:hAnsi="Arial"/>
          <w:sz w:val="17"/>
          <w:szCs w:val="17"/>
          <w:color w:val="auto"/>
        </w:rPr>
        <w:t>2024</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72AF"/>
        </w:rPr>
        <w:t>Milena Alberti-Perez</w:t>
      </w:r>
    </w:p>
    <w:p>
      <w:pPr>
        <w:spacing w:after="0" w:line="212"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b w:val="1"/>
          <w:bCs w:val="1"/>
          <w:color w:val="auto"/>
        </w:rPr>
        <w:t>Former Chief Financial Officer of Getty Images, Inc.</w:t>
      </w:r>
      <w:r>
        <w:rPr>
          <w:rFonts w:ascii="Arial" w:cs="Arial" w:eastAsia="Arial" w:hAnsi="Arial"/>
          <w:sz w:val="17"/>
          <w:szCs w:val="17"/>
          <w:color w:val="auto"/>
        </w:rPr>
        <w:t>, the world’s leading visual</w:t>
      </w:r>
      <w:r>
        <w:rPr>
          <w:rFonts w:ascii="Arial" w:cs="Arial" w:eastAsia="Arial" w:hAnsi="Arial"/>
          <w:sz w:val="17"/>
          <w:szCs w:val="17"/>
          <w:b w:val="1"/>
          <w:bCs w:val="1"/>
          <w:color w:val="auto"/>
        </w:rPr>
        <w:t xml:space="preserve"> </w:t>
      </w:r>
      <w:r>
        <w:rPr>
          <w:rFonts w:ascii="Arial" w:cs="Arial" w:eastAsia="Arial" w:hAnsi="Arial"/>
          <w:sz w:val="17"/>
          <w:szCs w:val="17"/>
          <w:color w:val="auto"/>
        </w:rPr>
        <w:t>content company. Prior to that, Ms. Alberti-Perez served as the Chief Financial Officer of MediaMath, a demand-side platform for programmatic marketing and advertising. Ms. Alberti-Perez worked in a variety of financial and publishing roles from 2001 to 2017 at Penguin Random House, the world’s largest book publisher, and was the global and US CFO from 2015 – 2017. As management, she served as a non-voting member of its Board of Directors and its audit committee. Ms. Alberti-Perez also worked in financial analyst and research roles at Lehman Brothers and Morgan Stanley. Ms. Alberti-Perez has extensive experience on not-for-profit Boards, including serving currently on the Boards of National Public Radio, Jumpstart, and the Wild Bird Fund. (Also a director of Allurion Technologies, Inc. and Digimarc Corporation).</w:t>
      </w:r>
    </w:p>
    <w:p>
      <w:pPr>
        <w:spacing w:after="0" w:line="177"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Ms. Alberti-Perez, age 50, has experience in executive roles and brings, financial expertise to the Board.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0072AF"/>
        </w:rPr>
        <w:t>Todd Everett</w:t>
      </w:r>
    </w:p>
    <w:p>
      <w:pPr>
        <w:spacing w:after="0" w:line="198"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b w:val="1"/>
          <w:bCs w:val="1"/>
          <w:color w:val="auto"/>
        </w:rPr>
        <w:t>Independent advisor to several ecommerce companies, including Doddle Parcel Services Limited, Verishop, Inc., and Fetch Package, Inc.</w:t>
      </w:r>
      <w:r>
        <w:rPr>
          <w:rFonts w:ascii="Arial" w:cs="Arial" w:eastAsia="Arial" w:hAnsi="Arial"/>
          <w:sz w:val="17"/>
          <w:szCs w:val="17"/>
          <w:color w:val="auto"/>
        </w:rPr>
        <w:t>, since December 2018.</w:t>
      </w:r>
      <w:r>
        <w:rPr>
          <w:rFonts w:ascii="Arial" w:cs="Arial" w:eastAsia="Arial" w:hAnsi="Arial"/>
          <w:sz w:val="17"/>
          <w:szCs w:val="17"/>
          <w:b w:val="1"/>
          <w:bCs w:val="1"/>
          <w:color w:val="auto"/>
        </w:rPr>
        <w:t xml:space="preserve"> </w:t>
      </w:r>
      <w:r>
        <w:rPr>
          <w:rFonts w:ascii="Arial" w:cs="Arial" w:eastAsia="Arial" w:hAnsi="Arial"/>
          <w:sz w:val="17"/>
          <w:szCs w:val="17"/>
          <w:color w:val="auto"/>
        </w:rPr>
        <w:t>Mr. Everett also serves as a member of a private company Board. Mr. Everett was an advisor to 101 Commerce, Inc., a global e-commerce platform, from September 2018 to December 2019, and was Senior Vice President and Strategic Advisor, Commerce Services of the Company from March 2018 to May 2018. Prior to that, Mr. Everett held various roles at Newgistics, Inc. (a subsidiary of PBI), including President and Chief Executive Officer from 2015 to February 2018, Chief Operating Officer and General Manager of Parcel and Fulfillment Services from 2014 to 2015, Senior Vice President of Operations from 2010 to 2013, and Director of Operations from 2005 to 2010.</w:t>
      </w:r>
    </w:p>
    <w:p>
      <w:pPr>
        <w:spacing w:after="0" w:line="17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Mr. Everett, age 50, brings C-Suite and executive leadership experience and expertise in ecommerce and logistics to the Board.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0072AF"/>
        </w:rPr>
        <w:t>Lance Rosenzweig</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color w:val="auto"/>
        </w:rPr>
        <w:t xml:space="preserve">Former Chief Executive Officer of Support.com, Inc., </w:t>
      </w:r>
      <w:r>
        <w:rPr>
          <w:rFonts w:ascii="Arial" w:cs="Arial" w:eastAsia="Arial" w:hAnsi="Arial"/>
          <w:sz w:val="18"/>
          <w:szCs w:val="18"/>
          <w:color w:val="auto"/>
        </w:rPr>
        <w:t>a leading provider of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and technical support solutions and security software, from August 2022 to October 2022. Previously, he served as Chief Executive Officer of Startek Inc., a global business process outsourcing company, from July 2018 to January 2020. Previously, Mr. Rosenzweig held various leadership roles, including Vice President at GE Capital from 1991 to 1993, Vice President of Dean Witter, Discover &amp; Co. from 1989 to 1991, Senior Vice President of Capel Court Financial Services from 1987 to 1989, and Corporate Planning Manager at Jefferson Smurfit Corp. from 1985 to 1987. Mr. Rosenzweig has also served on the boards of several other public and private companies, including currently at GC Parent, LCC and at Internap Holding, LLC as chair of the board. (Formerly director of Boingo Wireless, Inc. and NextGen Healthcare, Inc.)</w:t>
      </w:r>
    </w:p>
    <w:p>
      <w:pPr>
        <w:spacing w:after="0" w:line="183"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Mr. Rosenzweig, age 61, brings to the Board C-Suite and executive leadership experience and expertise in finance, strategic planning, operations, technology and ecommerce.</w:t>
      </w:r>
    </w:p>
    <w:p>
      <w:pPr>
        <w:spacing w:after="0" w:line="200" w:lineRule="exact"/>
        <w:rPr>
          <w:sz w:val="20"/>
          <w:szCs w:val="20"/>
          <w:color w:val="auto"/>
        </w:rPr>
      </w:pPr>
    </w:p>
    <w:p>
      <w:pPr>
        <w:sectPr>
          <w:pgSz w:w="11900" w:h="16838" w:orient="portrait"/>
          <w:cols w:equalWidth="0" w:num="2">
            <w:col w:w="1760" w:space="460"/>
            <w:col w:w="6960"/>
          </w:cols>
          <w:pgMar w:left="1360" w:top="114" w:right="1359" w:bottom="1440" w:gutter="0" w:footer="0" w:header="0"/>
          <w:type w:val="continuous"/>
        </w:sectPr>
      </w:pP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127635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234950</wp:posOffset>
            </wp:positionV>
            <wp:extent cx="1105535" cy="11658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05535" cy="1165860"/>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w:t>
      </w:r>
    </w:p>
    <w:p>
      <w:pPr>
        <w:ind w:left="40"/>
        <w:spacing w:after="0"/>
        <w:rPr>
          <w:sz w:val="20"/>
          <w:szCs w:val="20"/>
          <w:color w:val="auto"/>
        </w:rPr>
      </w:pPr>
      <w:r>
        <w:rPr>
          <w:rFonts w:ascii="Arial" w:cs="Arial" w:eastAsia="Arial" w:hAnsi="Arial"/>
          <w:sz w:val="17"/>
          <w:szCs w:val="17"/>
          <w:b w:val="1"/>
          <w:bCs w:val="1"/>
          <w:color w:val="auto"/>
        </w:rPr>
        <w:t>Director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 since: </w:t>
      </w:r>
      <w:r>
        <w:rPr>
          <w:rFonts w:ascii="Arial" w:cs="Arial" w:eastAsia="Arial" w:hAnsi="Arial"/>
          <w:sz w:val="17"/>
          <w:szCs w:val="17"/>
          <w:color w:val="auto"/>
        </w:rPr>
        <w:t>2024</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340360</wp:posOffset>
            </wp:positionV>
            <wp:extent cx="1105535" cy="11658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0553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w:t>
      </w:r>
    </w:p>
    <w:p>
      <w:pPr>
        <w:ind w:left="40"/>
        <w:spacing w:after="0"/>
        <w:rPr>
          <w:sz w:val="20"/>
          <w:szCs w:val="20"/>
          <w:color w:val="auto"/>
        </w:rPr>
      </w:pPr>
      <w:r>
        <w:rPr>
          <w:rFonts w:ascii="Arial" w:cs="Arial" w:eastAsia="Arial" w:hAnsi="Arial"/>
          <w:sz w:val="17"/>
          <w:szCs w:val="17"/>
          <w:b w:val="1"/>
          <w:bCs w:val="1"/>
          <w:color w:val="auto"/>
        </w:rPr>
        <w:t>Director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 since: </w:t>
      </w:r>
      <w:r>
        <w:rPr>
          <w:rFonts w:ascii="Arial" w:cs="Arial" w:eastAsia="Arial" w:hAnsi="Arial"/>
          <w:sz w:val="17"/>
          <w:szCs w:val="17"/>
          <w:color w:val="auto"/>
        </w:rPr>
        <w:t>2023</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0072AF"/>
        </w:rPr>
        <w:t>Jill Sutton</w:t>
      </w:r>
    </w:p>
    <w:p>
      <w:pPr>
        <w:spacing w:after="0" w:line="198" w:lineRule="exact"/>
        <w:rPr>
          <w:sz w:val="20"/>
          <w:szCs w:val="20"/>
          <w:color w:val="auto"/>
        </w:rPr>
      </w:pPr>
    </w:p>
    <w:p>
      <w:pPr>
        <w:jc w:val="both"/>
        <w:ind w:right="120"/>
        <w:spacing w:after="0" w:line="255" w:lineRule="auto"/>
        <w:rPr>
          <w:sz w:val="20"/>
          <w:szCs w:val="20"/>
          <w:color w:val="auto"/>
        </w:rPr>
      </w:pPr>
      <w:r>
        <w:rPr>
          <w:rFonts w:ascii="Arial" w:cs="Arial" w:eastAsia="Arial" w:hAnsi="Arial"/>
          <w:sz w:val="17"/>
          <w:szCs w:val="17"/>
          <w:b w:val="1"/>
          <w:bCs w:val="1"/>
          <w:color w:val="auto"/>
        </w:rPr>
        <w:t xml:space="preserve">Former Chief Legal Officer and General Counsel of United Natural Foods, Inc., </w:t>
      </w:r>
      <w:r>
        <w:rPr>
          <w:rFonts w:ascii="Arial" w:cs="Arial" w:eastAsia="Arial" w:hAnsi="Arial"/>
          <w:sz w:val="17"/>
          <w:szCs w:val="17"/>
          <w:color w:val="auto"/>
        </w:rPr>
        <w:t>a</w:t>
      </w:r>
      <w:r>
        <w:rPr>
          <w:rFonts w:ascii="Arial" w:cs="Arial" w:eastAsia="Arial" w:hAnsi="Arial"/>
          <w:sz w:val="17"/>
          <w:szCs w:val="17"/>
          <w:b w:val="1"/>
          <w:bCs w:val="1"/>
          <w:color w:val="auto"/>
        </w:rPr>
        <w:t xml:space="preserve"> </w:t>
      </w:r>
      <w:r>
        <w:rPr>
          <w:rFonts w:ascii="Arial" w:cs="Arial" w:eastAsia="Arial" w:hAnsi="Arial"/>
          <w:sz w:val="17"/>
          <w:szCs w:val="17"/>
          <w:color w:val="auto"/>
        </w:rPr>
        <w:t>publicly traded food distributor from 2018 to 2021. Prior to United Natural Foods, she served as Deputy General Counsel of General Motors Company from 2015 – 2018.</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During her professional career, Ms. Sutton worked for Tim Hortons from 2006 to 2015, where she held various roles, including Executive Vice President and General Counsel. Prior to Tim Hortons, Ms. Sutton served as Corporate Counsel for Wendy’s Co. from 2004 – 2006. (Also a director of Potbelly Corporation and Miller Industries.)</w:t>
      </w:r>
    </w:p>
    <w:p>
      <w:pPr>
        <w:spacing w:after="0" w:line="18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Ms. Sutton, age 52, brings to the Board experience as an executive and director, along with extensive experience in strategic planning, corporate finance, capital raises, mergers &amp; acquisitions, and corporate governance.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0072AF"/>
        </w:rPr>
        <w:t>Kurt Wolf</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Managing Member and Chief Investment Officer of Hestia Capital Management, </w:t>
      </w:r>
      <w:r>
        <w:rPr>
          <w:rFonts w:ascii="Arial" w:cs="Arial" w:eastAsia="Arial" w:hAnsi="Arial"/>
          <w:sz w:val="18"/>
          <w:szCs w:val="18"/>
          <w:color w:val="auto"/>
        </w:rPr>
        <w:t>a</w:t>
      </w:r>
      <w:r>
        <w:rPr>
          <w:rFonts w:ascii="Arial" w:cs="Arial" w:eastAsia="Arial" w:hAnsi="Arial"/>
          <w:sz w:val="18"/>
          <w:szCs w:val="18"/>
          <w:b w:val="1"/>
          <w:bCs w:val="1"/>
          <w:color w:val="auto"/>
        </w:rPr>
        <w:t xml:space="preserve"> </w:t>
      </w:r>
      <w:r>
        <w:rPr>
          <w:rFonts w:ascii="Arial" w:cs="Arial" w:eastAsia="Arial" w:hAnsi="Arial"/>
          <w:sz w:val="18"/>
          <w:szCs w:val="18"/>
          <w:color w:val="auto"/>
        </w:rPr>
        <w:t>deep value hedge fund since 2009. Prior to founding Hestia Capital, Mr. Wolf’s investment experience included time as an Analyst/Senior Analyst at Relational Investors and First Q Capital, and as a co-Founding Partner at Lemhi Ventures. His prior strategy and operating experiences include serving as a co-Founder and Director of Competitive Strategy at Definity Health and as a consultant with Braxton Associates/Deloitte Consulting, Boston Consulting Group (BCG), and the Lemhi Group. (Formerly director of GameStop Corp. and Edgewater Technology, Inc.)</w:t>
      </w:r>
    </w:p>
    <w:p>
      <w:pPr>
        <w:spacing w:after="0" w:line="180"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Mr. Wolf, age 50, brings to the Board a strong background in strategy consulting and corporate strategy, and an investor perspective.</w:t>
      </w:r>
    </w:p>
    <w:p>
      <w:pPr>
        <w:spacing w:after="0" w:line="200" w:lineRule="exact"/>
        <w:rPr>
          <w:sz w:val="20"/>
          <w:szCs w:val="20"/>
          <w:color w:val="auto"/>
        </w:rPr>
      </w:pPr>
    </w:p>
    <w:p>
      <w:pPr>
        <w:sectPr>
          <w:pgSz w:w="11900" w:h="16838" w:orient="portrait"/>
          <w:cols w:equalWidth="0" w:num="2">
            <w:col w:w="1760" w:space="460"/>
            <w:col w:w="6940"/>
          </w:cols>
          <w:pgMar w:left="1360" w:top="114" w:right="1379" w:bottom="1440" w:gutter="0" w:footer="0" w:header="0"/>
          <w:type w:val="continuous"/>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127635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32"/>
          <w:szCs w:val="32"/>
          <w:b w:val="1"/>
          <w:bCs w:val="1"/>
          <w:color w:val="4B5A89"/>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5829300" cy="66694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29300" cy="6669405"/>
                    </a:xfrm>
                    <a:prstGeom prst="rect">
                      <a:avLst/>
                    </a:prstGeom>
                    <a:noFill/>
                  </pic:spPr>
                </pic:pic>
              </a:graphicData>
            </a:graphic>
          </wp:anchor>
        </w:drawing>
      </w:r>
    </w:p>
    <w:p>
      <w:pPr>
        <w:spacing w:after="0" w:line="271" w:lineRule="exact"/>
        <w:rPr>
          <w:sz w:val="20"/>
          <w:szCs w:val="20"/>
          <w:color w:val="auto"/>
        </w:rPr>
      </w:pPr>
    </w:p>
    <w:p>
      <w:pPr>
        <w:jc w:val="both"/>
        <w:ind w:left="180" w:right="39"/>
        <w:spacing w:after="0" w:line="238" w:lineRule="auto"/>
        <w:rPr>
          <w:sz w:val="20"/>
          <w:szCs w:val="20"/>
          <w:color w:val="auto"/>
        </w:rPr>
      </w:pPr>
      <w:r>
        <w:rPr>
          <w:rFonts w:ascii="Arial" w:cs="Arial" w:eastAsia="Arial" w:hAnsi="Arial"/>
          <w:sz w:val="18"/>
          <w:szCs w:val="18"/>
          <w:color w:val="auto"/>
        </w:rPr>
        <w:t>The Audit Committee functions pursuant to a charter that is reviewed annually and was last amended in November 2016. The committee represents and assists the Board in overseeing the financial reporting process, the internal financial controls to comply with policies and procedures and the integrity of the Company’s financial statements. The Audit Committee also has oversight of the information technology function and the cybersecurity, privacy and internal controls risks. The committee is responsible for the appointment, compensation and retention of the independent accountants, pre-approving the services they will perform, selecting the lead engagement partner, and for reviewing the performance of the independent accountants and the Company’s internal audit function. The Board has determined that all four of the members of the committee are “independent,” as required by applicable listing standards of the New York Stock Exchange. Three of the four members of the committee have the requisite experience to be designated as an Audit Committee financial expert as defined by the rules of the Securities and Exchange Commission (SEC).</w:t>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w:t>
      </w:r>
    </w:p>
    <w:p>
      <w:pPr>
        <w:spacing w:after="0" w:line="104" w:lineRule="exact"/>
        <w:rPr>
          <w:sz w:val="20"/>
          <w:szCs w:val="20"/>
          <w:color w:val="auto"/>
        </w:rPr>
      </w:pPr>
    </w:p>
    <w:p>
      <w:pPr>
        <w:jc w:val="both"/>
        <w:ind w:left="180" w:right="39"/>
        <w:spacing w:after="0"/>
        <w:rPr>
          <w:sz w:val="20"/>
          <w:szCs w:val="20"/>
          <w:color w:val="auto"/>
        </w:rPr>
      </w:pPr>
      <w:r>
        <w:rPr>
          <w:rFonts w:ascii="Arial" w:cs="Arial" w:eastAsia="Arial" w:hAnsi="Arial"/>
          <w:sz w:val="18"/>
          <w:szCs w:val="18"/>
          <w:color w:val="auto"/>
        </w:rPr>
        <w:t>In the performance of its responsibilities, the committee has reviewed and discussed the audited financial statements with management and the independent accountants. The committee has also discussed with the independent accountants the matters required to be discussed under the applicable rules of the Public Company Accounting Oversight Board (“PCAOB”) and the SEC. Finally, the committee has received the written disclosures and the letter from the independent accountants required by applicable requirements of the PCAOB regarding the independent accountant’s communications with the Audit Committee concerning independence and has discussed with the independent accountants their independence.</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w:t>
      </w:r>
    </w:p>
    <w:p>
      <w:pPr>
        <w:spacing w:after="0" w:line="104" w:lineRule="exact"/>
        <w:rPr>
          <w:sz w:val="20"/>
          <w:szCs w:val="20"/>
          <w:color w:val="auto"/>
        </w:rPr>
      </w:pPr>
    </w:p>
    <w:p>
      <w:pPr>
        <w:jc w:val="both"/>
        <w:ind w:left="180" w:right="39"/>
        <w:spacing w:after="0" w:line="237" w:lineRule="auto"/>
        <w:rPr>
          <w:sz w:val="20"/>
          <w:szCs w:val="20"/>
          <w:color w:val="auto"/>
        </w:rPr>
      </w:pPr>
      <w:r>
        <w:rPr>
          <w:rFonts w:ascii="Arial" w:cs="Arial" w:eastAsia="Arial" w:hAnsi="Arial"/>
          <w:sz w:val="18"/>
          <w:szCs w:val="18"/>
          <w:color w:val="auto"/>
        </w:rPr>
        <w:t>In determining whether to recommend that stockholders ratify the selection of PwC as the Pitney Bowes independent accountants for 2024, management and the committee, as they have done in prior years, engaged in a review of PwC. In that review, the committee considers the current performance and continued independence of PwC, its geographic presence compared to that of Pitney Bowes, its industry knowledge, the quality of the audit and its services, the audit approach and supporting technology, any SEC actions and other legal issues as well as PCAOB inspection reports. The committee prohibits certain types of services that are otherwise permissible under SEC rules. Pitney Bowes management prepares an annual assessment that includes an analysis of (1) the above criteria for PwC and the other “Big Four” accounting firms; (2) cost/benefit discussion on rotating auditors; (3) the incumbent firm’s tenure; (4) an assessment of whether firms outside of the “Big Four” should be considered; and (5) a detailed analysis of the PwC fees. In addition, PwC reviews with the committee its analysis of its independence. Based on the results of the review this year, the committee concluded that PwC is independent and that it is in the best interests of Pitney Bowes and its investors to appoint PwC, who have been independent accountants of the Company since 1934, to serve as the Pitney Bowes independent registered accounting firm for 2024. As an additional independence safeguard, PwC rotates its lead engagement partner every five years.</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w:t>
      </w:r>
    </w:p>
    <w:p>
      <w:pPr>
        <w:spacing w:after="0" w:line="104" w:lineRule="exact"/>
        <w:rPr>
          <w:sz w:val="20"/>
          <w:szCs w:val="20"/>
          <w:color w:val="auto"/>
        </w:rPr>
      </w:pPr>
    </w:p>
    <w:p>
      <w:pPr>
        <w:jc w:val="both"/>
        <w:ind w:left="180" w:right="59"/>
        <w:spacing w:after="0" w:line="271" w:lineRule="auto"/>
        <w:rPr>
          <w:sz w:val="20"/>
          <w:szCs w:val="20"/>
          <w:color w:val="auto"/>
        </w:rPr>
      </w:pPr>
      <w:r>
        <w:rPr>
          <w:rFonts w:ascii="Arial" w:cs="Arial" w:eastAsia="Arial" w:hAnsi="Arial"/>
          <w:sz w:val="18"/>
          <w:szCs w:val="18"/>
          <w:color w:val="auto"/>
        </w:rPr>
        <w:t>Based upon the review of information received and discussions as described in this report, the committee recommended to the Board that the audited financial statements be included in the 2023 Form 10-K.</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 the Audit Committee of the Board of Directors,</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Mr. Darrell Thomas, Chair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Ms. Milena Alberti-Perez</w:t>
      </w:r>
    </w:p>
    <w:p>
      <w:pPr>
        <w:ind w:left="180"/>
        <w:spacing w:after="0" w:line="234" w:lineRule="auto"/>
        <w:rPr>
          <w:sz w:val="20"/>
          <w:szCs w:val="20"/>
          <w:color w:val="auto"/>
        </w:rPr>
      </w:pPr>
      <w:r>
        <w:rPr>
          <w:rFonts w:ascii="Arial" w:cs="Arial" w:eastAsia="Arial" w:hAnsi="Arial"/>
          <w:sz w:val="18"/>
          <w:szCs w:val="18"/>
          <w:color w:val="auto"/>
        </w:rPr>
        <w:t>Ms. Sheila A. Stamps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Ms. Jill Sutton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582930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29300" cy="17145"/>
                    </a:xfrm>
                    <a:prstGeom prst="rect">
                      <a:avLst/>
                    </a:prstGeom>
                    <a:noFill/>
                  </pic:spPr>
                </pic:pic>
              </a:graphicData>
            </a:graphic>
          </wp:anchor>
        </w:drawing>
      </w:r>
    </w:p>
    <w:p>
      <w:pPr>
        <w:spacing w:after="0" w:line="30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99"/>
          </w:cols>
          <w:pgMar w:left="1360" w:top="114"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0072AF"/>
        </w:rPr>
        <w:t> PROPOSAL 2: RATIFICATION OF THE APPOINTMENT OF PRICEWATERHOUSECOOPERS LLP AS OUR INDEPENDENT   REGISTERED PUBLIC ACCOUNTANTS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8293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08" w:lineRule="exact"/>
        <w:rPr>
          <w:sz w:val="20"/>
          <w:szCs w:val="20"/>
          <w:color w:val="auto"/>
        </w:rPr>
      </w:pPr>
    </w:p>
    <w:p>
      <w:pPr>
        <w:ind w:right="1500"/>
        <w:spacing w:after="0" w:line="272" w:lineRule="auto"/>
        <w:rPr>
          <w:sz w:val="20"/>
          <w:szCs w:val="20"/>
          <w:color w:val="auto"/>
        </w:rPr>
      </w:pPr>
      <w:r>
        <w:rPr>
          <w:rFonts w:ascii="Arial" w:cs="Arial" w:eastAsia="Arial" w:hAnsi="Arial"/>
          <w:sz w:val="32"/>
          <w:szCs w:val="32"/>
          <w:b w:val="1"/>
          <w:bCs w:val="1"/>
          <w:color w:val="4B5A89"/>
        </w:rPr>
        <w:t>Proposal 2: Ratification of the Appointment of PricewaterhouseCoopers LLP as our Independent Registered Public Accountants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58293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Audit Committee has appointed PwC as our independent registered public accountants for Pitney Bowes for 2024. Although not required by law, this matter is being submitted to the stockholders for ratification, as a matter of good corporate governance. If this proposal is not ratified at the Annual Meeting by the affirmative vote of a majority of the votes cast, the Audit Committee intends to reconsider its appointment of PwC as our independent registered public accountants. PwC has no direct or indirect financial interest in Pitney Bowes or any of its subsidiaries. A representative from PwC is expected to attend the Annual Meeting and to be available to respond to appropriate questions and will have the opportunity to make a statement if he or she desires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58293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Aggregate fees billed for professional services rendered for the Company by PwC for the years ended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 and 2022, were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140" w:type="dxa"/>
            <w:vAlign w:val="bottom"/>
          </w:tcPr>
          <w:p>
            <w:pPr>
              <w:ind w:left="40"/>
              <w:spacing w:after="0"/>
              <w:rPr>
                <w:sz w:val="20"/>
                <w:szCs w:val="20"/>
                <w:color w:val="auto"/>
              </w:rPr>
            </w:pPr>
            <w:r>
              <w:rPr>
                <w:rFonts w:ascii="Arial" w:cs="Arial" w:eastAsia="Arial" w:hAnsi="Arial"/>
                <w:sz w:val="11"/>
                <w:szCs w:val="11"/>
                <w:b w:val="1"/>
                <w:bCs w:val="1"/>
                <w:color w:val="auto"/>
                <w:w w:val="72"/>
              </w:rPr>
              <w:t> </w:t>
            </w:r>
          </w:p>
        </w:tc>
        <w:tc>
          <w:tcPr>
            <w:tcW w:w="3720" w:type="dxa"/>
            <w:vAlign w:val="bottom"/>
            <w:gridSpan w:val="2"/>
          </w:tcPr>
          <w:p>
            <w:pPr>
              <w:ind w:left="40"/>
              <w:spacing w:after="0"/>
              <w:rPr>
                <w:sz w:val="20"/>
                <w:szCs w:val="20"/>
                <w:color w:val="auto"/>
              </w:rPr>
            </w:pPr>
            <w:r>
              <w:rPr>
                <w:rFonts w:ascii="Arial" w:cs="Arial" w:eastAsia="Arial" w:hAnsi="Arial"/>
                <w:sz w:val="14"/>
                <w:szCs w:val="14"/>
                <w:b w:val="1"/>
                <w:bCs w:val="1"/>
                <w:color w:val="auto"/>
              </w:rPr>
              <w:t>   2023</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9"/>
              </w:rPr>
              <w:t>      2022</w:t>
            </w:r>
          </w:p>
        </w:tc>
      </w:tr>
      <w:tr>
        <w:trPr>
          <w:trHeight w:val="56"/>
        </w:trPr>
        <w:tc>
          <w:tcPr>
            <w:tcW w:w="4760" w:type="dxa"/>
            <w:vAlign w:val="bottom"/>
            <w:tcBorders>
              <w:bottom w:val="single" w:sz="8" w:color="0072AF"/>
            </w:tcBorders>
            <w:gridSpan w:val="2"/>
          </w:tcPr>
          <w:p>
            <w:pPr>
              <w:spacing w:after="0"/>
              <w:rPr>
                <w:sz w:val="4"/>
                <w:szCs w:val="4"/>
                <w:color w:val="auto"/>
              </w:rPr>
            </w:pPr>
          </w:p>
        </w:tc>
        <w:tc>
          <w:tcPr>
            <w:tcW w:w="540" w:type="dxa"/>
            <w:vAlign w:val="bottom"/>
            <w:tcBorders>
              <w:bottom w:val="single" w:sz="8" w:color="0072AF"/>
            </w:tcBorders>
          </w:tcPr>
          <w:p>
            <w:pPr>
              <w:spacing w:after="0"/>
              <w:rPr>
                <w:sz w:val="4"/>
                <w:szCs w:val="4"/>
                <w:color w:val="auto"/>
              </w:rPr>
            </w:pPr>
          </w:p>
        </w:tc>
        <w:tc>
          <w:tcPr>
            <w:tcW w:w="3180" w:type="dxa"/>
            <w:vAlign w:val="bottom"/>
            <w:tcBorders>
              <w:bottom w:val="single" w:sz="8" w:color="0072AF"/>
            </w:tcBorders>
          </w:tcPr>
          <w:p>
            <w:pPr>
              <w:spacing w:after="0"/>
              <w:rPr>
                <w:sz w:val="4"/>
                <w:szCs w:val="4"/>
                <w:color w:val="auto"/>
              </w:rPr>
            </w:pPr>
          </w:p>
        </w:tc>
        <w:tc>
          <w:tcPr>
            <w:tcW w:w="700" w:type="dxa"/>
            <w:vAlign w:val="bottom"/>
            <w:tcBorders>
              <w:bottom w:val="single" w:sz="8" w:color="0072AF"/>
            </w:tcBorders>
          </w:tcPr>
          <w:p>
            <w:pPr>
              <w:spacing w:after="0"/>
              <w:rPr>
                <w:sz w:val="4"/>
                <w:szCs w:val="4"/>
                <w:color w:val="auto"/>
              </w:rPr>
            </w:pPr>
          </w:p>
        </w:tc>
      </w:tr>
      <w:tr>
        <w:trPr>
          <w:trHeight w:val="275"/>
        </w:trPr>
        <w:tc>
          <w:tcPr>
            <w:tcW w:w="4760" w:type="dxa"/>
            <w:vAlign w:val="bottom"/>
            <w:gridSpan w:val="2"/>
          </w:tcPr>
          <w:p>
            <w:pPr>
              <w:ind w:left="60"/>
              <w:spacing w:after="0"/>
              <w:rPr>
                <w:sz w:val="20"/>
                <w:szCs w:val="20"/>
                <w:color w:val="auto"/>
              </w:rPr>
            </w:pPr>
            <w:r>
              <w:rPr>
                <w:rFonts w:ascii="Arial" w:cs="Arial" w:eastAsia="Arial" w:hAnsi="Arial"/>
                <w:sz w:val="16"/>
                <w:szCs w:val="16"/>
                <w:color w:val="auto"/>
              </w:rPr>
              <w:t>Audit fees</w:t>
            </w: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$6.8</w:t>
            </w:r>
          </w:p>
        </w:tc>
        <w:tc>
          <w:tcPr>
            <w:tcW w:w="3180" w:type="dxa"/>
            <w:vAlign w:val="bottom"/>
          </w:tcPr>
          <w:p>
            <w:pPr>
              <w:spacing w:after="0"/>
              <w:rPr>
                <w:sz w:val="23"/>
                <w:szCs w:val="23"/>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$6.1</w:t>
            </w:r>
          </w:p>
        </w:tc>
      </w:tr>
      <w:tr>
        <w:trPr>
          <w:trHeight w:val="324"/>
        </w:trPr>
        <w:tc>
          <w:tcPr>
            <w:tcW w:w="4760" w:type="dxa"/>
            <w:vAlign w:val="bottom"/>
            <w:gridSpan w:val="2"/>
          </w:tcPr>
          <w:p>
            <w:pPr>
              <w:ind w:left="60"/>
              <w:spacing w:after="0"/>
              <w:rPr>
                <w:sz w:val="20"/>
                <w:szCs w:val="20"/>
                <w:color w:val="auto"/>
              </w:rPr>
            </w:pPr>
            <w:r>
              <w:rPr>
                <w:rFonts w:ascii="Arial" w:cs="Arial" w:eastAsia="Arial" w:hAnsi="Arial"/>
                <w:sz w:val="16"/>
                <w:szCs w:val="16"/>
                <w:color w:val="auto"/>
              </w:rPr>
              <w:t>Audit-related fees</w:t>
            </w: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1.5</w:t>
            </w:r>
          </w:p>
        </w:tc>
        <w:tc>
          <w:tcPr>
            <w:tcW w:w="3180" w:type="dxa"/>
            <w:vAlign w:val="bottom"/>
          </w:tcPr>
          <w:p>
            <w:pPr>
              <w:spacing w:after="0"/>
              <w:rPr>
                <w:sz w:val="24"/>
                <w:szCs w:val="24"/>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0.8</w:t>
            </w:r>
          </w:p>
        </w:tc>
      </w:tr>
      <w:tr>
        <w:trPr>
          <w:trHeight w:val="324"/>
        </w:trPr>
        <w:tc>
          <w:tcPr>
            <w:tcW w:w="4760" w:type="dxa"/>
            <w:vAlign w:val="bottom"/>
            <w:gridSpan w:val="2"/>
          </w:tcPr>
          <w:p>
            <w:pPr>
              <w:ind w:left="60"/>
              <w:spacing w:after="0"/>
              <w:rPr>
                <w:sz w:val="20"/>
                <w:szCs w:val="20"/>
                <w:color w:val="auto"/>
              </w:rPr>
            </w:pPr>
            <w:r>
              <w:rPr>
                <w:rFonts w:ascii="Arial" w:cs="Arial" w:eastAsia="Arial" w:hAnsi="Arial"/>
                <w:sz w:val="16"/>
                <w:szCs w:val="16"/>
                <w:color w:val="auto"/>
              </w:rPr>
              <w:t>Tax fees</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3180" w:type="dxa"/>
            <w:vAlign w:val="bottom"/>
          </w:tcPr>
          <w:p>
            <w:pPr>
              <w:spacing w:after="0"/>
              <w:rPr>
                <w:sz w:val="24"/>
                <w:szCs w:val="24"/>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0.1</w:t>
            </w:r>
          </w:p>
        </w:tc>
      </w:tr>
      <w:tr>
        <w:trPr>
          <w:trHeight w:val="324"/>
        </w:trPr>
        <w:tc>
          <w:tcPr>
            <w:tcW w:w="4760" w:type="dxa"/>
            <w:vAlign w:val="bottom"/>
            <w:gridSpan w:val="2"/>
          </w:tcPr>
          <w:p>
            <w:pPr>
              <w:ind w:left="60"/>
              <w:spacing w:after="0"/>
              <w:rPr>
                <w:sz w:val="20"/>
                <w:szCs w:val="20"/>
                <w:color w:val="auto"/>
              </w:rPr>
            </w:pPr>
            <w:r>
              <w:rPr>
                <w:rFonts w:ascii="Arial" w:cs="Arial" w:eastAsia="Arial" w:hAnsi="Arial"/>
                <w:sz w:val="16"/>
                <w:szCs w:val="16"/>
                <w:color w:val="auto"/>
              </w:rPr>
              <w:t>All other fees</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180" w:type="dxa"/>
            <w:vAlign w:val="bottom"/>
          </w:tcPr>
          <w:p>
            <w:pPr>
              <w:spacing w:after="0"/>
              <w:rPr>
                <w:sz w:val="24"/>
                <w:szCs w:val="24"/>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69"/>
        </w:trPr>
        <w:tc>
          <w:tcPr>
            <w:tcW w:w="4760" w:type="dxa"/>
            <w:vAlign w:val="bottom"/>
            <w:tcBorders>
              <w:bottom w:val="single" w:sz="8" w:color="auto"/>
            </w:tcBorders>
            <w:gridSpan w:val="2"/>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r>
      <w:tr>
        <w:trPr>
          <w:trHeight w:val="302"/>
        </w:trPr>
        <w:tc>
          <w:tcPr>
            <w:tcW w:w="4760" w:type="dxa"/>
            <w:vAlign w:val="bottom"/>
            <w:gridSpan w:val="2"/>
          </w:tcPr>
          <w:p>
            <w:pPr>
              <w:ind w:left="60"/>
              <w:spacing w:after="0"/>
              <w:rPr>
                <w:sz w:val="20"/>
                <w:szCs w:val="20"/>
                <w:color w:val="auto"/>
              </w:rPr>
            </w:pPr>
            <w:r>
              <w:rPr>
                <w:rFonts w:ascii="Arial" w:cs="Arial" w:eastAsia="Arial" w:hAnsi="Arial"/>
                <w:sz w:val="16"/>
                <w:szCs w:val="16"/>
                <w:color w:val="auto"/>
              </w:rPr>
              <w:t>Total</w:t>
            </w: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$8.4</w:t>
            </w:r>
          </w:p>
        </w:tc>
        <w:tc>
          <w:tcPr>
            <w:tcW w:w="3180" w:type="dxa"/>
            <w:vAlign w:val="bottom"/>
          </w:tcPr>
          <w:p>
            <w:pPr>
              <w:spacing w:after="0"/>
              <w:rPr>
                <w:sz w:val="24"/>
                <w:szCs w:val="24"/>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$7.0</w:t>
            </w:r>
          </w:p>
        </w:tc>
      </w:tr>
      <w:tr>
        <w:trPr>
          <w:trHeight w:val="43"/>
        </w:trPr>
        <w:tc>
          <w:tcPr>
            <w:tcW w:w="46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1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0072AF"/>
        </w:rPr>
        <w:t>Audit Fees</w:t>
      </w:r>
      <w:r>
        <w:rPr>
          <w:rFonts w:ascii="Arial" w:cs="Arial" w:eastAsia="Arial" w:hAnsi="Arial"/>
          <w:sz w:val="18"/>
          <w:szCs w:val="18"/>
          <w:color w:val="000000"/>
        </w:rPr>
        <w:t>: The Audit fees for the years ended December 31, 2023 and 2022 were for services rendered for the</w:t>
      </w:r>
      <w:r>
        <w:rPr>
          <w:rFonts w:ascii="Arial" w:cs="Arial" w:eastAsia="Arial" w:hAnsi="Arial"/>
          <w:sz w:val="18"/>
          <w:szCs w:val="18"/>
          <w:b w:val="1"/>
          <w:bCs w:val="1"/>
          <w:i w:val="1"/>
          <w:iCs w:val="1"/>
          <w:color w:val="0072AF"/>
        </w:rPr>
        <w:t xml:space="preserve"> </w:t>
      </w:r>
      <w:r>
        <w:rPr>
          <w:rFonts w:ascii="Arial" w:cs="Arial" w:eastAsia="Arial" w:hAnsi="Arial"/>
          <w:sz w:val="18"/>
          <w:szCs w:val="18"/>
          <w:color w:val="000000"/>
        </w:rPr>
        <w:t>audits of the consolidated financial statements and internal control over financial reporting of the Company and selected subsidiaries, statutory audits, issuance of comfort letters, and consents. The increase in fees is primarily due to increases in PwC fees.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0072AF"/>
        </w:rPr>
        <w:t>Audit-Related Fees</w:t>
      </w:r>
      <w:r>
        <w:rPr>
          <w:rFonts w:ascii="Arial" w:cs="Arial" w:eastAsia="Arial" w:hAnsi="Arial"/>
          <w:sz w:val="18"/>
          <w:szCs w:val="18"/>
          <w:color w:val="000000"/>
        </w:rPr>
        <w:t>: The Audit-Related fees are for audit fees on divestitures and carve out audits, and SOC</w:t>
      </w:r>
      <w:r>
        <w:rPr>
          <w:rFonts w:ascii="Arial" w:cs="Arial" w:eastAsia="Arial" w:hAnsi="Arial"/>
          <w:sz w:val="18"/>
          <w:szCs w:val="18"/>
          <w:b w:val="1"/>
          <w:bCs w:val="1"/>
          <w:i w:val="1"/>
          <w:iCs w:val="1"/>
          <w:color w:val="0072AF"/>
        </w:rPr>
        <w:t xml:space="preserve"> </w:t>
      </w:r>
      <w:r>
        <w:rPr>
          <w:rFonts w:ascii="Arial" w:cs="Arial" w:eastAsia="Arial" w:hAnsi="Arial"/>
          <w:sz w:val="18"/>
          <w:szCs w:val="18"/>
          <w:color w:val="000000"/>
        </w:rPr>
        <w:t>reports among others. The increase in fees is due to certain transformation projects where PwC’s assistance was sought.</w:t>
      </w:r>
    </w:p>
    <w:p>
      <w:pPr>
        <w:spacing w:after="0" w:line="12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0072AF"/>
        </w:rPr>
        <w:t>Tax Fees</w:t>
      </w:r>
      <w:r>
        <w:rPr>
          <w:rFonts w:ascii="Arial" w:cs="Arial" w:eastAsia="Arial" w:hAnsi="Arial"/>
          <w:sz w:val="18"/>
          <w:szCs w:val="18"/>
          <w:color w:val="000000"/>
        </w:rPr>
        <w:t>: The Tax fees for the years ended December 31, 2023 and 2022 were for services related to tax</w:t>
      </w:r>
      <w:r>
        <w:rPr>
          <w:rFonts w:ascii="Arial" w:cs="Arial" w:eastAsia="Arial" w:hAnsi="Arial"/>
          <w:sz w:val="18"/>
          <w:szCs w:val="18"/>
          <w:b w:val="1"/>
          <w:bCs w:val="1"/>
          <w:i w:val="1"/>
          <w:iCs w:val="1"/>
          <w:color w:val="0072AF"/>
        </w:rPr>
        <w:t xml:space="preserve"> </w:t>
      </w:r>
      <w:r>
        <w:rPr>
          <w:rFonts w:ascii="Arial" w:cs="Arial" w:eastAsia="Arial" w:hAnsi="Arial"/>
          <w:sz w:val="18"/>
          <w:szCs w:val="18"/>
          <w:color w:val="000000"/>
        </w:rPr>
        <w:t>compliance, including the review of tax returns and claims for refunds.</w:t>
      </w:r>
    </w:p>
    <w:p>
      <w:pPr>
        <w:spacing w:after="0" w:line="1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Audit Committee is responsible for fee negotiations with the independent auditor. The Audit Committee has adopted policies and procedures to pre-approve all services to be performed by PwC. Specifically the committee’s policy requires pre-approval of the use of PwC for audit services as well as detailed, specific types of services within the following categories of audit-related and non-audit services: merger and acquisition due diligence and audit services; employee benefit plan audits; tax services; procedures required to meet certain regulatory requirements; assessment of and making recommendations for improvement in internal accounting controls and selected related advisory services. The Audit Committee delegates to its Chair the authority to address requests for pre-approval services between Audit Committee meetings, if it is deemed necessary to commence the service before the next scheduled meeting of the Audit Committee. Such pre-approval decisions are discussed at the next scheduled meeting. The committee will not approve any service prohibited by regulation or for services which, in their opinion, may impair PwC’s independence. In each case, the committee’s policy is to pre-approve a specific annual budget by category for such audit, audit-related and tax services which the Company anticipates obtaining from PwC, and has required management to report the actual fees (versus budgeted fees) to the committee on a periodic basis throughout the year. In addition, any new, unbudgeted engagement for audit services or within one of the other pre-approved categories described above must be pre-approved by the committee or its Chair.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0072AF"/>
        </w:rPr>
        <w:t> PROPOSAL 2: RATIFICATION OF THE APPOINTMENT OF PRICEWATERHOUSECOOPERS LLP AS OUR INDEPENDENT   REGISTERED PUBLIC ACCOUNTANTS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8293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58293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Vote Required; 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Ratification of the appointment of the Pitney Bowes independent registered public accountants requires the affirmative vote of a majority of the votes cast. Abstentions and broker non-votes will not be votes cast and therefore will have no effect on the outcome of the vote.</w:t>
      </w:r>
    </w:p>
    <w:p>
      <w:pPr>
        <w:spacing w:after="0" w:line="128"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The Board unanimously recommends that stockholders vote FOR the ratification of PricewaterhouseCoopers LLP as our independent registered public accountants for 2024.</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128905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0072AF"/>
        </w:rPr>
        <w:t> PROPOSAL 3: APPROVAL OF AN AMENDMENT TO THE COMPANY’S RESTATED CERTIFICATE OF INCORPORATION   TO GIVE HOLDERS OF 25% OF THE COMPANY’S STOCK THE RIGHT TO REQUEST A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8293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08" w:lineRule="exact"/>
        <w:rPr>
          <w:sz w:val="20"/>
          <w:szCs w:val="20"/>
          <w:color w:val="auto"/>
        </w:rPr>
      </w:pPr>
    </w:p>
    <w:p>
      <w:pPr>
        <w:ind w:right="300"/>
        <w:spacing w:after="0" w:line="257" w:lineRule="auto"/>
        <w:rPr>
          <w:sz w:val="20"/>
          <w:szCs w:val="20"/>
          <w:color w:val="auto"/>
        </w:rPr>
      </w:pPr>
      <w:r>
        <w:rPr>
          <w:rFonts w:ascii="Arial" w:cs="Arial" w:eastAsia="Arial" w:hAnsi="Arial"/>
          <w:sz w:val="32"/>
          <w:szCs w:val="32"/>
          <w:b w:val="1"/>
          <w:bCs w:val="1"/>
          <w:color w:val="4B5A89"/>
        </w:rPr>
        <w:t>Proposal 3: Approval of an Amendment to the Company’s Restated Certificate of Incorporation to Give Holders of</w:t>
      </w:r>
    </w:p>
    <w:p>
      <w:pPr>
        <w:spacing w:after="0" w:line="2" w:lineRule="exact"/>
        <w:rPr>
          <w:sz w:val="20"/>
          <w:szCs w:val="20"/>
          <w:color w:val="auto"/>
        </w:rPr>
      </w:pPr>
    </w:p>
    <w:p>
      <w:pPr>
        <w:jc w:val="both"/>
        <w:ind w:right="20"/>
        <w:spacing w:after="0" w:line="276" w:lineRule="auto"/>
        <w:rPr>
          <w:sz w:val="20"/>
          <w:szCs w:val="20"/>
          <w:color w:val="auto"/>
        </w:rPr>
      </w:pPr>
      <w:r>
        <w:rPr>
          <w:rFonts w:ascii="Arial" w:cs="Arial" w:eastAsia="Arial" w:hAnsi="Arial"/>
          <w:sz w:val="32"/>
          <w:szCs w:val="32"/>
          <w:b w:val="1"/>
          <w:bCs w:val="1"/>
          <w:color w:val="4B5A89"/>
        </w:rPr>
        <w:t>25% of the Company’s Stock the Right to Request a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58293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seeking stockholder approval to amend the Company’s Restated Certificate of Incorporation to allow one or more stockholders who own at least 25% of the Common Stock and who satisfy certain procedures to require that the Company call a special meeting of the Stockholders (the “Special Meeting Right Amendment”). Stockholders do not presently have the ability to require that the Company call a special meeting of stockholders. If the Special Meeting Right Amendment is approved by the stockholders, the Company’s Restated Certificate of Incorporation will provide that the Company be required to call a special meeting of the stockholders upon the written request of one or more stockholders who:</w:t>
      </w:r>
    </w:p>
    <w:p>
      <w:pPr>
        <w:spacing w:after="0" w:line="198" w:lineRule="exact"/>
        <w:rPr>
          <w:sz w:val="20"/>
          <w:szCs w:val="20"/>
          <w:color w:val="auto"/>
        </w:rPr>
      </w:pPr>
    </w:p>
    <w:p>
      <w:pPr>
        <w:ind w:left="420" w:hanging="210"/>
        <w:spacing w:after="0"/>
        <w:tabs>
          <w:tab w:leader="none" w:pos="420" w:val="left"/>
        </w:tabs>
        <w:numPr>
          <w:ilvl w:val="0"/>
          <w:numId w:val="21"/>
        </w:numPr>
        <w:rPr>
          <w:rFonts w:ascii="Arial" w:cs="Arial" w:eastAsia="Arial" w:hAnsi="Arial"/>
          <w:sz w:val="18"/>
          <w:szCs w:val="18"/>
          <w:color w:val="0072AF"/>
        </w:rPr>
      </w:pPr>
      <w:r>
        <w:rPr>
          <w:rFonts w:ascii="Arial" w:cs="Arial" w:eastAsia="Arial" w:hAnsi="Arial"/>
          <w:sz w:val="18"/>
          <w:szCs w:val="18"/>
          <w:color w:val="auto"/>
        </w:rPr>
        <w:t>own shares representing 25% or more of the voting power of the outstanding Common Stock; and</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21"/>
        </w:numPr>
        <w:rPr>
          <w:rFonts w:ascii="Arial" w:cs="Arial" w:eastAsia="Arial" w:hAnsi="Arial"/>
          <w:sz w:val="18"/>
          <w:szCs w:val="18"/>
          <w:color w:val="0072AF"/>
        </w:rPr>
      </w:pPr>
      <w:r>
        <w:rPr>
          <w:rFonts w:ascii="Arial" w:cs="Arial" w:eastAsia="Arial" w:hAnsi="Arial"/>
          <w:sz w:val="18"/>
          <w:szCs w:val="18"/>
          <w:color w:val="auto"/>
        </w:rPr>
        <w:t>comply with such additional procedures as may be set forth in the By-laws, as amended from time to time.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Purpose and Effect of the Proposed Amendment</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Special Meeting Right Amendment is a result of the Board’s ongoing review of our corporate governance principles. In developing the Special Meeting Right Amendment, the Board (including all members of the Governance Committee) carefully considered the implications of amending our Restated Certificate of Incorporation to allow stockholders to request that the Company call a special meeting. As a result of this process, we announced in May 2023 that our Board would submit a proposal at the Annual Meeting to amend the Company’s Restated Certificate of Incorporation to give stockholders the right to call special meetings of stockholders.</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recognizes that providing stockholders the ability to require that the Company call special meetings is viewed by some stockholders as an important corporate governance practice. However, special meetings of the stockholders can cause the Company to incur substantial expenses and can be potentially disruptive to its business operations and to long-term stockholder interests. Accordingly, the Board believes that special meetings of the stockholders should be extraordinary events that should not be held in close proximity to an annual meeting or when the matters to be addressed have been recently considered or are planned to be considered at another meeting. The Board would continue to have the ability to call special meetings of the stockholders in other instances when, in the exercise of their fiduciary obligations, it determines appropriate.</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light of these considerations, the Board believes that it strikes an appropriate balance between enhancing stockholder rights and adequately protecting stockholder interests to provide that stockholders who satisfy a 25% ownership threshold and comply with certain additional procedures and limitations have the ability to request that the Company call a special meeting. In determining to utilize a 25% ownership threshold, the Board considered, among other things, investor feedback, peer practices and the Company’s market capitalization.</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Related Changes to the By-laws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Special Meeting Right Amendment authorizes the By-laws to (1) define ownership for purposes of the ownership standard under the Special Meeting Right Amendment, and (2) to set forth any additional procedures and limitations applicable to stockholders’ ability to request that the Company call a special meeting. Accordingly, the Board has amended Article I, Section 2 of our By-laws, contingent upon stockholder approval and implementation of the Special Meeting Right Amendment, to address these provisions.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B5A89"/>
        </w:rPr>
        <w:t>Ownership Provisions</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By-law amendment elaborates on the definition of “own” or “ownership” included in the Special Meeting Right Amendment by providing that a person will be deemed to “own” only those shares of outstanding Common Stock as to which the person possesses both (i) full voting and investment rights pertaining to the shares and (ii) the full economic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0072AF"/>
        </w:rPr>
        <w:t> PROPOSAL 3: APPROVAL OF AN AMENDMENT TO THE COMPANY’S RESTATED CERTIFICATE OF INCORPORATION   TO GIVE HOLDERS OF 25% OF THE COMPANY’S STOCK THE RIGHT TO REQUEST A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8293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interest in such shares (commonly referred to as a “net long” definition), which terms may be further defined in the By-laws from time to time. The Board determined to adopt a “net long” definition of ownership because it believes that only stockholders with full and continuing economic interest and voting rights in our Common Stock should be entitled to request that the Company call a special meeting. Under this definition, holding shares through a nominee and the practice of share lending generally will not be deemed to interrupt ownership of shares that otherwise are deemed to be “owned” under this standard, provided certain conditions specified in the By-laws are met. In addition, stockholders requesting a special meeting must hold the requisite number of shares as of the record date.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B5A89"/>
        </w:rPr>
        <w:t>Information Provisions</w:t>
      </w:r>
    </w:p>
    <w:p>
      <w:pPr>
        <w:spacing w:after="0" w:line="1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By-law amendment requires any special meeting request to set forth the same information regarding the business to be conducted at the meeting and regarding any director candidate to be nominated at the meeting that is required to be provided by a stockholder who proposes to introduce such business or to make director nominations at an annual meeting of stockholders. Any stockholder or beneficial owner who is requesting a special meeting (other than persons who provided a request solely in response to any form of public solicitation for such special meeting request) must provide the same information as to its ownership of the Company’s stock and its interest in the matters proposed to be voted on at the special meeting that would be required of a stockholder proposing to introduce such business or to make director nominations at an annual meeting of stockholders. Each stockholder supporting the special meeting request must provide information as to the number of shares of the Company’s stock that it owns, as well as updated ownership information at the record date and shortly before the date of the special meeting of stockholders.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B5A89"/>
        </w:rPr>
        <w:t>Additional Provisions</w:t>
      </w:r>
    </w:p>
    <w:p>
      <w:pPr>
        <w:spacing w:after="0" w:line="11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By-law amendment sets forth certain procedural requirements that the Board believes are appropriate to avoid duplicative or unnecessary special meetings. Under these provisions, a special meeting request is not valid if:</w:t>
      </w:r>
    </w:p>
    <w:p>
      <w:pPr>
        <w:spacing w:after="0" w:line="100" w:lineRule="exact"/>
        <w:rPr>
          <w:sz w:val="20"/>
          <w:szCs w:val="20"/>
          <w:color w:val="auto"/>
        </w:rPr>
      </w:pPr>
    </w:p>
    <w:p>
      <w:pPr>
        <w:ind w:left="420" w:hanging="210"/>
        <w:spacing w:after="0" w:line="266" w:lineRule="auto"/>
        <w:tabs>
          <w:tab w:leader="none" w:pos="420" w:val="left"/>
        </w:tabs>
        <w:numPr>
          <w:ilvl w:val="0"/>
          <w:numId w:val="22"/>
        </w:numPr>
        <w:rPr>
          <w:rFonts w:ascii="Arial" w:cs="Arial" w:eastAsia="Arial" w:hAnsi="Arial"/>
          <w:sz w:val="18"/>
          <w:szCs w:val="18"/>
          <w:color w:val="0072AF"/>
        </w:rPr>
      </w:pPr>
      <w:r>
        <w:rPr>
          <w:rFonts w:ascii="Arial" w:cs="Arial" w:eastAsia="Arial" w:hAnsi="Arial"/>
          <w:sz w:val="18"/>
          <w:szCs w:val="18"/>
          <w:color w:val="auto"/>
        </w:rPr>
        <w:t>the proposed meeting relates to an item of business that is not a matter on which stockholders are authorized to act under, or that involves a violation of, applicable law;</w:t>
      </w:r>
    </w:p>
    <w:p>
      <w:pPr>
        <w:jc w:val="both"/>
        <w:ind w:left="420" w:hanging="210"/>
        <w:spacing w:after="0" w:line="244" w:lineRule="auto"/>
        <w:tabs>
          <w:tab w:leader="none" w:pos="420" w:val="left"/>
        </w:tabs>
        <w:numPr>
          <w:ilvl w:val="0"/>
          <w:numId w:val="22"/>
        </w:numPr>
        <w:rPr>
          <w:rFonts w:ascii="Arial" w:cs="Arial" w:eastAsia="Arial" w:hAnsi="Arial"/>
          <w:sz w:val="18"/>
          <w:szCs w:val="18"/>
          <w:color w:val="0072AF"/>
        </w:rPr>
      </w:pPr>
      <w:r>
        <w:rPr>
          <w:rFonts w:ascii="Arial" w:cs="Arial" w:eastAsia="Arial" w:hAnsi="Arial"/>
          <w:sz w:val="18"/>
          <w:szCs w:val="18"/>
          <w:color w:val="auto"/>
        </w:rPr>
        <w:t>the proposed meeting relates to an item of business that is the same or substantially similar to any item of business that was presented at a meeting of stockholders occurring within 90 days preceding the earliest date of signature on the special meeting request, provided that the removal of directors and the filling of the resulting vacancies will not be considered the same or substantially similar to the election of directors at the preceding annual meeting of stockholders;</w:t>
      </w:r>
    </w:p>
    <w:p>
      <w:pPr>
        <w:spacing w:after="0" w:line="14" w:lineRule="exact"/>
        <w:rPr>
          <w:rFonts w:ascii="Arial" w:cs="Arial" w:eastAsia="Arial" w:hAnsi="Arial"/>
          <w:sz w:val="18"/>
          <w:szCs w:val="18"/>
          <w:color w:val="0072AF"/>
        </w:rPr>
      </w:pPr>
    </w:p>
    <w:p>
      <w:pPr>
        <w:ind w:left="420" w:right="20" w:hanging="210"/>
        <w:spacing w:after="0" w:line="266" w:lineRule="auto"/>
        <w:tabs>
          <w:tab w:leader="none" w:pos="420" w:val="left"/>
        </w:tabs>
        <w:numPr>
          <w:ilvl w:val="0"/>
          <w:numId w:val="22"/>
        </w:numPr>
        <w:rPr>
          <w:rFonts w:ascii="Arial" w:cs="Arial" w:eastAsia="Arial" w:hAnsi="Arial"/>
          <w:sz w:val="18"/>
          <w:szCs w:val="18"/>
          <w:color w:val="0072AF"/>
        </w:rPr>
      </w:pPr>
      <w:r>
        <w:rPr>
          <w:rFonts w:ascii="Arial" w:cs="Arial" w:eastAsia="Arial" w:hAnsi="Arial"/>
          <w:sz w:val="18"/>
          <w:szCs w:val="18"/>
          <w:color w:val="auto"/>
        </w:rPr>
        <w:t>an otherwise valid special meeting request is submitted within the 90 days preceding the anniversary of the prior year’s annual meeting; or</w:t>
      </w:r>
    </w:p>
    <w:p>
      <w:pPr>
        <w:ind w:left="420" w:hanging="210"/>
        <w:spacing w:after="0"/>
        <w:tabs>
          <w:tab w:leader="none" w:pos="420" w:val="left"/>
        </w:tabs>
        <w:numPr>
          <w:ilvl w:val="0"/>
          <w:numId w:val="22"/>
        </w:numPr>
        <w:rPr>
          <w:rFonts w:ascii="Arial" w:cs="Arial" w:eastAsia="Arial" w:hAnsi="Arial"/>
          <w:sz w:val="18"/>
          <w:szCs w:val="18"/>
          <w:color w:val="0072AF"/>
        </w:rPr>
      </w:pPr>
      <w:r>
        <w:rPr>
          <w:rFonts w:ascii="Arial" w:cs="Arial" w:eastAsia="Arial" w:hAnsi="Arial"/>
          <w:sz w:val="18"/>
          <w:szCs w:val="18"/>
          <w:color w:val="auto"/>
        </w:rPr>
        <w:t>the special meeting request does not comply with the requirements set forth in the By-laws.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Additional Information</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general description of the Special Meeting Right Amendment set forth above is qualified in its entirety by reference to the text of the Special Meeting Right Amendment, which is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these proxy materials. In addition, the text of the By-law amendment, which can be further amended from time to time in the Board’s discretion, is attached as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to these proxy materials.</w:t>
      </w:r>
    </w:p>
    <w:p>
      <w:pPr>
        <w:spacing w:after="0" w:line="13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Special Meeting Right Amendment is binding. If the Special Meeting Right Amendment is approved, the Company intends to file a Certificate of Amendment to the Company’s Restated Certificate of Incorporation with the Secretary of State of the State of Delaware, and the Special Meeting Right Amendment will become effective at the time of that filing. In addition, if the stockholders approve the Special Meeting Right Amendment and the Certificate of Amendment setting forth the Special Meeting Right Amendment is filed with the Delaware Secretary of State, we intend to file a Restated Certificate of Incorporation to integrate the current provisions of the Company’s Restated Certificate of Incorporation with the Special Meeting Right Amendment (if approved) and any other previously adopted amendments to the Certificate into a single document. The Board reserves the right to abandon the Special Meeting Right Amendment at any time before it becomes effective, even if it is approved by the stockholders. If the Special Meeting Right Amendment is not approved by the requisite vote, then no Certificate of Amendment will be filed with the Secretary of State of the State of Delaware, the By-law amendment will not become effective and our stockholders will not have the ability to request that the Company call a special meeting of stockholders.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128905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0072AF"/>
        </w:rPr>
        <w:t> PROPOSAL 3: APPROVAL OF AN AMENDMENT TO THE COMPANY’S RESTATED CERTIFICATE OF INCORPORATION   TO GIVE HOLDERS OF 25% OF THE COMPANY’S STOCK THE RIGHT TO REQUEST A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8293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58293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Vote Required; 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affirmative vote of the holders of at least a majority of the voting power of all shares of the Company entitled to vote generally in the election of directors, voting together as a single class, is required to approve the Special Meeting Right Amendment. Abstentions and broker non-votes, if any, are treated the same as votes against this proposal.</w:t>
      </w:r>
    </w:p>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auto"/>
        </w:rPr>
        <w:t>The Board unanimously recommends that stockholders vote FOR the Special Meeting Right Amendment.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PROPOSAL 4: NON-BINDING 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2" w:lineRule="exact"/>
        <w:rPr>
          <w:sz w:val="20"/>
          <w:szCs w:val="20"/>
          <w:color w:val="auto"/>
        </w:rPr>
      </w:pPr>
    </w:p>
    <w:p>
      <w:pPr>
        <w:ind w:right="1340"/>
        <w:spacing w:after="0" w:line="298" w:lineRule="auto"/>
        <w:rPr>
          <w:sz w:val="20"/>
          <w:szCs w:val="20"/>
          <w:color w:val="auto"/>
        </w:rPr>
      </w:pPr>
      <w:r>
        <w:rPr>
          <w:rFonts w:ascii="Arial" w:cs="Arial" w:eastAsia="Arial" w:hAnsi="Arial"/>
          <w:sz w:val="32"/>
          <w:szCs w:val="32"/>
          <w:b w:val="1"/>
          <w:bCs w:val="1"/>
          <w:color w:val="4B5A89"/>
        </w:rPr>
        <w:t>Proposal 4: Non-Binding 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58293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9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In accordance with SEC rules, stockholders are being asked to approve, on an advisory, non-binding basis, the compensation of our named executive officers (NEOs) as disclosed in this Proxy Statement. This proposal, commonly known as a say-on-pay proposal, provides our stockholders with the opportunity to express their views on our executive compensation for our NEOs for fiscal year ended December 31, 2023 as described in the “Compensation Discussion and Analysis” (CD&amp;A) beginning on page </w:t>
      </w:r>
      <w:r>
        <w:rPr>
          <w:rFonts w:ascii="Arial" w:cs="Arial" w:eastAsia="Arial" w:hAnsi="Arial"/>
          <w:sz w:val="18"/>
          <w:szCs w:val="18"/>
          <w:u w:val="single" w:color="auto"/>
          <w:color w:val="0000EE"/>
        </w:rPr>
        <w:t>53</w:t>
      </w:r>
      <w:r>
        <w:rPr>
          <w:rFonts w:ascii="Arial" w:cs="Arial" w:eastAsia="Arial" w:hAnsi="Arial"/>
          <w:sz w:val="18"/>
          <w:szCs w:val="18"/>
          <w:color w:val="auto"/>
        </w:rPr>
        <w:t xml:space="preserve"> of this Proxy Statement, and additional details follow in section “Executive Compensation Tables and Related Narrative” beginning on page </w:t>
      </w:r>
      <w:r>
        <w:rPr>
          <w:rFonts w:ascii="Arial" w:cs="Arial" w:eastAsia="Arial" w:hAnsi="Arial"/>
          <w:sz w:val="18"/>
          <w:szCs w:val="18"/>
          <w:u w:val="single" w:color="auto"/>
          <w:color w:val="0000EE"/>
        </w:rPr>
        <w:t>75</w:t>
      </w:r>
      <w:r>
        <w:rPr>
          <w:rFonts w:ascii="Arial" w:cs="Arial" w:eastAsia="Arial" w:hAnsi="Arial"/>
          <w:sz w:val="18"/>
          <w:szCs w:val="18"/>
          <w:color w:val="auto"/>
        </w:rPr>
        <w:t>.</w:t>
      </w:r>
    </w:p>
    <w:p>
      <w:pPr>
        <w:spacing w:after="0" w:line="13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Over the course of the year, the Company and the Executive Compensation Committee (the “Committee”) have reached out to a number of stockholders to solicit their views on the Company’s executive compensation structure. For additional details regarding outreach in 2023, as well as insight into the Committee’s approach to the 2024 program, please see “2023 Stockholder Engagement on Executive Compensation” on page </w:t>
      </w:r>
      <w:r>
        <w:rPr>
          <w:rFonts w:ascii="Arial" w:cs="Arial" w:eastAsia="Arial" w:hAnsi="Arial"/>
          <w:sz w:val="18"/>
          <w:szCs w:val="18"/>
          <w:u w:val="single" w:color="auto"/>
          <w:color w:val="0000EE"/>
        </w:rPr>
        <w:t>56</w:t>
      </w:r>
      <w:r>
        <w:rPr>
          <w:rFonts w:ascii="Arial" w:cs="Arial" w:eastAsia="Arial" w:hAnsi="Arial"/>
          <w:sz w:val="18"/>
          <w:szCs w:val="18"/>
          <w:color w:val="auto"/>
        </w:rPr>
        <w:t xml:space="preserve"> of this Proxy Statement.</w:t>
      </w:r>
    </w:p>
    <w:p>
      <w:pPr>
        <w:spacing w:after="0" w:line="14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Committee and the Board believe that the compensation program described in the CD&amp;A establishes effective incentives for the sustainable achievement of positive results without encouraging unnecessary or excessive risk-taking. Our executive compensation program is designed to align pay and performance incentives with stockholder interests and to enable the Company to attract and retain talented executives.</w:t>
      </w:r>
    </w:p>
    <w:p>
      <w:pPr>
        <w:spacing w:after="0" w:line="13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discussed in the CD&amp;A, the Committee has structured our executive compensation program based on the following central principles:</w:t>
      </w:r>
    </w:p>
    <w:p>
      <w:pPr>
        <w:spacing w:after="0" w:line="113" w:lineRule="exact"/>
        <w:rPr>
          <w:sz w:val="20"/>
          <w:szCs w:val="20"/>
          <w:color w:val="auto"/>
        </w:rPr>
      </w:pPr>
    </w:p>
    <w:p>
      <w:pPr>
        <w:ind w:left="700" w:hanging="3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should be tied to performance and long-term stockholder return;</w:t>
      </w:r>
    </w:p>
    <w:p>
      <w:pPr>
        <w:spacing w:after="0" w:line="13" w:lineRule="exact"/>
        <w:rPr>
          <w:rFonts w:ascii="Arial" w:cs="Arial" w:eastAsia="Arial" w:hAnsi="Arial"/>
          <w:sz w:val="18"/>
          <w:szCs w:val="18"/>
          <w:color w:val="auto"/>
        </w:rPr>
      </w:pPr>
    </w:p>
    <w:p>
      <w:pPr>
        <w:ind w:left="700" w:right="740" w:hanging="346"/>
        <w:spacing w:after="0" w:line="234"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Performance-based compensation should be a greater part of total compensation for more senior positions;</w:t>
      </w:r>
    </w:p>
    <w:p>
      <w:pPr>
        <w:spacing w:after="0" w:line="1" w:lineRule="exact"/>
        <w:rPr>
          <w:rFonts w:ascii="Arial" w:cs="Arial" w:eastAsia="Arial" w:hAnsi="Arial"/>
          <w:sz w:val="18"/>
          <w:szCs w:val="18"/>
          <w:color w:val="auto"/>
        </w:rPr>
      </w:pPr>
    </w:p>
    <w:p>
      <w:pPr>
        <w:ind w:left="700" w:hanging="346"/>
        <w:spacing w:after="0" w:line="234"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should reflect leadership position and scope of responsibility;</w:t>
      </w:r>
    </w:p>
    <w:p>
      <w:pPr>
        <w:ind w:left="700" w:hanging="346"/>
        <w:spacing w:after="0" w:line="234"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Incentive compensation should reward both short-term and long-term performance;</w:t>
      </w:r>
    </w:p>
    <w:p>
      <w:pPr>
        <w:ind w:left="700" w:hanging="346"/>
        <w:spacing w:after="0" w:line="234"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levels should be competitive so we can both attract and retain talent; and</w:t>
      </w:r>
    </w:p>
    <w:p>
      <w:pPr>
        <w:ind w:left="700" w:right="20" w:hanging="346"/>
        <w:spacing w:after="0" w:line="250"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Executives should own meaningful amounts of Pitney Bowes stock to align their interests with Pitney Bowes stockholders.</w:t>
      </w:r>
    </w:p>
    <w:p>
      <w:pPr>
        <w:spacing w:after="0" w:line="14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See also “Compensation Governance Best Practices” on page </w:t>
      </w:r>
      <w:r>
        <w:rPr>
          <w:rFonts w:ascii="Arial" w:cs="Arial" w:eastAsia="Arial" w:hAnsi="Arial"/>
          <w:sz w:val="18"/>
          <w:szCs w:val="18"/>
          <w:u w:val="single" w:color="auto"/>
          <w:color w:val="0000EE"/>
        </w:rPr>
        <w:t>59</w:t>
      </w:r>
      <w:r>
        <w:rPr>
          <w:rFonts w:ascii="Arial" w:cs="Arial" w:eastAsia="Arial" w:hAnsi="Arial"/>
          <w:sz w:val="18"/>
          <w:szCs w:val="18"/>
          <w:color w:val="auto"/>
        </w:rPr>
        <w:t xml:space="preserve"> of this Proxy Statement for further information on the principal pay for performance and governance practices adopted by the Board of Pitney Bowes.</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accordance with Section 14A of the Exchange Act, and as a matter of good corporate governance, we are asking stockholders to indicate their support for our NEO compensation by voting FOR this advisory resolution at the Annual Meeting:</w:t>
      </w:r>
    </w:p>
    <w:p>
      <w:pPr>
        <w:spacing w:after="0" w:line="12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RESOLVED, that the stockholders of Pitney Bowes Inc. approve on a non-binding advisory basis the compensation of the Company’s NEOs disclosed in the CD&amp;A, the 2023 Summary Compensation Table and the related compensation tables, notes and narratives in this Proxy Statement for the Company’s 2024 annual meeting of stockholders.</w:t>
      </w:r>
    </w:p>
    <w:p>
      <w:pPr>
        <w:spacing w:after="0" w:line="14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This advisory resolution, commonly referred to as a say-on-pay resolution, is non-binding on the Board. Although non-binding, our Board and the Committee will carefully review and consider the voting results when making future decisions regarding our executive compensation program. The next say-on-pay advisory vote is expected to occur at the 2025 Annual Meeting based on the recommended advisory vote on the frequency of future advisory votes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58293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Vote Required; 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affirmative vote of the majority of the votes cast will constitute the stockholders’ non-binding approval with respect to our executive compensation program. Abstentions and broker non-votes will not be votes cast and therefore will have no effect on the outcome of the vote.</w:t>
      </w:r>
    </w:p>
    <w:p>
      <w:pPr>
        <w:spacing w:after="0" w:line="115"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The Board unanimously recommends that stockholders vote FOR the approval of our executive compensation on an advisory basis.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0072AF"/>
        </w:rPr>
        <w:t> PROPOSAL 5: APPROVAL OF AN AMENDMENT AND RESTATEMENT OF THE EMPLOYEE STOCK PURCHASE PLAN TO INCREASE PLAN SHARES RESERVED FOR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8293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08" w:lineRule="exact"/>
        <w:rPr>
          <w:sz w:val="20"/>
          <w:szCs w:val="20"/>
          <w:color w:val="auto"/>
        </w:rPr>
      </w:pPr>
    </w:p>
    <w:p>
      <w:pPr>
        <w:ind w:right="400"/>
        <w:spacing w:after="0" w:line="272" w:lineRule="auto"/>
        <w:rPr>
          <w:sz w:val="20"/>
          <w:szCs w:val="20"/>
          <w:color w:val="auto"/>
        </w:rPr>
      </w:pPr>
      <w:r>
        <w:rPr>
          <w:rFonts w:ascii="Arial" w:cs="Arial" w:eastAsia="Arial" w:hAnsi="Arial"/>
          <w:sz w:val="32"/>
          <w:szCs w:val="32"/>
          <w:b w:val="1"/>
          <w:bCs w:val="1"/>
          <w:color w:val="4B5A89"/>
        </w:rPr>
        <w:t>Proposal 5: Approval of an Amendment and Restatement of the Employee Stock Purchase Plan to Increase Plan Shares Reserved for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58293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58293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58293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1996 Pitney Bowes Employee Stock Purchase Plan (as previously amended and restated in May 2003, the “ESPP”) provides eligible employees with the opportunity to purchase shares of Pitney Bowes Common Stock (“Shares”) at a discounted price. The ESPP is intended to encourage employees to become part owners of the company by the acquisition of Shares, thereby stimulating their personal and active interest in its growth and prosperity. The Board is asking stockholders to approve amending the ESPP to increase the pool of Shares reserved for issuance under the ESPP by 3,000,000 Shares. The ESPP originally authorized the issuance of 10,000,000 Shares and was approved by stockholders in 1996. There were 931,060 Shares available under the ESPP for future purchases which represents 0.52% of our outstanding Shares as of March 15, 2024. No other changes to the ESPP are being proposed.</w:t>
      </w:r>
    </w:p>
    <w:p>
      <w:pPr>
        <w:spacing w:after="0" w:line="116"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If our stockholders approve the ESPP Proposal, the total number of Shares authorized and reserved for issuance under the ESPP will be 3,931,060 Shares (the “ESPP Share Pool”), for future purchases which represents 2.21% of our outstanding Shares as of March 15, 2024. However, if the ESPP Proposal is rejected by our stockholders, the total number of Shares authorized and reserved for issuance under the ESPP will remain at 931,060. Based on our current forecasts and estimated participation rates, if the increase is not approved, it is anticipated that the ESPP will run out of available Shares in approximately two years. In establishing the ESPP Share Pool, the Board considered the potential dilutive impact to stockholders, the projected participation rate, and equity plan guidelines established by certain proxy advisory firms.</w:t>
      </w:r>
    </w:p>
    <w:p>
      <w:pPr>
        <w:spacing w:after="0" w:line="11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believe the ESPP is a crucial element in rewarding and encouraging current employees that promotes stock ownership, which aligns their interests with those of our stockholders. Without stockholder approval of the ESPP Proposal, we will be unable to provide a means by which our employees will be given an opportunity to purchase Shares, and therefore we will be at a significant competitive disadvantage in attracting, retaining and motivating talented individuals who contribute to our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58293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Summary of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58293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material features of the ESPP are described below. The following description of the ESPP is a summary only and is qualified in its entirety by reference to the complete text of the ESPP. Stockholders are urged to read the actual text of the ESPP in its entirety, which is attached hereto as Annex C.</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Purpose of the ESPP</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ESPP is designed to encourage eligible employees to become part owners of the Company by acquiring Shares, and therefore having a direct personal interest in the Company’s success, progress, and market price of its stock, in a manner that is intended to qualify for favorable tax treatment under Section 423 of the Internal Revenue Code.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Administration</w:t>
      </w:r>
    </w:p>
    <w:p>
      <w:pPr>
        <w:spacing w:after="0" w:line="16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 committee comprising members from the Board is authorized to administer the ESPP. Currently, the Executive Compensation Committee (the “Committee”) administers the ESPP. The Committee has the final power to construe and interpret the ESPP and the rights granted under it.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Shares subject to the ESPP</w:t>
      </w:r>
    </w:p>
    <w:p>
      <w:pPr>
        <w:spacing w:after="0" w:line="16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Subject to adjustment for certain changes in our capitalization, the ESPP originally authorized the issuance of 10,000,000 Shares. As of March 15, 2024, 931,060 Shares remained available under the ESPP for future purchases. If stockholders approve the proposed increase of 3,000,000 Shares, approximately 3,931,060 Shares would remain available for issuance under the ESPP. If any rights granted under the ESPP terminate without being exercised in full, the Shares not purchased under such rights will again become available for issuance under the ESPP.</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0072AF"/>
        </w:rPr>
        <w:t> PROPOSAL 5: APPROVAL OF AN AMENDMENT AND RESTATEMENT OF THE EMPLOYEE STOCK PURCHASE PLAN TO INCREASE PLAN SHARES RESERVED FOR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8293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Offerings</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enrollment period under the ESPP for eligible employees begins in mid-November and continues until mid-December for the following ESPP calendar plan year. When an eligible employee elects to enroll, he or she is granted a right to purchase Shares on each purchase date within the offering period. On the purchase date, all contributions collected from the participant are automatically applied to the purchase of Shares, subject to certain limitations. At present, each offering period has two purchase dates: (i) at the end of the first six calendar months of the applicable ESPP calendar plan year (i.e., on June 30) and (ii) at the end of the applicable ESPP plan year (i.e., on December 31).</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Eligibility</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All U.S. and Canadian employees of the Company (and certain designated subsidiaries), other than any employee designated as a Section 16 officer, who customarily work at least 20 hours per week, and who have been employed continuously since August 1 of the year of the Offering Date (the date the offering is made to eligible employees), and whose employment is for more than five months in any one calendar year, are generally eligible to participate in the offering. However, no employee will be eligible to participate in the ESPP if, immediately after the grant of purchase rights, the employee would own, directly or indirectly, Shares possessing 5% or more of the total combined voting power or value of all classes of our stock or of any of our subsidiary companies, including any Shares which such employee may purchase under all outstanding purchase rights and options. In addition, no employee may purchase more than $25,000 worth of our Common Stock (determined based on the fair market value of the Shares at the time such rights are granted) in each calendar year during which such rights are outstanding.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As of January 1, 2024, approximately 9,000 employees were eligible to participate in the ESPP.</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Participation in the ESPP; limits on employee contributions</w:t>
      </w:r>
    </w:p>
    <w:p>
      <w:pPr>
        <w:spacing w:after="0" w:line="162"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purchase of Shares during an offering period generally will be funded through participant payroll deductions accumulated during the offering period, in amounts ranging from 1% to 10% of a participant’s salary. In accordance with the ESPP and IRS guidelines, eligible employees are eligible to contribute a maximum of $23,750 (IRS mandated $25,000 minus the 5% discount) or purchase up to 5,000 shares.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Purchase price and limits; payroll deductions</w:t>
      </w:r>
    </w:p>
    <w:p>
      <w:pPr>
        <w:spacing w:after="0" w:line="148"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The ESPP enables eligible employees to purchase Shares at a discounted price determined by the Committee, which will not be less than the lower of (i) 85% of the fair market value of our Shares on the first day of the offering period or (ii) 85% of the fair market value of our Shares on the purchase date. The purchase price per Share eligible employees pay will, unless determined otherwise by the Committee, be equal to the average of the high and low price of Shares on the New York Stock Exchange on the applicable purchase date, less the applicable discount (which for the most recent offering was a 5% discount).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Withdrawal; termination of employment; restrictions on transfer</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Currently, participants may withdraw from a given offering by delivering a notice of withdrawal to us at any time prior to May 31 (for the first purchase period) or November 30 (for the second purchase period). Participants may elect, upon such withdrawal, to have the full amount of their accumulated but unused contributions refunded to them without interest, otherwise contributions may remain in the ESPP to fund the purchase on Shares on the next purchase date.</w:t>
      </w:r>
    </w:p>
    <w:p>
      <w:pPr>
        <w:spacing w:after="0" w:line="10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 participant’s rights under any offering under the ESPP will terminate immediately if the participant is no longer employed by us or any our subsidiary companies for any reason other than retirement. In such event, we will distribute to the participant (or, in the event of a participant’s death, his or her legal representative) his or her accumulated but unused contributions without interest. If any participants retire during any offering period, they may elect to either have their contributions refunded to them or keep such contributions in the ESPP and have those contributions applied to buy Shares at the offering price at the end of the then current offering period.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Rights granted under the ESPP are not transferable except by will or by the laws of descent and distribution.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During a participant’s lifetime, such rights may only be exercised by the participant.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0072AF"/>
        </w:rPr>
        <w:t> PROPOSAL 5: APPROVAL OF AN AMENDMENT AND RESTATEMENT OF THE EMPLOYEE STOCK PURCHASE PLAN TO INCREASE PLAN SHARES RESERVED FOR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8293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Duration, amendment and termination</w:t>
      </w:r>
    </w:p>
    <w:p>
      <w:pPr>
        <w:spacing w:after="0" w:line="162"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ESPP has no fixed termination date. The ESPP may be amended, suspended or terminated at any time by the Board, and in certain circumstances, by the Committee, except that the total number of Shares that may be offered under the ESPP may not be increased without stockholder approval, other than certain equitable adjustments to reflect changes in our capitalization.</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Federal income tax information</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is a summary of the principal United States federal income tax consequences to participants and us with respect to participation in the ESPP.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 purchase right or the sale or other disposition of Common Stock acquired under the ESPP. The ESPP is not qualified under the provisions of Section 401(a) of the Code and is not subject to any of the provisions of the Employee Retirement Income Security Act of 1974, as amended.</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ESPP, and the rights of participant employees to make purchases thereunder, qualify for treatment under the provisions of Sections 421 and 423 of the Code. Under these provisions, no income will be taxable to a participant until the Shares purchased under the ESPP are sold or otherwise disposed of.</w:t>
      </w:r>
    </w:p>
    <w:p>
      <w:pPr>
        <w:spacing w:after="0" w:line="10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Upon a sale or other disposition of Shares, the participant will generally be subject to tax and the amount of the tax will depend upon the holding period. If the Shares are sold or otherwise disposed of more than two years from the first day of the relevant offering period (and more than one year from the date the Shares are purchased), then the participant generally will recognize ordinary income measured as the lesser of:</w:t>
      </w:r>
    </w:p>
    <w:p>
      <w:pPr>
        <w:spacing w:after="0" w:line="147" w:lineRule="exact"/>
        <w:rPr>
          <w:sz w:val="20"/>
          <w:szCs w:val="20"/>
          <w:color w:val="auto"/>
        </w:rPr>
      </w:pPr>
    </w:p>
    <w:p>
      <w:pPr>
        <w:ind w:left="700" w:right="20" w:hanging="346"/>
        <w:spacing w:after="0" w:line="245"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excess of the fair market value of the Shares at the time of such sale or disposition over the purchase price of such Shares, or</w:t>
      </w:r>
    </w:p>
    <w:p>
      <w:pPr>
        <w:ind w:left="700" w:right="20" w:hanging="346"/>
        <w:spacing w:after="0" w:line="250"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amount equal to the excess of the fair market value of the Shares as of the first day of the applicable offering period over the purchase price of such Shares.</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Any additional gain should be treated as long-term capital gain. If the Shares are held for at least the holding periods described above but are sold for a price that is less than the purchase price, there will be no ordinary income and the difference will be a long-term capital loss. We will not be entitled to an income tax deduction with respect to the grant or exercise of a right to purchase our Shares, or the sale of such Shares by a participant, where such participant holds such Shares for at least the holding periods described above.</w:t>
      </w:r>
    </w:p>
    <w:p>
      <w:pPr>
        <w:spacing w:after="0" w:line="13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sale or other disposition of Shares before the expiration of the holding periods described above will be a “disqualifying disposition,” and the participant will recognize ordinary income at the time of such disposition generally measured as the excess of the fair market value of the Shares on the date the Shares are purchased over the purchase price, and we will be entitled to an income tax deduction for such ordinary income. Any additional gain or loss on such sale or disposition will be long-term or short-term capital gain or loss, depending on the holding period following the date the Shares were purchased by the participant prior to such sale or disposition, and we will not be entitled to an income tax deduction for any such capital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58293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Vote Required: 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58293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Approval of the Amended and Restated 1996 Employee Stock Purchase Plan (as previously amended and restated in May 2003) requires an affirmative vote of a majority of the votes cast. Broker non-votes and abstentions are not considered votes cast and therefore will not be counted either for or against the ESPP Proposal.</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The Board of Directors unanimously recommends that stockholders vote FOR the proposal to approve the Amended and Restated 1996 Pitney Bowes Employee Stock Purchase Plan (as previously amended and restated in May 2003).</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128905</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PROPOSAL 6: APPROVAL OF THE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2" w:lineRule="exact"/>
        <w:rPr>
          <w:sz w:val="20"/>
          <w:szCs w:val="20"/>
          <w:color w:val="auto"/>
        </w:rPr>
      </w:pPr>
    </w:p>
    <w:p>
      <w:pPr>
        <w:ind w:right="320"/>
        <w:spacing w:after="0" w:line="298" w:lineRule="auto"/>
        <w:rPr>
          <w:sz w:val="20"/>
          <w:szCs w:val="20"/>
          <w:color w:val="auto"/>
        </w:rPr>
      </w:pPr>
      <w:r>
        <w:rPr>
          <w:rFonts w:ascii="Arial" w:cs="Arial" w:eastAsia="Arial" w:hAnsi="Arial"/>
          <w:sz w:val="32"/>
          <w:szCs w:val="32"/>
          <w:b w:val="1"/>
          <w:bCs w:val="1"/>
          <w:color w:val="4B5A89"/>
        </w:rPr>
        <w:t>Proposal 6: Approval of the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58293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9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April 8, 2024, the Board unanimously adopted and approved the Pitney Bowes Inc. 2024 Stock Plan effective May 6, 2024 subject to stockholder approval at our Annual Meeting. The complete text of the 2024 Stock Plan approved by the Board is attached as Annex D to this Proxy Statement. The 2024 Plan provides for the issuance of up to 8,400,000 shares, plus the number of shares that remain available for issuance (and not subject to outstanding awards) under the 2018 Stock Plan as of May 6, 2024.</w:t>
      </w:r>
    </w:p>
    <w:p>
      <w:pPr>
        <w:spacing w:after="0" w:line="13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2024 Plan is intended to serve as the successor to the 2018 Stock Plan. Shares remaining available for awards under the 2018 Plan on May 6, 2024, will become issuable under the 2024 Plan. Awards granted under the 2018 Plan prior to May 6, 2024 will remain in full force and effect and will remain subject to the terms of the 2018 Plan.</w:t>
      </w:r>
    </w:p>
    <w:p>
      <w:pPr>
        <w:spacing w:after="0" w:line="14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Please reference the “Equity Compensation Plan Information” on page </w:t>
      </w:r>
      <w:r>
        <w:rPr>
          <w:rFonts w:ascii="Arial" w:cs="Arial" w:eastAsia="Arial" w:hAnsi="Arial"/>
          <w:sz w:val="18"/>
          <w:szCs w:val="18"/>
          <w:u w:val="single" w:color="auto"/>
          <w:color w:val="0000EE"/>
        </w:rPr>
        <w:t>49</w:t>
      </w:r>
      <w:r>
        <w:rPr>
          <w:rFonts w:ascii="Arial" w:cs="Arial" w:eastAsia="Arial" w:hAnsi="Arial"/>
          <w:sz w:val="18"/>
          <w:szCs w:val="18"/>
          <w:color w:val="auto"/>
        </w:rPr>
        <w:t xml:space="preserve"> of this Proxy Statement for securities currently remaining available for future issuance under equity compensation plans as of 2023 fiscal year end excluding the 2024 annual grant. Additionally, details on burn rate and dilution figures are also provided starting on page </w:t>
      </w:r>
      <w:r>
        <w:rPr>
          <w:rFonts w:ascii="Arial" w:cs="Arial" w:eastAsia="Arial" w:hAnsi="Arial"/>
          <w:sz w:val="18"/>
          <w:szCs w:val="18"/>
          <w:u w:val="single" w:color="auto"/>
          <w:color w:val="0000EE"/>
        </w:rPr>
        <w:t>42</w:t>
      </w:r>
      <w:r>
        <w:rPr>
          <w:rFonts w:ascii="Arial" w:cs="Arial" w:eastAsia="Arial" w:hAnsi="Arial"/>
          <w:sz w:val="18"/>
          <w:szCs w:val="18"/>
          <w:color w:val="auto"/>
        </w:rPr>
        <w:t>. The following discussion is qualified in all respects by reference to Annex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58293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58293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ask our stockholders to support this proposal given its criticality to the successful execution of our strategy which will drive the creation of shareholder value.</w:t>
      </w:r>
    </w:p>
    <w:p>
      <w:pPr>
        <w:spacing w:after="0" w:line="11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Feedback received from our stockholders through our outreach efforts this past year (please see “Board Responsiveness and Compensation Design Changes” starting on page </w:t>
      </w:r>
      <w:r>
        <w:rPr>
          <w:rFonts w:ascii="Arial" w:cs="Arial" w:eastAsia="Arial" w:hAnsi="Arial"/>
          <w:sz w:val="18"/>
          <w:szCs w:val="18"/>
          <w:u w:val="single" w:color="auto"/>
          <w:color w:val="0000EE"/>
        </w:rPr>
        <w:t>57</w:t>
      </w:r>
      <w:r>
        <w:rPr>
          <w:rFonts w:ascii="Arial" w:cs="Arial" w:eastAsia="Arial" w:hAnsi="Arial"/>
          <w:sz w:val="18"/>
          <w:szCs w:val="18"/>
          <w:color w:val="auto"/>
        </w:rPr>
        <w:t xml:space="preserve"> of this Proxy Statement for an overview of our stockholder outreach efforts) made it clear that our stockholder’s prefer the use of equity instead of cash in our long-term incentive program. The Executive Compensation Committee (the “Committee”) and Management are completely aligned with this perspective. In recent years, the long-term incentive (LTI) grant mix has included a cash component to protect against increased stockholder dilution levels, elevated burn rates, and a diminished reserve of shares available for executive compensation. The Committee and Management are committed to the use of equity in our long-term incentive program as much as possible but recognize the ongoing need for balance between equity utilization for compensation and the management of our dilution and burn rate levels, which is also of interest to our stockholders. Not only does equity more closely align the interests of our employees with our stockholders, it increases our ability to attract, retain and motivate highly skilled and experienced talent in an increasingly competitive market. This talent will enable us to continue building on the strong foundations of our shipping, mailing, logistics, and financial services businesses.</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proposed share pool under the 2024 Plan is expected to last one to two years, based on a forecast that takes into account our anticipated rate of growth in hiring, an estimated range of our stock price over time, our historical forfeiture rates, as well as the number of shares we currently have available for grant. We believe that the approval of this proposal is instrumental to our ongoing success and our ability to continue to provide increased value to you, our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We encourage our stockholders to read the following sections which will provide important context to our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58293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2024 Plan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2024 Plan is an “omnibus” stock plan that provides for a variety of equity award vehicles to maintain flexibility. Currently awards largely consist of Performance Stock Units (PSUs), Restricted Stock Units (RSUs), and Nonqualified Stock Options (NSOs).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PROPOSAL 6: APPROVAL OF THE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175260</wp:posOffset>
            </wp:positionV>
            <wp:extent cx="58293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Provisions Designed to Protect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2024 Plan has several provisions designed to protect stockholder interests and promote effective corporate governance including:</w:t>
      </w:r>
    </w:p>
    <w:p>
      <w:pPr>
        <w:spacing w:after="0" w:line="100" w:lineRule="exact"/>
        <w:rPr>
          <w:sz w:val="20"/>
          <w:szCs w:val="20"/>
          <w:color w:val="auto"/>
        </w:rPr>
      </w:pPr>
    </w:p>
    <w:p>
      <w:pPr>
        <w:ind w:left="420" w:hanging="210"/>
        <w:spacing w:after="0" w:line="266" w:lineRule="auto"/>
        <w:tabs>
          <w:tab w:leader="none" w:pos="420" w:val="left"/>
        </w:tabs>
        <w:numPr>
          <w:ilvl w:val="0"/>
          <w:numId w:val="25"/>
        </w:numPr>
        <w:rPr>
          <w:rFonts w:ascii="Arial" w:cs="Arial" w:eastAsia="Arial" w:hAnsi="Arial"/>
          <w:sz w:val="18"/>
          <w:szCs w:val="18"/>
          <w:color w:val="0072AF"/>
        </w:rPr>
      </w:pPr>
      <w:r>
        <w:rPr>
          <w:rFonts w:ascii="Arial" w:cs="Arial" w:eastAsia="Arial" w:hAnsi="Arial"/>
          <w:sz w:val="18"/>
          <w:szCs w:val="18"/>
          <w:color w:val="auto"/>
        </w:rPr>
        <w:t>Prohibit the payment of dividends or dividend equivalents on any unvested awards until the underlying award has vested;</w:t>
      </w:r>
    </w:p>
    <w:p>
      <w:pPr>
        <w:ind w:left="420" w:hanging="210"/>
        <w:spacing w:after="0"/>
        <w:tabs>
          <w:tab w:leader="none" w:pos="420" w:val="left"/>
        </w:tabs>
        <w:numPr>
          <w:ilvl w:val="0"/>
          <w:numId w:val="25"/>
        </w:numPr>
        <w:rPr>
          <w:rFonts w:ascii="Arial" w:cs="Arial" w:eastAsia="Arial" w:hAnsi="Arial"/>
          <w:sz w:val="18"/>
          <w:szCs w:val="18"/>
          <w:color w:val="0072AF"/>
        </w:rPr>
      </w:pPr>
      <w:r>
        <w:rPr>
          <w:rFonts w:ascii="Arial" w:cs="Arial" w:eastAsia="Arial" w:hAnsi="Arial"/>
          <w:sz w:val="18"/>
          <w:szCs w:val="18"/>
          <w:color w:val="auto"/>
        </w:rPr>
        <w:t>Prohibition on share recycling or “Liberal Share Counting” practices;</w:t>
      </w:r>
    </w:p>
    <w:p>
      <w:pPr>
        <w:spacing w:after="0" w:line="49" w:lineRule="exact"/>
        <w:rPr>
          <w:rFonts w:ascii="Arial" w:cs="Arial" w:eastAsia="Arial" w:hAnsi="Arial"/>
          <w:sz w:val="18"/>
          <w:szCs w:val="18"/>
          <w:color w:val="0072AF"/>
        </w:rPr>
      </w:pPr>
    </w:p>
    <w:p>
      <w:pPr>
        <w:ind w:left="420" w:right="20" w:hanging="210"/>
        <w:spacing w:after="0" w:line="266" w:lineRule="auto"/>
        <w:tabs>
          <w:tab w:leader="none" w:pos="420" w:val="left"/>
        </w:tabs>
        <w:numPr>
          <w:ilvl w:val="0"/>
          <w:numId w:val="25"/>
        </w:numPr>
        <w:rPr>
          <w:rFonts w:ascii="Arial" w:cs="Arial" w:eastAsia="Arial" w:hAnsi="Arial"/>
          <w:sz w:val="18"/>
          <w:szCs w:val="18"/>
          <w:color w:val="0072AF"/>
        </w:rPr>
      </w:pPr>
      <w:r>
        <w:rPr>
          <w:rFonts w:ascii="Arial" w:cs="Arial" w:eastAsia="Arial" w:hAnsi="Arial"/>
          <w:sz w:val="18"/>
          <w:szCs w:val="18"/>
          <w:color w:val="auto"/>
        </w:rPr>
        <w:t>No re-pricing of stock options or SARs, including the exchange for another award or cash, without prior stockholder approval;</w:t>
      </w:r>
    </w:p>
    <w:p>
      <w:pPr>
        <w:ind w:left="420" w:hanging="210"/>
        <w:spacing w:after="0"/>
        <w:tabs>
          <w:tab w:leader="none" w:pos="420" w:val="left"/>
        </w:tabs>
        <w:numPr>
          <w:ilvl w:val="0"/>
          <w:numId w:val="25"/>
        </w:numPr>
        <w:rPr>
          <w:rFonts w:ascii="Arial" w:cs="Arial" w:eastAsia="Arial" w:hAnsi="Arial"/>
          <w:sz w:val="18"/>
          <w:szCs w:val="18"/>
          <w:color w:val="0072AF"/>
        </w:rPr>
      </w:pPr>
      <w:r>
        <w:rPr>
          <w:rFonts w:ascii="Arial" w:cs="Arial" w:eastAsia="Arial" w:hAnsi="Arial"/>
          <w:sz w:val="18"/>
          <w:szCs w:val="18"/>
          <w:color w:val="auto"/>
        </w:rPr>
        <w:t>Stock options and SARs cannot be granted below 100% of fair market value;</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25"/>
        </w:numPr>
        <w:rPr>
          <w:rFonts w:ascii="Arial" w:cs="Arial" w:eastAsia="Arial" w:hAnsi="Arial"/>
          <w:sz w:val="18"/>
          <w:szCs w:val="18"/>
          <w:color w:val="0072AF"/>
        </w:rPr>
      </w:pPr>
      <w:r>
        <w:rPr>
          <w:rFonts w:ascii="Arial" w:cs="Arial" w:eastAsia="Arial" w:hAnsi="Arial"/>
          <w:sz w:val="18"/>
          <w:szCs w:val="18"/>
          <w:color w:val="auto"/>
        </w:rPr>
        <w:t>Maximum term for stock options and SARs is 10 years;</w:t>
      </w:r>
    </w:p>
    <w:p>
      <w:pPr>
        <w:spacing w:after="0" w:line="49" w:lineRule="exact"/>
        <w:rPr>
          <w:rFonts w:ascii="Arial" w:cs="Arial" w:eastAsia="Arial" w:hAnsi="Arial"/>
          <w:sz w:val="18"/>
          <w:szCs w:val="18"/>
          <w:color w:val="0072AF"/>
        </w:rPr>
      </w:pPr>
    </w:p>
    <w:p>
      <w:pPr>
        <w:ind w:left="420" w:right="20" w:hanging="210"/>
        <w:spacing w:after="0" w:line="266" w:lineRule="auto"/>
        <w:tabs>
          <w:tab w:leader="none" w:pos="420" w:val="left"/>
        </w:tabs>
        <w:numPr>
          <w:ilvl w:val="0"/>
          <w:numId w:val="25"/>
        </w:numPr>
        <w:rPr>
          <w:rFonts w:ascii="Arial" w:cs="Arial" w:eastAsia="Arial" w:hAnsi="Arial"/>
          <w:sz w:val="18"/>
          <w:szCs w:val="18"/>
          <w:color w:val="0072AF"/>
        </w:rPr>
      </w:pPr>
      <w:r>
        <w:rPr>
          <w:rFonts w:ascii="Arial" w:cs="Arial" w:eastAsia="Arial" w:hAnsi="Arial"/>
          <w:sz w:val="18"/>
          <w:szCs w:val="18"/>
          <w:color w:val="auto"/>
        </w:rPr>
        <w:t>One-year minimum vesting period for all awards (no portion of awards may vest within one year from the date of grant and pro rata vesting will not occur prior to the first anniversary from the grant date);</w:t>
      </w:r>
    </w:p>
    <w:p>
      <w:pPr>
        <w:ind w:left="420" w:hanging="210"/>
        <w:spacing w:after="0"/>
        <w:tabs>
          <w:tab w:leader="none" w:pos="420" w:val="left"/>
        </w:tabs>
        <w:numPr>
          <w:ilvl w:val="0"/>
          <w:numId w:val="25"/>
        </w:numPr>
        <w:rPr>
          <w:rFonts w:ascii="Arial" w:cs="Arial" w:eastAsia="Arial" w:hAnsi="Arial"/>
          <w:sz w:val="18"/>
          <w:szCs w:val="18"/>
          <w:color w:val="0072AF"/>
        </w:rPr>
      </w:pPr>
      <w:r>
        <w:rPr>
          <w:rFonts w:ascii="Arial" w:cs="Arial" w:eastAsia="Arial" w:hAnsi="Arial"/>
          <w:sz w:val="18"/>
          <w:szCs w:val="18"/>
          <w:color w:val="auto"/>
        </w:rPr>
        <w:t>Minimum one-year performance period for performance-based awards;</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25"/>
        </w:numPr>
        <w:rPr>
          <w:rFonts w:ascii="Arial" w:cs="Arial" w:eastAsia="Arial" w:hAnsi="Arial"/>
          <w:sz w:val="18"/>
          <w:szCs w:val="18"/>
          <w:color w:val="0072AF"/>
        </w:rPr>
      </w:pPr>
      <w:r>
        <w:rPr>
          <w:rFonts w:ascii="Arial" w:cs="Arial" w:eastAsia="Arial" w:hAnsi="Arial"/>
          <w:sz w:val="18"/>
          <w:szCs w:val="18"/>
          <w:color w:val="auto"/>
        </w:rPr>
        <w:t>Change-in-Control definition that requires either a 30% acquisition or a consummation of a transaction;</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25"/>
        </w:numPr>
        <w:rPr>
          <w:rFonts w:ascii="Arial" w:cs="Arial" w:eastAsia="Arial" w:hAnsi="Arial"/>
          <w:sz w:val="18"/>
          <w:szCs w:val="18"/>
          <w:color w:val="0072AF"/>
        </w:rPr>
      </w:pPr>
      <w:r>
        <w:rPr>
          <w:rFonts w:ascii="Arial" w:cs="Arial" w:eastAsia="Arial" w:hAnsi="Arial"/>
          <w:sz w:val="18"/>
          <w:szCs w:val="18"/>
          <w:color w:val="auto"/>
        </w:rPr>
        <w:t>“Double-trigger” vesting provisions in connection with a Change-in-Control;</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25"/>
        </w:numPr>
        <w:rPr>
          <w:rFonts w:ascii="Arial" w:cs="Arial" w:eastAsia="Arial" w:hAnsi="Arial"/>
          <w:sz w:val="18"/>
          <w:szCs w:val="18"/>
          <w:color w:val="0072AF"/>
        </w:rPr>
      </w:pPr>
      <w:r>
        <w:rPr>
          <w:rFonts w:ascii="Arial" w:cs="Arial" w:eastAsia="Arial" w:hAnsi="Arial"/>
          <w:sz w:val="18"/>
          <w:szCs w:val="18"/>
          <w:color w:val="auto"/>
        </w:rPr>
        <w:t>No “evergreen” provision to automatically increase the number of shares issuable under the 2024 Plan; and</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25"/>
        </w:numPr>
        <w:rPr>
          <w:rFonts w:ascii="Arial" w:cs="Arial" w:eastAsia="Arial" w:hAnsi="Arial"/>
          <w:sz w:val="18"/>
          <w:szCs w:val="18"/>
          <w:color w:val="0072AF"/>
        </w:rPr>
      </w:pPr>
      <w:r>
        <w:rPr>
          <w:rFonts w:ascii="Arial" w:cs="Arial" w:eastAsia="Arial" w:hAnsi="Arial"/>
          <w:sz w:val="18"/>
          <w:szCs w:val="18"/>
          <w:color w:val="auto"/>
        </w:rPr>
        <w:t>Clawback policy applicable to awards under the 2024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58293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Determination of the Shares Available and Award Limits under the 2024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Committee consulted Pay Governance LLC, its independent compensation advisor, in examining a number of factors, including dilution and burn rate. The Committee considered these and other factors in reaching its decision on the total number of shares to authorize under the 2024 Plan.</w:t>
      </w:r>
    </w:p>
    <w:p>
      <w:pPr>
        <w:spacing w:after="0" w:line="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the 2024 Plan is approved, a maximum of 19,002,050 shares (subject to adjustment as described below)will be available for issuance under the 2024 Plan for PSUs, RSUs, stock options, SARs, restricted stock and any other type of stock-based awards issued under the 2024 Plan, consisting of: (i) 8,400,000 shares; plus (ii) the total number of shares remaining available for awards under the 2018 Plan as of May 6, 2024 (as of March 15, 2024 available shares are approximately 10,602,050 shares). In addition to the number of shares described in the preceding sentence, any shares associated with outstanding awards under the Pitney Bowes Inc. 2007 Stock Plan, the Pitney Bowes Inc. 2013 Stock Plan and the 2018 Plan (collectively, the “Prior Plans”) as of May 6, 2024 (“Prior Plan Awards”) that on or after such date cease for any reason to be subject to such awards (other than by reason of exercise or settlement of the awards to the extent they are exercised for or settled in vested and non-forfeitable shares) will also be available for issuance under the 2024 Plan (collectively, the “Plan Maximum”). No further awards will be granted under the current 2018 Plan upon approval of the 2024 Plan.</w:t>
      </w:r>
    </w:p>
    <w:p>
      <w:pPr>
        <w:spacing w:after="0" w:line="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Shares delivered under the 2024 Plan will be authorized but unissued shares of Pitney Bowes Common Stock, treasury shares or shares purchased in the open market or otherwise. To the extent that any award under the 2024 Plan or the Prior Plans payable in shares is forfeited, cancelled, returned to the Company for failure to satisfy vesting requirements or upon the occurrence of other forfeiture events, or otherwise terminates without payment being made in shares, the shares covered thereby will no longer be charged against the maximum share limitation and may again be made subject to awards under the 2024 Plan. Any awards settled in cash will not be counted against the maximum share reserve under the 2024 Plan. However, any shares exchanged by an employee or withheld from an employee as full or partial payment to the Company of the exercise price or the tax withholding upon exercise or settlement of an award, unissued shares resulting from the settlement of SARs in stock or net settlement of a stock option, and shares repurchased on the open market with the proceeds of an option exercise will not be returned to the number of shares available for issuance under the 2024 Plan.</w:t>
      </w:r>
    </w:p>
    <w:p>
      <w:pPr>
        <w:spacing w:after="0" w:line="7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Board believes that the estimated 19,002,050 shares that would be available for issuance under the 2024 Plan provides us with the ability to grant meaningful incentives for employees to increase the value of the Company for all stockholders. Based on our past experience, we believe the estimated 19,002,050 shares will provide us an opportunity to grant equity awards for approximately one to two years, due to the fungible plan design and expected LTI award mix, before we would need to seek stockholder approval of more shares. In order to determine the number of shares to be authorized under the Plan, the Committee and the Board considered the need for the shares and the potential dilution that awarding the requested shares may have on current stockholders.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PROPOSAL 6: APPROVAL OF THE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175260</wp:posOffset>
            </wp:positionV>
            <wp:extent cx="58293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Equity 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considering the cumulative dilutive impact of the equity program, the Committee considered the dilution impact of previously issued awards. Included in the equity dilution calculation are options with exercise prices greater than the current share price. “Full Dilution” is defined as:</w:t>
      </w:r>
    </w:p>
    <w:p>
      <w:pPr>
        <w:spacing w:after="0" w:line="7" w:lineRule="exact"/>
        <w:rPr>
          <w:sz w:val="20"/>
          <w:szCs w:val="20"/>
          <w:color w:val="auto"/>
        </w:rPr>
      </w:pPr>
    </w:p>
    <w:p>
      <w:pPr>
        <w:ind w:left="420" w:hanging="210"/>
        <w:spacing w:after="0"/>
        <w:tabs>
          <w:tab w:leader="none" w:pos="420" w:val="left"/>
        </w:tabs>
        <w:numPr>
          <w:ilvl w:val="0"/>
          <w:numId w:val="26"/>
        </w:numPr>
        <w:rPr>
          <w:rFonts w:ascii="Arial" w:cs="Arial" w:eastAsia="Arial" w:hAnsi="Arial"/>
          <w:sz w:val="18"/>
          <w:szCs w:val="18"/>
          <w:color w:val="0072AF"/>
        </w:rPr>
      </w:pPr>
      <w:r>
        <w:rPr>
          <w:rFonts w:ascii="Arial" w:cs="Arial" w:eastAsia="Arial" w:hAnsi="Arial"/>
          <w:sz w:val="18"/>
          <w:szCs w:val="18"/>
          <w:color w:val="auto"/>
        </w:rPr>
        <w:t>outstanding stock options, plus</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26"/>
        </w:numPr>
        <w:rPr>
          <w:rFonts w:ascii="Arial" w:cs="Arial" w:eastAsia="Arial" w:hAnsi="Arial"/>
          <w:sz w:val="18"/>
          <w:szCs w:val="18"/>
          <w:color w:val="0072AF"/>
        </w:rPr>
      </w:pPr>
      <w:r>
        <w:rPr>
          <w:rFonts w:ascii="Arial" w:cs="Arial" w:eastAsia="Arial" w:hAnsi="Arial"/>
          <w:sz w:val="18"/>
          <w:szCs w:val="18"/>
          <w:color w:val="auto"/>
        </w:rPr>
        <w:t>outstanding full value awards, such as RSUs and PSUs, plus</w:t>
      </w:r>
    </w:p>
    <w:p>
      <w:pPr>
        <w:spacing w:after="0" w:line="49" w:lineRule="exact"/>
        <w:rPr>
          <w:rFonts w:ascii="Arial" w:cs="Arial" w:eastAsia="Arial" w:hAnsi="Arial"/>
          <w:sz w:val="18"/>
          <w:szCs w:val="18"/>
          <w:color w:val="0072AF"/>
        </w:rPr>
      </w:pPr>
    </w:p>
    <w:p>
      <w:pPr>
        <w:jc w:val="both"/>
        <w:ind w:left="420" w:hanging="210"/>
        <w:spacing w:after="0" w:line="253" w:lineRule="auto"/>
        <w:tabs>
          <w:tab w:leader="none" w:pos="420" w:val="left"/>
        </w:tabs>
        <w:numPr>
          <w:ilvl w:val="0"/>
          <w:numId w:val="26"/>
        </w:numPr>
        <w:rPr>
          <w:rFonts w:ascii="Arial" w:cs="Arial" w:eastAsia="Arial" w:hAnsi="Arial"/>
          <w:sz w:val="18"/>
          <w:szCs w:val="18"/>
          <w:color w:val="0072AF"/>
        </w:rPr>
      </w:pPr>
      <w:r>
        <w:rPr>
          <w:rFonts w:ascii="Arial" w:cs="Arial" w:eastAsia="Arial" w:hAnsi="Arial"/>
          <w:sz w:val="18"/>
          <w:szCs w:val="18"/>
          <w:color w:val="auto"/>
        </w:rPr>
        <w:t>the number of shares available for future grants under our 2014 Directors’ Plan and the proposed 2024 Plan. The 2014 Director Plan does not have its own share reserve, but rather shares granted from the 2014 Director Plan are being drawn from the 2018 Plan.</w:t>
      </w:r>
    </w:p>
    <w:p>
      <w:pPr>
        <w:spacing w:after="0" w:line="6" w:lineRule="exact"/>
        <w:rPr>
          <w:rFonts w:ascii="Arial" w:cs="Arial" w:eastAsia="Arial" w:hAnsi="Arial"/>
          <w:sz w:val="18"/>
          <w:szCs w:val="18"/>
          <w:color w:val="0072AF"/>
        </w:rPr>
      </w:pPr>
    </w:p>
    <w:p>
      <w:pPr>
        <w:ind w:left="420" w:hanging="210"/>
        <w:spacing w:after="0"/>
        <w:tabs>
          <w:tab w:leader="none" w:pos="420" w:val="left"/>
        </w:tabs>
        <w:numPr>
          <w:ilvl w:val="0"/>
          <w:numId w:val="26"/>
        </w:numPr>
        <w:rPr>
          <w:rFonts w:ascii="Arial" w:cs="Arial" w:eastAsia="Arial" w:hAnsi="Arial"/>
          <w:sz w:val="18"/>
          <w:szCs w:val="18"/>
          <w:color w:val="0072AF"/>
        </w:rPr>
      </w:pPr>
      <w:r>
        <w:rPr>
          <w:rFonts w:ascii="Arial" w:cs="Arial" w:eastAsia="Arial" w:hAnsi="Arial"/>
          <w:sz w:val="18"/>
          <w:szCs w:val="18"/>
          <w:color w:val="auto"/>
        </w:rPr>
        <w:t>collectively divided by:</w:t>
      </w:r>
    </w:p>
    <w:p>
      <w:pPr>
        <w:spacing w:after="0" w:line="36" w:lineRule="exact"/>
        <w:rPr>
          <w:rFonts w:ascii="Arial" w:cs="Arial" w:eastAsia="Arial" w:hAnsi="Arial"/>
          <w:sz w:val="18"/>
          <w:szCs w:val="18"/>
          <w:color w:val="0072AF"/>
        </w:rPr>
      </w:pPr>
    </w:p>
    <w:p>
      <w:pPr>
        <w:ind w:left="640" w:right="20" w:hanging="214"/>
        <w:spacing w:after="0" w:line="271" w:lineRule="auto"/>
        <w:tabs>
          <w:tab w:leader="none" w:pos="640" w:val="left"/>
        </w:tabs>
        <w:numPr>
          <w:ilvl w:val="1"/>
          <w:numId w:val="26"/>
        </w:numPr>
        <w:rPr>
          <w:rFonts w:ascii="Arial" w:cs="Arial" w:eastAsia="Arial" w:hAnsi="Arial"/>
          <w:sz w:val="11"/>
          <w:szCs w:val="11"/>
          <w:color w:val="auto"/>
          <w:vertAlign w:val="superscript"/>
        </w:rPr>
      </w:pPr>
      <w:r>
        <w:rPr>
          <w:rFonts w:ascii="Arial" w:cs="Arial" w:eastAsia="Arial" w:hAnsi="Arial"/>
          <w:sz w:val="18"/>
          <w:szCs w:val="18"/>
          <w:color w:val="auto"/>
        </w:rPr>
        <w:t>177,667,659 (the estimated total outstanding shares of Common Stock as of March 15, 2024) plus all shares in the numerator</w:t>
      </w:r>
    </w:p>
    <w:p>
      <w:pPr>
        <w:spacing w:after="0" w:line="11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After the February 2024 grant, which utilized 5,319,098 fungible shares, as of March 15, 2024 there is a balance of 10,602,050 shares available for issuance under the 2018 Plan, which will become available for grant under the 2024 Plan to the extent not granted under the 2018 Plan prior to May 6, 2024. If approved, the estimated 19,002,050 shares available under the 2024 Plan would represent approximately 10.8% of 176,365,833 common shares outstanding as of December 31, 2023. No further grants would be made under the 2018 Plan upon the approval of the 2024 Plan. Assuming the approval of the 2024 Plan as described above, the potential full dilution from all stock incentives granted and available to employees and directors would be approximately 16.61%. The full dilution under the Prior Plans as of December 31, 2023 was 15.13%. </w:t>
      </w:r>
      <w:r>
        <w:rPr>
          <w:rFonts w:ascii="Arial" w:cs="Arial" w:eastAsia="Arial" w:hAnsi="Arial"/>
          <w:sz w:val="18"/>
          <w:szCs w:val="18"/>
          <w:b w:val="1"/>
          <w:bCs w:val="1"/>
          <w:color w:val="auto"/>
        </w:rPr>
        <w:t>The potential straight dilution from all</w:t>
      </w:r>
      <w:r>
        <w:rPr>
          <w:rFonts w:ascii="Arial" w:cs="Arial" w:eastAsia="Arial" w:hAnsi="Arial"/>
          <w:sz w:val="18"/>
          <w:szCs w:val="18"/>
          <w:color w:val="auto"/>
        </w:rPr>
        <w:t xml:space="preserve"> </w:t>
      </w:r>
      <w:r>
        <w:rPr>
          <w:rFonts w:ascii="Arial" w:cs="Arial" w:eastAsia="Arial" w:hAnsi="Arial"/>
          <w:sz w:val="18"/>
          <w:szCs w:val="18"/>
          <w:b w:val="1"/>
          <w:bCs w:val="1"/>
          <w:color w:val="auto"/>
        </w:rPr>
        <w:t>stock incentives granted and available to employees and directors would be approximately 15.19% as of March 15, 2024.</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0072AF"/>
        </w:rPr>
        <w:t>Equity 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58293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60" w:type="dxa"/>
            <w:vAlign w:val="bottom"/>
          </w:tcPr>
          <w:p>
            <w:pPr>
              <w:spacing w:after="0"/>
              <w:rPr>
                <w:sz w:val="17"/>
                <w:szCs w:val="17"/>
                <w:color w:val="auto"/>
              </w:rPr>
            </w:pPr>
          </w:p>
        </w:tc>
        <w:tc>
          <w:tcPr>
            <w:tcW w:w="2980" w:type="dxa"/>
            <w:vAlign w:val="bottom"/>
          </w:tcPr>
          <w:p>
            <w:pPr>
              <w:ind w:left="540"/>
              <w:spacing w:after="0"/>
              <w:rPr>
                <w:sz w:val="20"/>
                <w:szCs w:val="20"/>
                <w:color w:val="auto"/>
              </w:rPr>
            </w:pPr>
            <w:r>
              <w:rPr>
                <w:rFonts w:ascii="Arial" w:cs="Arial" w:eastAsia="Arial" w:hAnsi="Arial"/>
                <w:sz w:val="14"/>
                <w:szCs w:val="14"/>
                <w:b w:val="1"/>
                <w:bCs w:val="1"/>
                <w:color w:val="auto"/>
              </w:rPr>
              <w:t>As of December 31, 2023</w:t>
            </w:r>
          </w:p>
        </w:tc>
        <w:tc>
          <w:tcPr>
            <w:tcW w:w="3340" w:type="dxa"/>
            <w:vAlign w:val="bottom"/>
          </w:tcPr>
          <w:p>
            <w:pPr>
              <w:ind w:left="760"/>
              <w:spacing w:after="0"/>
              <w:rPr>
                <w:sz w:val="20"/>
                <w:szCs w:val="20"/>
                <w:color w:val="auto"/>
              </w:rPr>
            </w:pPr>
            <w:r>
              <w:rPr>
                <w:rFonts w:ascii="Arial" w:cs="Arial" w:eastAsia="Arial" w:hAnsi="Arial"/>
                <w:sz w:val="14"/>
                <w:szCs w:val="14"/>
                <w:b w:val="1"/>
                <w:bCs w:val="1"/>
                <w:color w:val="auto"/>
              </w:rPr>
              <w:t>As of March 15, 2024</w:t>
            </w:r>
          </w:p>
        </w:tc>
      </w:tr>
      <w:tr>
        <w:trPr>
          <w:trHeight w:val="56"/>
        </w:trPr>
        <w:tc>
          <w:tcPr>
            <w:tcW w:w="2860" w:type="dxa"/>
            <w:vAlign w:val="bottom"/>
            <w:tcBorders>
              <w:bottom w:val="single" w:sz="8" w:color="0072AF"/>
            </w:tcBorders>
          </w:tcPr>
          <w:p>
            <w:pPr>
              <w:spacing w:after="0"/>
              <w:rPr>
                <w:sz w:val="4"/>
                <w:szCs w:val="4"/>
                <w:color w:val="auto"/>
              </w:rPr>
            </w:pPr>
          </w:p>
        </w:tc>
        <w:tc>
          <w:tcPr>
            <w:tcW w:w="2980" w:type="dxa"/>
            <w:vAlign w:val="bottom"/>
            <w:tcBorders>
              <w:bottom w:val="single" w:sz="8" w:color="0072AF"/>
            </w:tcBorders>
          </w:tcPr>
          <w:p>
            <w:pPr>
              <w:spacing w:after="0"/>
              <w:rPr>
                <w:sz w:val="4"/>
                <w:szCs w:val="4"/>
                <w:color w:val="auto"/>
              </w:rPr>
            </w:pPr>
          </w:p>
        </w:tc>
        <w:tc>
          <w:tcPr>
            <w:tcW w:w="3340" w:type="dxa"/>
            <w:vAlign w:val="bottom"/>
            <w:tcBorders>
              <w:bottom w:val="single" w:sz="8" w:color="0072AF"/>
            </w:tcBorders>
          </w:tcPr>
          <w:p>
            <w:pPr>
              <w:spacing w:after="0"/>
              <w:rPr>
                <w:sz w:val="4"/>
                <w:szCs w:val="4"/>
                <w:color w:val="auto"/>
              </w:rPr>
            </w:pPr>
          </w:p>
        </w:tc>
      </w:tr>
      <w:tr>
        <w:trPr>
          <w:trHeight w:val="311"/>
        </w:trPr>
        <w:tc>
          <w:tcPr>
            <w:tcW w:w="2860" w:type="dxa"/>
            <w:vAlign w:val="bottom"/>
            <w:tcBorders>
              <w:bottom w:val="single" w:sz="8" w:color="CBCEE0"/>
            </w:tcBorders>
            <w:shd w:val="clear" w:color="auto" w:fill="CBCEE0"/>
          </w:tcPr>
          <w:p>
            <w:pPr>
              <w:ind w:left="100"/>
              <w:spacing w:after="0"/>
              <w:rPr>
                <w:sz w:val="20"/>
                <w:szCs w:val="20"/>
                <w:color w:val="auto"/>
              </w:rPr>
            </w:pPr>
            <w:r>
              <w:rPr>
                <w:rFonts w:ascii="Arial" w:cs="Arial" w:eastAsia="Arial" w:hAnsi="Arial"/>
                <w:sz w:val="16"/>
                <w:szCs w:val="16"/>
                <w:color w:val="auto"/>
              </w:rPr>
              <w:t>Common Shares Outstanding</w:t>
            </w:r>
          </w:p>
        </w:tc>
        <w:tc>
          <w:tcPr>
            <w:tcW w:w="2980" w:type="dxa"/>
            <w:vAlign w:val="bottom"/>
            <w:tcBorders>
              <w:bottom w:val="single" w:sz="8" w:color="CBCEE0"/>
            </w:tcBorders>
            <w:shd w:val="clear" w:color="auto" w:fill="CBCEE0"/>
          </w:tcPr>
          <w:p>
            <w:pPr>
              <w:jc w:val="center"/>
              <w:ind w:right="120"/>
              <w:spacing w:after="0"/>
              <w:rPr>
                <w:sz w:val="20"/>
                <w:szCs w:val="20"/>
                <w:color w:val="auto"/>
              </w:rPr>
            </w:pPr>
            <w:r>
              <w:rPr>
                <w:rFonts w:ascii="Arial" w:cs="Arial" w:eastAsia="Arial" w:hAnsi="Arial"/>
                <w:sz w:val="16"/>
                <w:szCs w:val="16"/>
                <w:color w:val="auto"/>
              </w:rPr>
              <w:t>176,365,833</w:t>
            </w:r>
          </w:p>
        </w:tc>
        <w:tc>
          <w:tcPr>
            <w:tcW w:w="3340" w:type="dxa"/>
            <w:vAlign w:val="bottom"/>
            <w:tcBorders>
              <w:bottom w:val="single" w:sz="8" w:color="CBCEE0"/>
            </w:tcBorders>
            <w:shd w:val="clear" w:color="auto" w:fill="CBCEE0"/>
          </w:tcPr>
          <w:p>
            <w:pPr>
              <w:jc w:val="center"/>
              <w:ind w:right="320"/>
              <w:spacing w:after="0"/>
              <w:rPr>
                <w:sz w:val="20"/>
                <w:szCs w:val="20"/>
                <w:color w:val="auto"/>
              </w:rPr>
            </w:pPr>
            <w:r>
              <w:rPr>
                <w:rFonts w:ascii="Arial" w:cs="Arial" w:eastAsia="Arial" w:hAnsi="Arial"/>
                <w:sz w:val="16"/>
                <w:szCs w:val="16"/>
                <w:color w:val="auto"/>
              </w:rPr>
              <w:t>177,667,659</w:t>
            </w:r>
          </w:p>
        </w:tc>
      </w:tr>
      <w:tr>
        <w:trPr>
          <w:trHeight w:val="268"/>
        </w:trPr>
        <w:tc>
          <w:tcPr>
            <w:tcW w:w="2860" w:type="dxa"/>
            <w:vAlign w:val="bottom"/>
          </w:tcPr>
          <w:p>
            <w:pPr>
              <w:ind w:left="100"/>
              <w:spacing w:after="0"/>
              <w:rPr>
                <w:sz w:val="20"/>
                <w:szCs w:val="20"/>
                <w:color w:val="auto"/>
              </w:rPr>
            </w:pPr>
            <w:r>
              <w:rPr>
                <w:rFonts w:ascii="Arial" w:cs="Arial" w:eastAsia="Arial" w:hAnsi="Arial"/>
                <w:sz w:val="16"/>
                <w:szCs w:val="16"/>
                <w:color w:val="auto"/>
              </w:rPr>
              <w:t>Shares Available for Grant</w:t>
            </w:r>
          </w:p>
        </w:tc>
        <w:tc>
          <w:tcPr>
            <w:tcW w:w="2980" w:type="dxa"/>
            <w:vAlign w:val="bottom"/>
          </w:tcPr>
          <w:p>
            <w:pPr>
              <w:jc w:val="center"/>
              <w:ind w:right="120"/>
              <w:spacing w:after="0"/>
              <w:rPr>
                <w:sz w:val="20"/>
                <w:szCs w:val="20"/>
                <w:color w:val="auto"/>
              </w:rPr>
            </w:pPr>
            <w:r>
              <w:rPr>
                <w:rFonts w:ascii="Arial" w:cs="Arial" w:eastAsia="Arial" w:hAnsi="Arial"/>
                <w:sz w:val="16"/>
                <w:szCs w:val="16"/>
                <w:color w:val="auto"/>
              </w:rPr>
              <w:t>15,950,013</w:t>
            </w:r>
          </w:p>
        </w:tc>
        <w:tc>
          <w:tcPr>
            <w:tcW w:w="3340" w:type="dxa"/>
            <w:vAlign w:val="bottom"/>
          </w:tcPr>
          <w:p>
            <w:pPr>
              <w:jc w:val="center"/>
              <w:ind w:right="320"/>
              <w:spacing w:after="0"/>
              <w:rPr>
                <w:sz w:val="20"/>
                <w:szCs w:val="20"/>
                <w:color w:val="auto"/>
              </w:rPr>
            </w:pPr>
            <w:r>
              <w:rPr>
                <w:rFonts w:ascii="Arial" w:cs="Arial" w:eastAsia="Arial" w:hAnsi="Arial"/>
                <w:sz w:val="16"/>
                <w:szCs w:val="16"/>
                <w:color w:val="auto"/>
              </w:rPr>
              <w:t>10,602,050</w:t>
            </w:r>
          </w:p>
        </w:tc>
      </w:tr>
      <w:tr>
        <w:trPr>
          <w:trHeight w:val="56"/>
        </w:trPr>
        <w:tc>
          <w:tcPr>
            <w:tcW w:w="2860" w:type="dxa"/>
            <w:vAlign w:val="bottom"/>
          </w:tcPr>
          <w:p>
            <w:pPr>
              <w:spacing w:after="0"/>
              <w:rPr>
                <w:sz w:val="4"/>
                <w:szCs w:val="4"/>
                <w:color w:val="auto"/>
              </w:rPr>
            </w:pPr>
          </w:p>
        </w:tc>
        <w:tc>
          <w:tcPr>
            <w:tcW w:w="2980" w:type="dxa"/>
            <w:vAlign w:val="bottom"/>
          </w:tcPr>
          <w:p>
            <w:pPr>
              <w:spacing w:after="0"/>
              <w:rPr>
                <w:sz w:val="4"/>
                <w:szCs w:val="4"/>
                <w:color w:val="auto"/>
              </w:rPr>
            </w:pPr>
          </w:p>
        </w:tc>
        <w:tc>
          <w:tcPr>
            <w:tcW w:w="3340" w:type="dxa"/>
            <w:vAlign w:val="bottom"/>
          </w:tcPr>
          <w:p>
            <w:pPr>
              <w:spacing w:after="0"/>
              <w:rPr>
                <w:sz w:val="4"/>
                <w:szCs w:val="4"/>
                <w:color w:val="auto"/>
              </w:rPr>
            </w:pPr>
          </w:p>
        </w:tc>
      </w:tr>
      <w:tr>
        <w:trPr>
          <w:trHeight w:val="365"/>
        </w:trPr>
        <w:tc>
          <w:tcPr>
            <w:tcW w:w="2860" w:type="dxa"/>
            <w:vAlign w:val="bottom"/>
            <w:shd w:val="clear" w:color="auto" w:fill="CBCEE0"/>
          </w:tcPr>
          <w:p>
            <w:pPr>
              <w:ind w:left="100"/>
              <w:spacing w:after="0"/>
              <w:rPr>
                <w:sz w:val="20"/>
                <w:szCs w:val="20"/>
                <w:color w:val="auto"/>
              </w:rPr>
            </w:pPr>
            <w:r>
              <w:rPr>
                <w:rFonts w:ascii="Arial" w:cs="Arial" w:eastAsia="Arial" w:hAnsi="Arial"/>
                <w:sz w:val="16"/>
                <w:szCs w:val="16"/>
                <w:color w:val="auto"/>
              </w:rPr>
              <w:t>Outstanding Options</w:t>
            </w:r>
            <w:r>
              <w:rPr>
                <w:rFonts w:ascii="Arial" w:cs="Arial" w:eastAsia="Arial" w:hAnsi="Arial"/>
                <w:sz w:val="26"/>
                <w:szCs w:val="26"/>
                <w:color w:val="auto"/>
                <w:vertAlign w:val="superscript"/>
              </w:rPr>
              <w:t>(1)(2)</w:t>
            </w:r>
          </w:p>
        </w:tc>
        <w:tc>
          <w:tcPr>
            <w:tcW w:w="2980" w:type="dxa"/>
            <w:vAlign w:val="bottom"/>
            <w:shd w:val="clear" w:color="auto" w:fill="CBCEE0"/>
          </w:tcPr>
          <w:p>
            <w:pPr>
              <w:jc w:val="center"/>
              <w:ind w:right="140"/>
              <w:spacing w:after="0"/>
              <w:rPr>
                <w:sz w:val="20"/>
                <w:szCs w:val="20"/>
                <w:color w:val="auto"/>
              </w:rPr>
            </w:pPr>
            <w:r>
              <w:rPr>
                <w:rFonts w:ascii="Arial" w:cs="Arial" w:eastAsia="Arial" w:hAnsi="Arial"/>
                <w:sz w:val="16"/>
                <w:szCs w:val="16"/>
                <w:color w:val="auto"/>
              </w:rPr>
              <w:t>9,151,645</w:t>
            </w:r>
          </w:p>
        </w:tc>
        <w:tc>
          <w:tcPr>
            <w:tcW w:w="3340" w:type="dxa"/>
            <w:vAlign w:val="bottom"/>
            <w:shd w:val="clear" w:color="auto" w:fill="CBCEE0"/>
          </w:tcPr>
          <w:p>
            <w:pPr>
              <w:jc w:val="center"/>
              <w:ind w:right="300"/>
              <w:spacing w:after="0"/>
              <w:rPr>
                <w:sz w:val="20"/>
                <w:szCs w:val="20"/>
                <w:color w:val="auto"/>
              </w:rPr>
            </w:pPr>
            <w:r>
              <w:rPr>
                <w:rFonts w:ascii="Arial" w:cs="Arial" w:eastAsia="Arial" w:hAnsi="Arial"/>
                <w:sz w:val="16"/>
                <w:szCs w:val="16"/>
                <w:color w:val="auto"/>
              </w:rPr>
              <w:t>9,151,645</w:t>
            </w:r>
          </w:p>
        </w:tc>
      </w:tr>
      <w:tr>
        <w:trPr>
          <w:trHeight w:val="268"/>
        </w:trPr>
        <w:tc>
          <w:tcPr>
            <w:tcW w:w="2860" w:type="dxa"/>
            <w:vAlign w:val="bottom"/>
          </w:tcPr>
          <w:p>
            <w:pPr>
              <w:ind w:left="100"/>
              <w:spacing w:after="0"/>
              <w:rPr>
                <w:sz w:val="20"/>
                <w:szCs w:val="20"/>
                <w:color w:val="auto"/>
              </w:rPr>
            </w:pPr>
            <w:r>
              <w:rPr>
                <w:rFonts w:ascii="Arial" w:cs="Arial" w:eastAsia="Arial" w:hAnsi="Arial"/>
                <w:sz w:val="16"/>
                <w:szCs w:val="16"/>
                <w:color w:val="auto"/>
              </w:rPr>
              <w:t>Outstanding Full Value Awards</w:t>
            </w:r>
          </w:p>
        </w:tc>
        <w:tc>
          <w:tcPr>
            <w:tcW w:w="2980" w:type="dxa"/>
            <w:vAlign w:val="bottom"/>
          </w:tcPr>
          <w:p>
            <w:pPr>
              <w:jc w:val="center"/>
              <w:ind w:right="140"/>
              <w:spacing w:after="0"/>
              <w:rPr>
                <w:sz w:val="20"/>
                <w:szCs w:val="20"/>
                <w:color w:val="auto"/>
              </w:rPr>
            </w:pPr>
            <w:r>
              <w:rPr>
                <w:rFonts w:ascii="Arial" w:cs="Arial" w:eastAsia="Arial" w:hAnsi="Arial"/>
                <w:sz w:val="16"/>
                <w:szCs w:val="16"/>
                <w:color w:val="auto"/>
              </w:rPr>
              <w:t>6,336,813</w:t>
            </w:r>
          </w:p>
        </w:tc>
        <w:tc>
          <w:tcPr>
            <w:tcW w:w="3340" w:type="dxa"/>
            <w:vAlign w:val="bottom"/>
          </w:tcPr>
          <w:p>
            <w:pPr>
              <w:jc w:val="center"/>
              <w:ind w:right="300"/>
              <w:spacing w:after="0"/>
              <w:rPr>
                <w:sz w:val="20"/>
                <w:szCs w:val="20"/>
                <w:color w:val="auto"/>
              </w:rPr>
            </w:pPr>
            <w:r>
              <w:rPr>
                <w:rFonts w:ascii="Arial" w:cs="Arial" w:eastAsia="Arial" w:hAnsi="Arial"/>
                <w:sz w:val="16"/>
                <w:szCs w:val="16"/>
                <w:color w:val="auto"/>
              </w:rPr>
              <w:t>7,225,594</w:t>
            </w:r>
          </w:p>
        </w:tc>
      </w:tr>
      <w:tr>
        <w:trPr>
          <w:trHeight w:val="56"/>
        </w:trPr>
        <w:tc>
          <w:tcPr>
            <w:tcW w:w="2860" w:type="dxa"/>
            <w:vAlign w:val="bottom"/>
          </w:tcPr>
          <w:p>
            <w:pPr>
              <w:spacing w:after="0"/>
              <w:rPr>
                <w:sz w:val="4"/>
                <w:szCs w:val="4"/>
                <w:color w:val="auto"/>
              </w:rPr>
            </w:pPr>
          </w:p>
        </w:tc>
        <w:tc>
          <w:tcPr>
            <w:tcW w:w="2980" w:type="dxa"/>
            <w:vAlign w:val="bottom"/>
          </w:tcPr>
          <w:p>
            <w:pPr>
              <w:spacing w:after="0"/>
              <w:rPr>
                <w:sz w:val="4"/>
                <w:szCs w:val="4"/>
                <w:color w:val="auto"/>
              </w:rPr>
            </w:pPr>
          </w:p>
        </w:tc>
        <w:tc>
          <w:tcPr>
            <w:tcW w:w="3340" w:type="dxa"/>
            <w:vAlign w:val="bottom"/>
          </w:tcPr>
          <w:p>
            <w:pPr>
              <w:spacing w:after="0"/>
              <w:rPr>
                <w:sz w:val="4"/>
                <w:szCs w:val="4"/>
                <w:color w:val="auto"/>
              </w:rPr>
            </w:pPr>
          </w:p>
        </w:tc>
      </w:tr>
      <w:tr>
        <w:trPr>
          <w:trHeight w:val="365"/>
        </w:trPr>
        <w:tc>
          <w:tcPr>
            <w:tcW w:w="2860" w:type="dxa"/>
            <w:vAlign w:val="bottom"/>
            <w:shd w:val="clear" w:color="auto" w:fill="CBCEE0"/>
          </w:tcPr>
          <w:p>
            <w:pPr>
              <w:ind w:left="100"/>
              <w:spacing w:after="0"/>
              <w:rPr>
                <w:sz w:val="20"/>
                <w:szCs w:val="20"/>
                <w:color w:val="auto"/>
              </w:rPr>
            </w:pPr>
            <w:r>
              <w:rPr>
                <w:rFonts w:ascii="Arial" w:cs="Arial" w:eastAsia="Arial" w:hAnsi="Arial"/>
                <w:sz w:val="16"/>
                <w:szCs w:val="16"/>
                <w:b w:val="1"/>
                <w:bCs w:val="1"/>
                <w:color w:val="auto"/>
              </w:rPr>
              <w:t>Full Dilution</w:t>
            </w:r>
            <w:r>
              <w:rPr>
                <w:rFonts w:ascii="Arial" w:cs="Arial" w:eastAsia="Arial" w:hAnsi="Arial"/>
                <w:sz w:val="26"/>
                <w:szCs w:val="26"/>
                <w:color w:val="auto"/>
                <w:vertAlign w:val="superscript"/>
              </w:rPr>
              <w:t>(3)</w:t>
            </w:r>
          </w:p>
        </w:tc>
        <w:tc>
          <w:tcPr>
            <w:tcW w:w="2980" w:type="dxa"/>
            <w:vAlign w:val="bottom"/>
            <w:shd w:val="clear" w:color="auto" w:fill="CBCEE0"/>
          </w:tcPr>
          <w:p>
            <w:pPr>
              <w:jc w:val="center"/>
              <w:ind w:right="120"/>
              <w:spacing w:after="0"/>
              <w:rPr>
                <w:sz w:val="20"/>
                <w:szCs w:val="20"/>
                <w:color w:val="auto"/>
              </w:rPr>
            </w:pPr>
            <w:r>
              <w:rPr>
                <w:rFonts w:ascii="Arial" w:cs="Arial" w:eastAsia="Arial" w:hAnsi="Arial"/>
                <w:sz w:val="16"/>
                <w:szCs w:val="16"/>
                <w:color w:val="auto"/>
                <w:w w:val="99"/>
              </w:rPr>
              <w:t>15.13%</w:t>
            </w:r>
          </w:p>
        </w:tc>
        <w:tc>
          <w:tcPr>
            <w:tcW w:w="3340" w:type="dxa"/>
            <w:vAlign w:val="bottom"/>
            <w:shd w:val="clear" w:color="auto" w:fill="CBCEE0"/>
          </w:tcPr>
          <w:p>
            <w:pPr>
              <w:jc w:val="center"/>
              <w:ind w:right="320"/>
              <w:spacing w:after="0"/>
              <w:rPr>
                <w:sz w:val="20"/>
                <w:szCs w:val="20"/>
                <w:color w:val="auto"/>
              </w:rPr>
            </w:pPr>
            <w:r>
              <w:rPr>
                <w:rFonts w:ascii="Arial" w:cs="Arial" w:eastAsia="Arial" w:hAnsi="Arial"/>
                <w:sz w:val="16"/>
                <w:szCs w:val="16"/>
                <w:color w:val="auto"/>
                <w:w w:val="99"/>
              </w:rPr>
              <w:t>13.18%</w:t>
            </w:r>
          </w:p>
        </w:tc>
      </w:tr>
      <w:tr>
        <w:trPr>
          <w:trHeight w:val="422"/>
        </w:trPr>
        <w:tc>
          <w:tcPr>
            <w:tcW w:w="2860" w:type="dxa"/>
            <w:vAlign w:val="bottom"/>
          </w:tcPr>
          <w:p>
            <w:pPr>
              <w:ind w:left="100"/>
              <w:spacing w:after="0"/>
              <w:rPr>
                <w:sz w:val="20"/>
                <w:szCs w:val="20"/>
                <w:color w:val="auto"/>
              </w:rPr>
            </w:pPr>
            <w:r>
              <w:rPr>
                <w:rFonts w:ascii="Arial" w:cs="Arial" w:eastAsia="Arial" w:hAnsi="Arial"/>
                <w:sz w:val="16"/>
                <w:szCs w:val="16"/>
                <w:b w:val="1"/>
                <w:bCs w:val="1"/>
                <w:color w:val="auto"/>
              </w:rPr>
              <w:t>Straight Dilution</w:t>
            </w:r>
            <w:r>
              <w:rPr>
                <w:rFonts w:ascii="Arial" w:cs="Arial" w:eastAsia="Arial" w:hAnsi="Arial"/>
                <w:sz w:val="26"/>
                <w:szCs w:val="26"/>
                <w:b w:val="1"/>
                <w:bCs w:val="1"/>
                <w:color w:val="auto"/>
                <w:vertAlign w:val="superscript"/>
              </w:rPr>
              <w:t>(4)</w:t>
            </w:r>
          </w:p>
        </w:tc>
        <w:tc>
          <w:tcPr>
            <w:tcW w:w="2980" w:type="dxa"/>
            <w:vAlign w:val="bottom"/>
          </w:tcPr>
          <w:p>
            <w:pPr>
              <w:jc w:val="center"/>
              <w:ind w:right="120"/>
              <w:spacing w:after="0"/>
              <w:rPr>
                <w:sz w:val="20"/>
                <w:szCs w:val="20"/>
                <w:color w:val="auto"/>
              </w:rPr>
            </w:pPr>
            <w:r>
              <w:rPr>
                <w:rFonts w:ascii="Arial" w:cs="Arial" w:eastAsia="Arial" w:hAnsi="Arial"/>
                <w:sz w:val="16"/>
                <w:szCs w:val="16"/>
                <w:color w:val="auto"/>
                <w:w w:val="99"/>
              </w:rPr>
              <w:t>17.83%</w:t>
            </w:r>
          </w:p>
        </w:tc>
        <w:tc>
          <w:tcPr>
            <w:tcW w:w="3340" w:type="dxa"/>
            <w:vAlign w:val="bottom"/>
          </w:tcPr>
          <w:p>
            <w:pPr>
              <w:jc w:val="center"/>
              <w:ind w:right="320"/>
              <w:spacing w:after="0"/>
              <w:rPr>
                <w:sz w:val="20"/>
                <w:szCs w:val="20"/>
                <w:color w:val="auto"/>
              </w:rPr>
            </w:pPr>
            <w:r>
              <w:rPr>
                <w:rFonts w:ascii="Arial" w:cs="Arial" w:eastAsia="Arial" w:hAnsi="Arial"/>
                <w:sz w:val="16"/>
                <w:szCs w:val="16"/>
                <w:color w:val="auto"/>
                <w:w w:val="99"/>
              </w:rPr>
              <w:t>15.19%</w:t>
            </w:r>
          </w:p>
        </w:tc>
      </w:tr>
    </w:tbl>
    <w:p>
      <w:pPr>
        <w:spacing w:after="0" w:line="232" w:lineRule="auto"/>
        <w:rPr>
          <w:sz w:val="20"/>
          <w:szCs w:val="20"/>
          <w:color w:val="auto"/>
        </w:rPr>
      </w:pPr>
      <w:r>
        <w:rPr>
          <w:rFonts w:ascii="Arial" w:cs="Arial" w:eastAsia="Arial" w:hAnsi="Arial"/>
          <w:sz w:val="11"/>
          <w:szCs w:val="11"/>
          <w:color w:val="auto"/>
        </w:rPr>
        <w:t>(1)</w:t>
      </w:r>
    </w:p>
    <w:p>
      <w:pPr>
        <w:ind w:left="340"/>
        <w:spacing w:after="0" w:line="209" w:lineRule="auto"/>
        <w:rPr>
          <w:sz w:val="20"/>
          <w:szCs w:val="20"/>
          <w:color w:val="auto"/>
        </w:rPr>
      </w:pPr>
      <w:r>
        <w:rPr>
          <w:rFonts w:ascii="Arial" w:cs="Arial" w:eastAsia="Arial" w:hAnsi="Arial"/>
          <w:sz w:val="14"/>
          <w:szCs w:val="14"/>
          <w:color w:val="auto"/>
        </w:rPr>
        <w:t>Weighted average exercise price of $9.50 and weighted average remaining term of 4.5 years as of December 31, 2023</w:t>
      </w:r>
    </w:p>
    <w:p>
      <w:pPr>
        <w:spacing w:after="0" w:line="198" w:lineRule="auto"/>
        <w:rPr>
          <w:sz w:val="20"/>
          <w:szCs w:val="20"/>
          <w:color w:val="auto"/>
        </w:rPr>
      </w:pPr>
      <w:r>
        <w:rPr>
          <w:rFonts w:ascii="Arial" w:cs="Arial" w:eastAsia="Arial" w:hAnsi="Arial"/>
          <w:sz w:val="8"/>
          <w:szCs w:val="8"/>
          <w:color w:val="auto"/>
        </w:rPr>
        <w:t>(2)</w:t>
      </w:r>
    </w:p>
    <w:p>
      <w:pPr>
        <w:ind w:left="340"/>
        <w:spacing w:after="0" w:line="209" w:lineRule="auto"/>
        <w:rPr>
          <w:sz w:val="20"/>
          <w:szCs w:val="20"/>
          <w:color w:val="auto"/>
        </w:rPr>
      </w:pPr>
      <w:r>
        <w:rPr>
          <w:rFonts w:ascii="Arial" w:cs="Arial" w:eastAsia="Arial" w:hAnsi="Arial"/>
          <w:sz w:val="14"/>
          <w:szCs w:val="14"/>
          <w:color w:val="auto"/>
        </w:rPr>
        <w:t>Weighted average exercise price of $9.50 and weighted average remaining term of 4.3 years as of March 15, 2024</w:t>
      </w:r>
    </w:p>
    <w:p>
      <w:pPr>
        <w:spacing w:after="0" w:line="198" w:lineRule="auto"/>
        <w:rPr>
          <w:sz w:val="20"/>
          <w:szCs w:val="20"/>
          <w:color w:val="auto"/>
        </w:rPr>
      </w:pPr>
      <w:r>
        <w:rPr>
          <w:rFonts w:ascii="Arial" w:cs="Arial" w:eastAsia="Arial" w:hAnsi="Arial"/>
          <w:sz w:val="8"/>
          <w:szCs w:val="8"/>
          <w:color w:val="auto"/>
        </w:rPr>
        <w:t>(3)</w:t>
      </w:r>
    </w:p>
    <w:p>
      <w:pPr>
        <w:jc w:val="both"/>
        <w:ind w:left="340"/>
        <w:spacing w:after="0" w:line="230" w:lineRule="auto"/>
        <w:rPr>
          <w:sz w:val="20"/>
          <w:szCs w:val="20"/>
          <w:color w:val="auto"/>
        </w:rPr>
      </w:pPr>
      <w:r>
        <w:rPr>
          <w:rFonts w:ascii="Arial" w:cs="Arial" w:eastAsia="Arial" w:hAnsi="Arial"/>
          <w:sz w:val="14"/>
          <w:szCs w:val="14"/>
          <w:color w:val="auto"/>
        </w:rPr>
        <w:t xml:space="preserve">Full Dilution is calculated as follows: (Shares Available for Grant + Outstanding Equity Awards) / (Shares Available for Grant + Outstanding Equity Awards + Common Shares Outstanding). </w:t>
      </w:r>
      <w:r>
        <w:rPr>
          <w:rFonts w:ascii="Arial" w:cs="Arial" w:eastAsia="Arial" w:hAnsi="Arial"/>
          <w:sz w:val="14"/>
          <w:szCs w:val="14"/>
          <w:b w:val="1"/>
          <w:bCs w:val="1"/>
          <w:color w:val="auto"/>
        </w:rPr>
        <w:t>Note: Including shares requested under the 2024 Plan, Full Dilution as of March 15,</w:t>
      </w:r>
      <w:r>
        <w:rPr>
          <w:rFonts w:ascii="Arial" w:cs="Arial" w:eastAsia="Arial" w:hAnsi="Arial"/>
          <w:sz w:val="14"/>
          <w:szCs w:val="14"/>
          <w:color w:val="auto"/>
        </w:rPr>
        <w:t xml:space="preserve"> </w:t>
      </w:r>
      <w:r>
        <w:rPr>
          <w:rFonts w:ascii="Arial" w:cs="Arial" w:eastAsia="Arial" w:hAnsi="Arial"/>
          <w:sz w:val="14"/>
          <w:szCs w:val="14"/>
          <w:b w:val="1"/>
          <w:bCs w:val="1"/>
          <w:color w:val="auto"/>
        </w:rPr>
        <w:t>2024 is 16.61%.</w:t>
      </w:r>
    </w:p>
    <w:p>
      <w:pPr>
        <w:spacing w:after="0" w:line="201" w:lineRule="auto"/>
        <w:rPr>
          <w:sz w:val="20"/>
          <w:szCs w:val="20"/>
          <w:color w:val="auto"/>
        </w:rPr>
      </w:pPr>
      <w:r>
        <w:rPr>
          <w:rFonts w:ascii="Arial" w:cs="Arial" w:eastAsia="Arial" w:hAnsi="Arial"/>
          <w:sz w:val="8"/>
          <w:szCs w:val="8"/>
          <w:color w:val="auto"/>
        </w:rPr>
        <w:t>(4)</w:t>
      </w:r>
    </w:p>
    <w:p>
      <w:pPr>
        <w:ind w:left="340"/>
        <w:spacing w:after="0"/>
        <w:rPr>
          <w:sz w:val="20"/>
          <w:szCs w:val="20"/>
          <w:color w:val="auto"/>
        </w:rPr>
      </w:pPr>
      <w:r>
        <w:rPr>
          <w:rFonts w:ascii="Arial" w:cs="Arial" w:eastAsia="Arial" w:hAnsi="Arial"/>
          <w:sz w:val="14"/>
          <w:szCs w:val="14"/>
          <w:color w:val="auto"/>
        </w:rPr>
        <w:t xml:space="preserve">Straight Dilution is calculated as follows: (Shares Available for Grant + Outstanding Equity Awards) / Common Shares Outstanding. </w:t>
      </w:r>
      <w:r>
        <w:rPr>
          <w:rFonts w:ascii="Arial" w:cs="Arial" w:eastAsia="Arial" w:hAnsi="Arial"/>
          <w:sz w:val="14"/>
          <w:szCs w:val="14"/>
          <w:b w:val="1"/>
          <w:bCs w:val="1"/>
          <w:color w:val="auto"/>
        </w:rPr>
        <w:t>Note: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Including shares requested under the 2024 Plan, Straight Dilution as of March 15, 2024 is 19.91%.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58293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Burn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Committee also considered the burn rate with respect to the equity awards. Burn rate is total stock options granted plus total Restricted Stock Units awarded plus Performance Stock Units vested/earned all divided by weighted average common shares outstanding (basic) for the year. Our three-year average burn rate for the time period from 2021 to 2023 is approximately 2.04%. We monitor and adjust our equity use for future years to ensure our burn rate is within competitive market norms.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128905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43" w:name="page44"/>
    <w:bookmarkEnd w:id="43"/>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PROPOSAL 6: APPROVAL OF THE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0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0072AF"/>
        </w:rPr>
        <w:t>2021-2023 Equity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58293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65"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jc w:val="center"/>
              <w:ind w:left="264"/>
              <w:spacing w:after="0"/>
              <w:rPr>
                <w:sz w:val="20"/>
                <w:szCs w:val="20"/>
                <w:color w:val="auto"/>
              </w:rPr>
            </w:pPr>
            <w:r>
              <w:rPr>
                <w:rFonts w:ascii="Arial" w:cs="Arial" w:eastAsia="Arial" w:hAnsi="Arial"/>
                <w:sz w:val="14"/>
                <w:szCs w:val="14"/>
                <w:b w:val="1"/>
                <w:bCs w:val="1"/>
                <w:color w:val="auto"/>
              </w:rPr>
              <w:t>Wtd. Avg. CSO</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2080" w:type="dxa"/>
            <w:vAlign w:val="bottom"/>
          </w:tcPr>
          <w:p>
            <w:pPr>
              <w:jc w:val="center"/>
              <w:ind w:left="346"/>
              <w:spacing w:after="0"/>
              <w:rPr>
                <w:sz w:val="20"/>
                <w:szCs w:val="20"/>
                <w:color w:val="auto"/>
              </w:rPr>
            </w:pPr>
            <w:r>
              <w:rPr>
                <w:rFonts w:ascii="Arial" w:cs="Arial" w:eastAsia="Arial" w:hAnsi="Arial"/>
                <w:sz w:val="14"/>
                <w:szCs w:val="14"/>
                <w:b w:val="1"/>
                <w:bCs w:val="1"/>
                <w:color w:val="auto"/>
                <w:w w:val="99"/>
              </w:rPr>
              <w:t>Stock</w:t>
            </w:r>
          </w:p>
        </w:tc>
        <w:tc>
          <w:tcPr>
            <w:tcW w:w="1700" w:type="dxa"/>
            <w:vAlign w:val="bottom"/>
          </w:tcPr>
          <w:p>
            <w:pPr>
              <w:spacing w:after="0"/>
              <w:rPr>
                <w:sz w:val="14"/>
                <w:szCs w:val="14"/>
                <w:color w:val="auto"/>
              </w:rPr>
            </w:pPr>
          </w:p>
        </w:tc>
        <w:tc>
          <w:tcPr>
            <w:tcW w:w="2120" w:type="dxa"/>
            <w:vAlign w:val="bottom"/>
            <w:vMerge w:val="restart"/>
          </w:tcPr>
          <w:p>
            <w:pPr>
              <w:jc w:val="right"/>
              <w:ind w:right="824"/>
              <w:spacing w:after="0"/>
              <w:rPr>
                <w:sz w:val="20"/>
                <w:szCs w:val="20"/>
                <w:color w:val="auto"/>
              </w:rPr>
            </w:pPr>
            <w:r>
              <w:rPr>
                <w:rFonts w:ascii="Arial" w:cs="Arial" w:eastAsia="Arial" w:hAnsi="Arial"/>
                <w:sz w:val="14"/>
                <w:szCs w:val="14"/>
                <w:b w:val="1"/>
                <w:bCs w:val="1"/>
                <w:color w:val="auto"/>
              </w:rPr>
              <w:t>PSUs</w:t>
            </w:r>
          </w:p>
        </w:tc>
        <w:tc>
          <w:tcPr>
            <w:tcW w:w="1560" w:type="dxa"/>
            <w:vAlign w:val="bottom"/>
          </w:tcPr>
          <w:p>
            <w:pPr>
              <w:jc w:val="center"/>
              <w:ind w:left="304"/>
              <w:spacing w:after="0"/>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2080" w:type="dxa"/>
            <w:vAlign w:val="bottom"/>
          </w:tcPr>
          <w:p>
            <w:pPr>
              <w:jc w:val="center"/>
              <w:ind w:left="306"/>
              <w:spacing w:after="0" w:line="145" w:lineRule="exact"/>
              <w:rPr>
                <w:sz w:val="20"/>
                <w:szCs w:val="20"/>
                <w:color w:val="auto"/>
              </w:rPr>
            </w:pPr>
            <w:r>
              <w:rPr>
                <w:rFonts w:ascii="Arial" w:cs="Arial" w:eastAsia="Arial" w:hAnsi="Arial"/>
                <w:sz w:val="14"/>
                <w:szCs w:val="14"/>
                <w:b w:val="1"/>
                <w:bCs w:val="1"/>
                <w:color w:val="auto"/>
              </w:rPr>
              <w:t>Options</w:t>
            </w:r>
          </w:p>
        </w:tc>
        <w:tc>
          <w:tcPr>
            <w:tcW w:w="1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RSUs</w:t>
            </w:r>
          </w:p>
        </w:tc>
        <w:tc>
          <w:tcPr>
            <w:tcW w:w="2120" w:type="dxa"/>
            <w:vAlign w:val="bottom"/>
            <w:vMerge w:val="continue"/>
          </w:tcPr>
          <w:p>
            <w:pPr>
              <w:spacing w:after="0"/>
              <w:rPr>
                <w:sz w:val="12"/>
                <w:szCs w:val="12"/>
                <w:color w:val="auto"/>
              </w:rPr>
            </w:pPr>
          </w:p>
        </w:tc>
        <w:tc>
          <w:tcPr>
            <w:tcW w:w="1560" w:type="dxa"/>
            <w:vAlign w:val="bottom"/>
          </w:tcPr>
          <w:p>
            <w:pPr>
              <w:jc w:val="center"/>
              <w:ind w:left="244"/>
              <w:spacing w:after="0" w:line="145"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70"/>
        </w:trPr>
        <w:tc>
          <w:tcPr>
            <w:tcW w:w="1720" w:type="dxa"/>
            <w:vAlign w:val="bottom"/>
            <w:tcBorders>
              <w:bottom w:val="single" w:sz="8" w:color="0072AF"/>
            </w:tcBorders>
          </w:tcPr>
          <w:p>
            <w:pPr>
              <w:jc w:val="right"/>
              <w:ind w:right="901"/>
              <w:spacing w:after="0"/>
              <w:rPr>
                <w:sz w:val="20"/>
                <w:szCs w:val="20"/>
                <w:color w:val="auto"/>
              </w:rPr>
            </w:pPr>
            <w:r>
              <w:rPr>
                <w:rFonts w:ascii="Arial" w:cs="Arial" w:eastAsia="Arial" w:hAnsi="Arial"/>
                <w:sz w:val="14"/>
                <w:szCs w:val="14"/>
                <w:b w:val="1"/>
                <w:bCs w:val="1"/>
                <w:color w:val="auto"/>
                <w:w w:val="97"/>
              </w:rPr>
              <w:t>Fiscal Year</w:t>
            </w:r>
          </w:p>
        </w:tc>
        <w:tc>
          <w:tcPr>
            <w:tcW w:w="2080" w:type="dxa"/>
            <w:vAlign w:val="bottom"/>
            <w:tcBorders>
              <w:bottom w:val="single" w:sz="8" w:color="0072AF"/>
            </w:tcBorders>
          </w:tcPr>
          <w:p>
            <w:pPr>
              <w:jc w:val="center"/>
              <w:ind w:left="346"/>
              <w:spacing w:after="0"/>
              <w:rPr>
                <w:sz w:val="20"/>
                <w:szCs w:val="20"/>
                <w:color w:val="auto"/>
              </w:rPr>
            </w:pPr>
            <w:r>
              <w:rPr>
                <w:rFonts w:ascii="Arial" w:cs="Arial" w:eastAsia="Arial" w:hAnsi="Arial"/>
                <w:sz w:val="14"/>
                <w:szCs w:val="14"/>
                <w:b w:val="1"/>
                <w:bCs w:val="1"/>
                <w:color w:val="auto"/>
              </w:rPr>
              <w:t>granted</w:t>
            </w:r>
          </w:p>
        </w:tc>
        <w:tc>
          <w:tcPr>
            <w:tcW w:w="1700" w:type="dxa"/>
            <w:vAlign w:val="bottom"/>
            <w:tcBorders>
              <w:bottom w:val="single" w:sz="8" w:color="0072AF"/>
            </w:tcBorders>
          </w:tcPr>
          <w:p>
            <w:pPr>
              <w:jc w:val="center"/>
              <w:spacing w:after="0"/>
              <w:rPr>
                <w:sz w:val="20"/>
                <w:szCs w:val="20"/>
                <w:color w:val="auto"/>
              </w:rPr>
            </w:pPr>
            <w:r>
              <w:rPr>
                <w:rFonts w:ascii="Arial" w:cs="Arial" w:eastAsia="Arial" w:hAnsi="Arial"/>
                <w:sz w:val="14"/>
                <w:szCs w:val="14"/>
                <w:b w:val="1"/>
                <w:bCs w:val="1"/>
                <w:color w:val="auto"/>
              </w:rPr>
              <w:t>granted</w:t>
            </w:r>
          </w:p>
        </w:tc>
        <w:tc>
          <w:tcPr>
            <w:tcW w:w="2120" w:type="dxa"/>
            <w:vAlign w:val="bottom"/>
            <w:tcBorders>
              <w:bottom w:val="single" w:sz="8" w:color="0072AF"/>
            </w:tcBorders>
          </w:tcPr>
          <w:p>
            <w:pPr>
              <w:jc w:val="right"/>
              <w:ind w:right="364"/>
              <w:spacing w:after="0"/>
              <w:rPr>
                <w:sz w:val="20"/>
                <w:szCs w:val="20"/>
                <w:color w:val="auto"/>
              </w:rPr>
            </w:pPr>
            <w:r>
              <w:rPr>
                <w:rFonts w:ascii="Arial" w:cs="Arial" w:eastAsia="Arial" w:hAnsi="Arial"/>
                <w:sz w:val="14"/>
                <w:szCs w:val="14"/>
                <w:b w:val="1"/>
                <w:bCs w:val="1"/>
                <w:color w:val="auto"/>
              </w:rPr>
              <w:t>(Vested/Earned)</w:t>
            </w:r>
            <w:r>
              <w:rPr>
                <w:rFonts w:ascii="Arial" w:cs="Arial" w:eastAsia="Arial" w:hAnsi="Arial"/>
                <w:sz w:val="23"/>
                <w:szCs w:val="23"/>
                <w:b w:val="1"/>
                <w:bCs w:val="1"/>
                <w:color w:val="auto"/>
                <w:vertAlign w:val="superscript"/>
              </w:rPr>
              <w:t>(1)</w:t>
            </w:r>
          </w:p>
        </w:tc>
        <w:tc>
          <w:tcPr>
            <w:tcW w:w="1560" w:type="dxa"/>
            <w:vAlign w:val="bottom"/>
            <w:tcBorders>
              <w:bottom w:val="single" w:sz="8" w:color="0072AF"/>
            </w:tcBorders>
          </w:tcPr>
          <w:p>
            <w:pPr>
              <w:jc w:val="center"/>
              <w:ind w:left="304"/>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311"/>
        </w:trPr>
        <w:tc>
          <w:tcPr>
            <w:tcW w:w="1720" w:type="dxa"/>
            <w:vAlign w:val="bottom"/>
            <w:tcBorders>
              <w:bottom w:val="single" w:sz="8" w:color="CBCEE0"/>
            </w:tcBorders>
            <w:shd w:val="clear" w:color="auto" w:fill="CBCEE0"/>
          </w:tcPr>
          <w:p>
            <w:pPr>
              <w:jc w:val="right"/>
              <w:ind w:right="1181"/>
              <w:spacing w:after="0"/>
              <w:rPr>
                <w:sz w:val="20"/>
                <w:szCs w:val="20"/>
                <w:color w:val="auto"/>
              </w:rPr>
            </w:pPr>
            <w:r>
              <w:rPr>
                <w:rFonts w:ascii="Arial" w:cs="Arial" w:eastAsia="Arial" w:hAnsi="Arial"/>
                <w:sz w:val="16"/>
                <w:szCs w:val="16"/>
                <w:b w:val="1"/>
                <w:bCs w:val="1"/>
                <w:color w:val="auto"/>
              </w:rPr>
              <w:t>2021</w:t>
            </w:r>
          </w:p>
        </w:tc>
        <w:tc>
          <w:tcPr>
            <w:tcW w:w="2080" w:type="dxa"/>
            <w:vAlign w:val="bottom"/>
            <w:tcBorders>
              <w:bottom w:val="single" w:sz="8" w:color="CBCEE0"/>
            </w:tcBorders>
            <w:shd w:val="clear" w:color="auto" w:fill="CBCEE0"/>
          </w:tcPr>
          <w:p>
            <w:pPr>
              <w:jc w:val="center"/>
              <w:ind w:left="366"/>
              <w:spacing w:after="0"/>
              <w:rPr>
                <w:sz w:val="20"/>
                <w:szCs w:val="20"/>
                <w:color w:val="auto"/>
              </w:rPr>
            </w:pPr>
            <w:r>
              <w:rPr>
                <w:rFonts w:ascii="Arial" w:cs="Arial" w:eastAsia="Arial" w:hAnsi="Arial"/>
                <w:sz w:val="16"/>
                <w:szCs w:val="16"/>
                <w:color w:val="auto"/>
              </w:rPr>
              <w:t>737,842</w:t>
            </w:r>
          </w:p>
        </w:tc>
        <w:tc>
          <w:tcPr>
            <w:tcW w:w="1700" w:type="dxa"/>
            <w:vAlign w:val="bottom"/>
            <w:tcBorders>
              <w:bottom w:val="single" w:sz="8" w:color="CBCEE0"/>
            </w:tcBorders>
            <w:shd w:val="clear" w:color="auto" w:fill="CBCEE0"/>
          </w:tcPr>
          <w:p>
            <w:pPr>
              <w:jc w:val="center"/>
              <w:ind w:left="23"/>
              <w:spacing w:after="0"/>
              <w:rPr>
                <w:sz w:val="20"/>
                <w:szCs w:val="20"/>
                <w:color w:val="auto"/>
              </w:rPr>
            </w:pPr>
            <w:r>
              <w:rPr>
                <w:rFonts w:ascii="Arial" w:cs="Arial" w:eastAsia="Arial" w:hAnsi="Arial"/>
                <w:sz w:val="16"/>
                <w:szCs w:val="16"/>
                <w:color w:val="auto"/>
              </w:rPr>
              <w:t>2,100,126</w:t>
            </w:r>
          </w:p>
        </w:tc>
        <w:tc>
          <w:tcPr>
            <w:tcW w:w="2120" w:type="dxa"/>
            <w:vAlign w:val="bottom"/>
            <w:tcBorders>
              <w:bottom w:val="single" w:sz="8" w:color="CBCEE0"/>
            </w:tcBorders>
            <w:shd w:val="clear" w:color="auto" w:fill="CBCEE0"/>
          </w:tcPr>
          <w:p>
            <w:pPr>
              <w:jc w:val="right"/>
              <w:ind w:right="744"/>
              <w:spacing w:after="0"/>
              <w:rPr>
                <w:sz w:val="20"/>
                <w:szCs w:val="20"/>
                <w:color w:val="auto"/>
              </w:rPr>
            </w:pPr>
            <w:r>
              <w:rPr>
                <w:rFonts w:ascii="Arial" w:cs="Arial" w:eastAsia="Arial" w:hAnsi="Arial"/>
                <w:sz w:val="16"/>
                <w:szCs w:val="16"/>
                <w:color w:val="auto"/>
              </w:rPr>
              <w:t>287,109</w:t>
            </w:r>
          </w:p>
        </w:tc>
        <w:tc>
          <w:tcPr>
            <w:tcW w:w="1560" w:type="dxa"/>
            <w:vAlign w:val="bottom"/>
            <w:tcBorders>
              <w:bottom w:val="single" w:sz="8" w:color="CBCEE0"/>
            </w:tcBorders>
            <w:shd w:val="clear" w:color="auto" w:fill="CBCEE0"/>
          </w:tcPr>
          <w:p>
            <w:pPr>
              <w:ind w:left="520"/>
              <w:spacing w:after="0"/>
              <w:rPr>
                <w:sz w:val="20"/>
                <w:szCs w:val="20"/>
                <w:color w:val="auto"/>
              </w:rPr>
            </w:pPr>
            <w:r>
              <w:rPr>
                <w:rFonts w:ascii="Arial" w:cs="Arial" w:eastAsia="Arial" w:hAnsi="Arial"/>
                <w:sz w:val="16"/>
                <w:szCs w:val="16"/>
                <w:color w:val="auto"/>
              </w:rPr>
              <w:t>173,913,957</w:t>
            </w:r>
          </w:p>
        </w:tc>
        <w:tc>
          <w:tcPr>
            <w:tcW w:w="0" w:type="dxa"/>
            <w:vAlign w:val="bottom"/>
          </w:tcPr>
          <w:p>
            <w:pPr>
              <w:spacing w:after="0"/>
              <w:rPr>
                <w:sz w:val="1"/>
                <w:szCs w:val="1"/>
                <w:color w:val="auto"/>
              </w:rPr>
            </w:pPr>
          </w:p>
        </w:tc>
      </w:tr>
      <w:tr>
        <w:trPr>
          <w:trHeight w:val="276"/>
        </w:trPr>
        <w:tc>
          <w:tcPr>
            <w:tcW w:w="1720" w:type="dxa"/>
            <w:vAlign w:val="bottom"/>
          </w:tcPr>
          <w:p>
            <w:pPr>
              <w:jc w:val="right"/>
              <w:ind w:right="1181"/>
              <w:spacing w:after="0"/>
              <w:rPr>
                <w:sz w:val="20"/>
                <w:szCs w:val="20"/>
                <w:color w:val="auto"/>
              </w:rPr>
            </w:pPr>
            <w:r>
              <w:rPr>
                <w:rFonts w:ascii="Arial" w:cs="Arial" w:eastAsia="Arial" w:hAnsi="Arial"/>
                <w:sz w:val="16"/>
                <w:szCs w:val="16"/>
                <w:b w:val="1"/>
                <w:bCs w:val="1"/>
                <w:color w:val="auto"/>
              </w:rPr>
              <w:t>2022</w:t>
            </w:r>
          </w:p>
        </w:tc>
        <w:tc>
          <w:tcPr>
            <w:tcW w:w="2080" w:type="dxa"/>
            <w:vAlign w:val="bottom"/>
          </w:tcPr>
          <w:p>
            <w:pPr>
              <w:spacing w:after="0"/>
              <w:rPr>
                <w:sz w:val="24"/>
                <w:szCs w:val="24"/>
                <w:color w:val="auto"/>
              </w:rPr>
            </w:pPr>
          </w:p>
        </w:tc>
        <w:tc>
          <w:tcPr>
            <w:tcW w:w="1700" w:type="dxa"/>
            <w:vAlign w:val="bottom"/>
          </w:tcPr>
          <w:p>
            <w:pPr>
              <w:jc w:val="center"/>
              <w:ind w:left="23"/>
              <w:spacing w:after="0"/>
              <w:rPr>
                <w:sz w:val="20"/>
                <w:szCs w:val="20"/>
                <w:color w:val="auto"/>
              </w:rPr>
            </w:pPr>
            <w:r>
              <w:rPr>
                <w:rFonts w:ascii="Arial" w:cs="Arial" w:eastAsia="Arial" w:hAnsi="Arial"/>
                <w:sz w:val="16"/>
                <w:szCs w:val="16"/>
                <w:color w:val="auto"/>
              </w:rPr>
              <w:t>5,280,429</w:t>
            </w:r>
          </w:p>
        </w:tc>
        <w:tc>
          <w:tcPr>
            <w:tcW w:w="2120" w:type="dxa"/>
            <w:vAlign w:val="bottom"/>
          </w:tcPr>
          <w:p>
            <w:pPr>
              <w:jc w:val="right"/>
              <w:ind w:right="744"/>
              <w:spacing w:after="0"/>
              <w:rPr>
                <w:sz w:val="20"/>
                <w:szCs w:val="20"/>
                <w:color w:val="auto"/>
              </w:rPr>
            </w:pPr>
            <w:r>
              <w:rPr>
                <w:rFonts w:ascii="Arial" w:cs="Arial" w:eastAsia="Arial" w:hAnsi="Arial"/>
                <w:sz w:val="16"/>
                <w:szCs w:val="16"/>
                <w:color w:val="auto"/>
              </w:rPr>
              <w:t>197,471</w:t>
            </w:r>
          </w:p>
        </w:tc>
        <w:tc>
          <w:tcPr>
            <w:tcW w:w="1560" w:type="dxa"/>
            <w:vAlign w:val="bottom"/>
          </w:tcPr>
          <w:p>
            <w:pPr>
              <w:ind w:left="520"/>
              <w:spacing w:after="0"/>
              <w:rPr>
                <w:sz w:val="20"/>
                <w:szCs w:val="20"/>
                <w:color w:val="auto"/>
              </w:rPr>
            </w:pPr>
            <w:r>
              <w:rPr>
                <w:rFonts w:ascii="Arial" w:cs="Arial" w:eastAsia="Arial" w:hAnsi="Arial"/>
                <w:sz w:val="16"/>
                <w:szCs w:val="16"/>
                <w:color w:val="auto"/>
              </w:rPr>
              <w:t>173,911,865</w:t>
            </w:r>
          </w:p>
        </w:tc>
        <w:tc>
          <w:tcPr>
            <w:tcW w:w="0" w:type="dxa"/>
            <w:vAlign w:val="bottom"/>
          </w:tcPr>
          <w:p>
            <w:pPr>
              <w:spacing w:after="0"/>
              <w:rPr>
                <w:sz w:val="1"/>
                <w:szCs w:val="1"/>
                <w:color w:val="auto"/>
              </w:rPr>
            </w:pPr>
          </w:p>
        </w:tc>
      </w:tr>
      <w:tr>
        <w:trPr>
          <w:trHeight w:val="48"/>
        </w:trPr>
        <w:tc>
          <w:tcPr>
            <w:tcW w:w="17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720" w:type="dxa"/>
            <w:vAlign w:val="bottom"/>
            <w:shd w:val="clear" w:color="auto" w:fill="CBCEE0"/>
          </w:tcPr>
          <w:p>
            <w:pPr>
              <w:jc w:val="right"/>
              <w:ind w:right="1181"/>
              <w:spacing w:after="0"/>
              <w:rPr>
                <w:sz w:val="20"/>
                <w:szCs w:val="20"/>
                <w:color w:val="auto"/>
              </w:rPr>
            </w:pPr>
            <w:r>
              <w:rPr>
                <w:rFonts w:ascii="Arial" w:cs="Arial" w:eastAsia="Arial" w:hAnsi="Arial"/>
                <w:sz w:val="16"/>
                <w:szCs w:val="16"/>
                <w:b w:val="1"/>
                <w:bCs w:val="1"/>
                <w:color w:val="auto"/>
              </w:rPr>
              <w:t>2023</w:t>
            </w:r>
          </w:p>
        </w:tc>
        <w:tc>
          <w:tcPr>
            <w:tcW w:w="2080" w:type="dxa"/>
            <w:vAlign w:val="bottom"/>
            <w:shd w:val="clear" w:color="auto" w:fill="CBCEE0"/>
          </w:tcPr>
          <w:p>
            <w:pPr>
              <w:spacing w:after="0"/>
              <w:rPr>
                <w:sz w:val="24"/>
                <w:szCs w:val="24"/>
                <w:color w:val="auto"/>
              </w:rPr>
            </w:pPr>
          </w:p>
        </w:tc>
        <w:tc>
          <w:tcPr>
            <w:tcW w:w="1700" w:type="dxa"/>
            <w:vAlign w:val="bottom"/>
            <w:shd w:val="clear" w:color="auto" w:fill="CBCEE0"/>
          </w:tcPr>
          <w:p>
            <w:pPr>
              <w:jc w:val="center"/>
              <w:ind w:left="23"/>
              <w:spacing w:after="0"/>
              <w:rPr>
                <w:sz w:val="20"/>
                <w:szCs w:val="20"/>
                <w:color w:val="auto"/>
              </w:rPr>
            </w:pPr>
            <w:r>
              <w:rPr>
                <w:rFonts w:ascii="Arial" w:cs="Arial" w:eastAsia="Arial" w:hAnsi="Arial"/>
                <w:sz w:val="16"/>
                <w:szCs w:val="16"/>
                <w:color w:val="auto"/>
              </w:rPr>
              <w:t>2,068,825</w:t>
            </w:r>
          </w:p>
        </w:tc>
        <w:tc>
          <w:tcPr>
            <w:tcW w:w="2120" w:type="dxa"/>
            <w:vAlign w:val="bottom"/>
            <w:shd w:val="clear" w:color="auto" w:fill="CBCEE0"/>
          </w:tcPr>
          <w:p>
            <w:pPr>
              <w:spacing w:after="0"/>
              <w:rPr>
                <w:sz w:val="24"/>
                <w:szCs w:val="24"/>
                <w:color w:val="auto"/>
              </w:rPr>
            </w:pPr>
          </w:p>
        </w:tc>
        <w:tc>
          <w:tcPr>
            <w:tcW w:w="1560" w:type="dxa"/>
            <w:vAlign w:val="bottom"/>
            <w:shd w:val="clear" w:color="auto" w:fill="CBCEE0"/>
          </w:tcPr>
          <w:p>
            <w:pPr>
              <w:ind w:left="520"/>
              <w:spacing w:after="0"/>
              <w:rPr>
                <w:sz w:val="20"/>
                <w:szCs w:val="20"/>
                <w:color w:val="auto"/>
              </w:rPr>
            </w:pPr>
            <w:r>
              <w:rPr>
                <w:rFonts w:ascii="Arial" w:cs="Arial" w:eastAsia="Arial" w:hAnsi="Arial"/>
                <w:sz w:val="16"/>
                <w:szCs w:val="16"/>
                <w:color w:val="auto"/>
              </w:rPr>
              <w:t>175,639,669</w:t>
            </w:r>
          </w:p>
        </w:tc>
        <w:tc>
          <w:tcPr>
            <w:tcW w:w="0" w:type="dxa"/>
            <w:vAlign w:val="bottom"/>
          </w:tcPr>
          <w:p>
            <w:pPr>
              <w:spacing w:after="0"/>
              <w:rPr>
                <w:sz w:val="1"/>
                <w:szCs w:val="1"/>
                <w:color w:val="auto"/>
              </w:rPr>
            </w:pPr>
          </w:p>
        </w:tc>
      </w:tr>
      <w:tr>
        <w:trPr>
          <w:trHeight w:val="61"/>
        </w:trPr>
        <w:tc>
          <w:tcPr>
            <w:tcW w:w="1720" w:type="dxa"/>
            <w:vAlign w:val="bottom"/>
            <w:shd w:val="clear" w:color="auto" w:fill="CBCEE0"/>
          </w:tcPr>
          <w:p>
            <w:pPr>
              <w:spacing w:after="0"/>
              <w:rPr>
                <w:sz w:val="5"/>
                <w:szCs w:val="5"/>
                <w:color w:val="auto"/>
              </w:rPr>
            </w:pPr>
          </w:p>
        </w:tc>
        <w:tc>
          <w:tcPr>
            <w:tcW w:w="2080" w:type="dxa"/>
            <w:vAlign w:val="bottom"/>
            <w:shd w:val="clear" w:color="auto" w:fill="CBCEE0"/>
          </w:tcPr>
          <w:p>
            <w:pPr>
              <w:spacing w:after="0"/>
              <w:rPr>
                <w:sz w:val="5"/>
                <w:szCs w:val="5"/>
                <w:color w:val="auto"/>
              </w:rPr>
            </w:pPr>
          </w:p>
        </w:tc>
        <w:tc>
          <w:tcPr>
            <w:tcW w:w="1700" w:type="dxa"/>
            <w:vAlign w:val="bottom"/>
            <w:shd w:val="clear" w:color="auto" w:fill="CBCEE0"/>
          </w:tcPr>
          <w:p>
            <w:pPr>
              <w:spacing w:after="0"/>
              <w:rPr>
                <w:sz w:val="5"/>
                <w:szCs w:val="5"/>
                <w:color w:val="auto"/>
              </w:rPr>
            </w:pPr>
          </w:p>
        </w:tc>
        <w:tc>
          <w:tcPr>
            <w:tcW w:w="2120" w:type="dxa"/>
            <w:vAlign w:val="bottom"/>
            <w:shd w:val="clear" w:color="auto" w:fill="CBCEE0"/>
          </w:tcPr>
          <w:p>
            <w:pPr>
              <w:spacing w:after="0"/>
              <w:rPr>
                <w:sz w:val="5"/>
                <w:szCs w:val="5"/>
                <w:color w:val="auto"/>
              </w:rPr>
            </w:pPr>
          </w:p>
        </w:tc>
        <w:tc>
          <w:tcPr>
            <w:tcW w:w="1560" w:type="dxa"/>
            <w:vAlign w:val="bottom"/>
            <w:shd w:val="clear" w:color="auto" w:fill="CBCEE0"/>
          </w:tcPr>
          <w:p>
            <w:pPr>
              <w:spacing w:after="0"/>
              <w:rPr>
                <w:sz w:val="5"/>
                <w:szCs w:val="5"/>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346" w:hanging="346"/>
        <w:spacing w:after="0" w:line="214" w:lineRule="auto"/>
        <w:tabs>
          <w:tab w:leader="none" w:pos="346"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Performance Stock Units (PSUs) are stock awards where the number of shares ultimately received by the employee is conditional upon the attainment of certain performance targets and Total Shareholder Return relative to peer companies. PSUs vest at the end of a three-year service period and the actual number of shares awarded may range from 0% to 200% of the target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58293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2"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72AF"/>
        </w:rPr>
        <w:t>Plan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58293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61"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72AF"/>
        </w:rPr>
        <w:t>2024 Plan Administration</w:t>
      </w:r>
    </w:p>
    <w:p>
      <w:pPr>
        <w:spacing w:after="0" w:line="175" w:lineRule="exact"/>
        <w:rPr>
          <w:sz w:val="20"/>
          <w:szCs w:val="20"/>
          <w:color w:val="auto"/>
        </w:rPr>
      </w:pPr>
    </w:p>
    <w:p>
      <w:pPr>
        <w:jc w:val="both"/>
        <w:ind w:left="6"/>
        <w:spacing w:after="0" w:line="238" w:lineRule="auto"/>
        <w:rPr>
          <w:sz w:val="20"/>
          <w:szCs w:val="20"/>
          <w:color w:val="auto"/>
        </w:rPr>
      </w:pPr>
      <w:r>
        <w:rPr>
          <w:rFonts w:ascii="Arial" w:cs="Arial" w:eastAsia="Arial" w:hAnsi="Arial"/>
          <w:sz w:val="18"/>
          <w:szCs w:val="18"/>
          <w:color w:val="auto"/>
        </w:rPr>
        <w:t>The 2024 Plan is administered by the Executive Compensation Committee or any other committee designated by the Board to administer the 2024 Plan. The Board and the Committee have the authority to delegate their duties under the 2024 Plan to the fullest extent permitted by Delaware law. The Committee may delegate certain administrative tasks to an internal administrative employee benefits committee. Any power of the Committee may also be exercised by the Board. In the event that an action taken by the Board conflicts with action taken by the Committee, the Board’s action will control. The Committee is authorized to designate employees under the 2024 Plan, determine the number of shares and type(s) of awards granted to employees, determine the terms and conditions of awards, interpret and administer the 2024 Plan, establish, amend, suspend, rescind or reconcile rules and regulations under the 2024 Plan, and generally make any other determination and take any other action the Committee deems necessary or desirable for the administration of the 2024 Plan. The Board determines all awards made to the CEO. The Committee has delegated certain of its responsibilities under the 2024 Plan, including the authority to make awards to employees below the executive officer level, to the chief executive officer as consistent with Delaware law.</w:t>
      </w:r>
    </w:p>
    <w:p>
      <w:pPr>
        <w:spacing w:after="0" w:line="211"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72AF"/>
        </w:rPr>
        <w:t>Eligibility and Participation</w:t>
      </w:r>
    </w:p>
    <w:p>
      <w:pPr>
        <w:spacing w:after="0" w:line="189" w:lineRule="exact"/>
        <w:rPr>
          <w:sz w:val="20"/>
          <w:szCs w:val="20"/>
          <w:color w:val="auto"/>
        </w:rPr>
      </w:pPr>
    </w:p>
    <w:p>
      <w:pPr>
        <w:jc w:val="both"/>
        <w:ind w:left="6"/>
        <w:spacing w:after="0" w:line="247" w:lineRule="auto"/>
        <w:rPr>
          <w:sz w:val="20"/>
          <w:szCs w:val="20"/>
          <w:color w:val="auto"/>
        </w:rPr>
      </w:pPr>
      <w:r>
        <w:rPr>
          <w:rFonts w:ascii="Arial" w:cs="Arial" w:eastAsia="Arial" w:hAnsi="Arial"/>
          <w:sz w:val="18"/>
          <w:szCs w:val="18"/>
          <w:color w:val="auto"/>
        </w:rPr>
        <w:t>Approximately 10,500 employees of the Company and its affiliates are eligible to participate in the 2024 Plan and approximately 425 employees (including the executive officers of the Company) currently receive long-term incentive awards in a given year. These numbers may vary from year to year. From time to time, the Committee will determine who will be granted awards, the number of shares subject to such grants and all other terms of awards.</w:t>
      </w:r>
    </w:p>
    <w:p>
      <w:pPr>
        <w:spacing w:after="0" w:line="205"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72AF"/>
        </w:rPr>
        <w:t>Types of 2024 Plan Awards</w:t>
      </w:r>
    </w:p>
    <w:p>
      <w:pPr>
        <w:spacing w:after="0" w:line="175" w:lineRule="exact"/>
        <w:rPr>
          <w:sz w:val="20"/>
          <w:szCs w:val="20"/>
          <w:color w:val="auto"/>
        </w:rPr>
      </w:pPr>
    </w:p>
    <w:p>
      <w:pPr>
        <w:jc w:val="both"/>
        <w:ind w:left="6"/>
        <w:spacing w:after="0" w:line="253" w:lineRule="auto"/>
        <w:rPr>
          <w:sz w:val="20"/>
          <w:szCs w:val="20"/>
          <w:color w:val="auto"/>
        </w:rPr>
      </w:pPr>
      <w:r>
        <w:rPr>
          <w:rFonts w:ascii="Arial" w:cs="Arial" w:eastAsia="Arial" w:hAnsi="Arial"/>
          <w:sz w:val="18"/>
          <w:szCs w:val="18"/>
          <w:color w:val="auto"/>
        </w:rPr>
        <w:t>The 2024 Plan, like our prior equity plans, provides for a variety of equity instruments to preserve flexibility. The types of awards that may be issued under the 2024 Plan are described below. Since 2015, the Company has utilized PSUs, RSUs and NSOs in granting equity awards under its long-term incentive program.</w:t>
      </w:r>
    </w:p>
    <w:p>
      <w:pPr>
        <w:spacing w:after="0" w:line="182"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2024 Plan includes a one-year minimum vesting period for all awards.</w:t>
      </w:r>
    </w:p>
    <w:p>
      <w:pPr>
        <w:spacing w:after="0" w:line="227"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4B5A89"/>
        </w:rPr>
        <w:t>Performance Stock Units</w:t>
      </w:r>
    </w:p>
    <w:p>
      <w:pPr>
        <w:spacing w:after="0" w:line="115" w:lineRule="exact"/>
        <w:rPr>
          <w:sz w:val="20"/>
          <w:szCs w:val="20"/>
          <w:color w:val="auto"/>
        </w:rPr>
      </w:pPr>
    </w:p>
    <w:p>
      <w:pPr>
        <w:jc w:val="both"/>
        <w:ind w:left="6"/>
        <w:spacing w:after="0"/>
        <w:rPr>
          <w:sz w:val="20"/>
          <w:szCs w:val="20"/>
          <w:color w:val="auto"/>
        </w:rPr>
      </w:pPr>
      <w:r>
        <w:rPr>
          <w:rFonts w:ascii="Arial" w:cs="Arial" w:eastAsia="Arial" w:hAnsi="Arial"/>
          <w:sz w:val="18"/>
          <w:szCs w:val="18"/>
          <w:color w:val="auto"/>
        </w:rPr>
        <w:t>PSUs provide the employee the right to receive Pitney Bowes Common Stock at the conclusion of a specified performance period (generally three years) based upon certain pre-established performance criteria. Based on how the Company performs against the pre-established financial criteria, the award can pay out in Common Stock anywhere between zero to two times the PSUs awarded. Target payout is one common share per PSU awarded. Dividend equivalent rights are payments equivalent to dividends declared on the Common Stock before a stock unit vests and is converted into Common Stock. Although it has not been the Company’s past practice to grant dividend equivalents, PSUs may be granted together with related dividend equivalent rights. If granted, dividend equivalents are prohibited from being paid until the underlying award has vested.</w:t>
      </w:r>
    </w:p>
    <w:p>
      <w:pPr>
        <w:spacing w:after="0" w:line="180"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120650</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PROPOSAL 6: APPROVAL OF THE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B5A89"/>
        </w:rPr>
        <w:t>Restricted Stock and Restricted Stock Units</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restricted stock award represents shares of Pitney Bowes Common Stock that are issued subject to restrictions on transfer and vesting requirements as determined by the Committee. A RSU provides the employee the right to receive a payment in Common Stock or cash based on the value of a share of Pitney Bowes Common Stock. Both restricted stock and RSUs may be subject to such vesting requirements, restrictions and conditions to payment as the Committee determines are appropriate. Generally, we issue performance-based, time-vested restricted stock and RSU awards which vest pro-rata over a period of approximately three years (pro-rata vesting will not occur prior to the first year anniversary from the grant date). Vesting requirements may be based on the continued service of the employee for specified time periods and/or on the attainment of specified business performance goals established by the Committee. Restricted stock will pay dividends earned only after the restricted stock vests. Although it has not been the Company’s past practice to grant dividend equivalents, RSUs may be granted together with related dividend equivalent rights. If granted, dividend equivalents are prohibited from being paid until the underlying award has been vested.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B5A89"/>
        </w:rPr>
        <w:t>Stock Options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Stock options granted under the 2024 Plan may be either Nonqualified Stock Options (NSOs) or Incentive Stock Options (ISOs) under Section 422 of the Internal Revenue Code of 1986, as amended (Code). Stock options entitle the employee to purchase a share of Pitney Bowes Common Stock at an exercise price specified in the Award Agreement (including through net settlement or a cashless exercise through a broker facility, to the extent permitted by the Committee). The exercise price of any stock option granted, other than substitute awards or tandem SARs, may not be less than 100% of the fair market value of a share of Pitney Bowes Common Stock on the date of grant. The 2024 Plan defines the fair market value as the closing price of Pitney Bowes Common Stock on the date of grant as reported by the New York Stock Exchange. The option exercise price is payable in cash, shares of Pitney Bowes Common Stock, through a broker-assisted cashless exercise through share withholding or as otherwise permitted by the Committee.</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Committee determines the terms of each stock option grant at the time of the grant. Generally, all options have a ten-year term from the date of the grant. The Committee specifies, at the time each option is granted, the time or times at which, and in what proportions, an option becomes vested and exercisable. Vesting may be based on the continued service of the employees for specified time periods or on the attainment of specified business performance goals established by the Committee or both. Generally, vesting of stock options occurs pro-rata over a three-year period (pro-rata vesting will not occur prior to the first year anniversary from the grant date). Under certain circumstances, the Committee may accelerate the vesting of options.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With certain exceptions, a vested stock option expires three months after termination of employment.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B5A89"/>
        </w:rPr>
        <w:t>Stock Appreciation Rights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SARs entitle the employee, upon settlement, to receive a payment based on the excess of the fair market value of a share of Pitney Bowes Common Stock on the date of settlement over the base price of the right, multiplied by the applicable number of SARs of Pitney Bowes Common Stock. SARs may be granted on a stand-alone basis or in tandem with a related stock option. The base price may not be less than the fair market value of a share of Pitney Bowes Common Stock on the date of grant. The Committee will determine the vesting requirements, form of payment and other terms of a SAR, including the effect of termination of service of an employee. Vesting may be based on the continued service of the employee for specified time periods or on the attainment of specified business performance goals established by the Committee or both. Under certain circumstances, the Committee may accelerate the vesting of SARs. Generally, all SARs have a ten-year term from the date of the grant. SARs may be payable in cash or in shares of Pitney Bowes Common Stock or in a combination of both.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currently have any SARs outstanding.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B5A89"/>
        </w:rPr>
        <w:t>Other Stock Based Awards</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Committee may grant employees such other awards denominated or payable in, valued in whole or in part by reference to, or otherwise based on or related to, shares of Pitney Bowes Common Stock (including without limitation securities convertible into such shares), as are deemed by the Committee to be consistent with the purposes of the 2024 Plan.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128905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PROPOSAL 6: APPROVAL OF THE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175260</wp:posOffset>
            </wp:positionV>
            <wp:extent cx="58293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Performance-Based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Subject to the other terms of the 2024 Plan, the Committee may condition the grant, retention, issuance, payment, release, vesting or exercisability of any award, in whole or in part, upon the achievement of performance criteria during one or more specified performance periods. The performance criteria may be measured either annually or cumulatively over a period of years, on an absolute basis or relative to a pre-established target, to previous year’s results or to a designated comparison group, in each case established by the Committee.</w:t>
      </w:r>
    </w:p>
    <w:p>
      <w:pPr>
        <w:spacing w:after="0" w:line="13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Performance criteria may include any one or more of the following either individually, alternatively or in any combination, applied to either the Company as a whole or to a business unit, subsidiary, division or department: (i) achievement of cost control, (ii) earnings before interest and taxes (EBIT), (iii) earnings before interest, taxes, depreciation and amortization (EBITDA), (iv) earnings per share, (v) economic value added, (vi) free cash flow, (vii) gross profit, (viii) growth of book or market value of capital stock, (ix) income from continuing operations, (x) net income, (xi) operating income, (xii) operating profit, (xiii) organic revenue growth, (xiv) return on investment (including return on invested capital), (xv) return on operating assets, (xvi) return on stockholder equity, (xvii) revenue, (xviii) revenue growth (xix) stock price, (xx) total earnings, (xxi) total stockholder return, or (xxii) any other performance criteria established by the Committee.</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Committee will appropriately adjust any evaluation of performance under a performance goal to eliminate the effects of charges for restructurings, discontinued operations, and items of income, or expense determined to be extraordinary or unusual in nature, including, but not limited to the disposal of a segment or business, asset write-downs, litigation, claims, judgments or settlements, the effect of changes in tax law or other such laws or provisions affecting reported results, accruals for reorganization and restructuring programs and accruals of any amounts for payment under the 2024 Plan or any other compensation arrangement maintained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58293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Forfeiture of Awards (Clawback)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58293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11"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 xml:space="preserve">The 2024 Plan provides that the Committee may require forfeiture of awards or recoupment of awards already paid in the event that 1) an employee engages in gross misconduct (as defined in the 2024 Plan), 2) an employee violates the terms of the Proprietary Interest Protection Agreement (a non-compete, non-solicitation and confidentiality agreement) or similar agreement, or 3) in the case of executive officers, the Company is required to prepare an accounting restatement due to the material noncompliance with any financial reporting requirement under federal securities laws, regardless of fault and consistent with the terms of our Compensation Recoupment Policy as described in more detail in the “Clawback Policy” section on page </w:t>
      </w:r>
      <w:r>
        <w:rPr>
          <w:rFonts w:ascii="Arial" w:cs="Arial" w:eastAsia="Arial" w:hAnsi="Arial"/>
          <w:sz w:val="18"/>
          <w:szCs w:val="18"/>
          <w:u w:val="single" w:color="auto"/>
          <w:color w:val="0000EE"/>
        </w:rPr>
        <w:t>73</w:t>
      </w:r>
      <w:r>
        <w:rPr>
          <w:rFonts w:ascii="Arial" w:cs="Arial" w:eastAsia="Arial" w:hAnsi="Arial"/>
          <w:sz w:val="18"/>
          <w:szCs w:val="18"/>
          <w:color w:val="auto"/>
        </w:rPr>
        <w:t xml:space="preserv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58293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Effect of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58293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Upon termination of employment which is on account of and within two years of a Change of Control (as defined in the 2024 Plan): (1) unvested RSUs vest and are immediately converted into Common Stock, (2) unvested PSUs vest at the target performance level and are immediately converted into Common Stock and (3) unvested NSOs vest and become fully exercisable for the remainder of the option term. If there is no termination of employment following a Change of Control: (1) unvested RSUs vest but are not converted into Common Stock until the earlier of Termination of Employment (as defined in the 2024 Plan) or the normal vesting dates of the award, (2) unvested PSUs will vest at target but will not be converted into Common Stock until the earlier of Termination of Employment or the conclusion of the three-year performance period, and (3) NSOs shall vest on the Change of Control and become fully exercisable on the earlier of Termination of Employment or the normal award vesting date and remain exercisable for the balance of the option term. If the acquiring Company does not assume the 2024 Plan or any of its outstanding equity awards, RSUs and NSOs will vest upon the Change of Control, and in the case of PSUs will vest as if target performance for the entire performance period had been achieved, be valued at the Common Stock price as of the Change of Control and converted into cash payable upon the earlier of termination from employment or the normal award vesting date. Holders of vested RSUs and PSUs will be entitled to dividends payable upon the earlier of termination from employment or the normal award vesting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46" w:name="page47"/>
    <w:bookmarkEnd w:id="46"/>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PROPOSAL 6: APPROVAL OF THE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175260</wp:posOffset>
            </wp:positionV>
            <wp:extent cx="58293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8"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72AF"/>
        </w:rPr>
        <w:t>Limited Transferability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58293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ind w:left="6"/>
        <w:spacing w:after="0" w:line="253" w:lineRule="auto"/>
        <w:rPr>
          <w:sz w:val="20"/>
          <w:szCs w:val="20"/>
          <w:color w:val="auto"/>
        </w:rPr>
      </w:pPr>
      <w:r>
        <w:rPr>
          <w:rFonts w:ascii="Arial" w:cs="Arial" w:eastAsia="Arial" w:hAnsi="Arial"/>
          <w:sz w:val="18"/>
          <w:szCs w:val="18"/>
          <w:color w:val="auto"/>
        </w:rPr>
        <w:t>All RSUs, PSUs, NSOs and other stock-based awards granted under the 2024 Plan are non-transferable except upon death, either by the employee’s will or the laws of descent and distribution or through a beneficiary designation, or as otherwise provided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58293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72AF"/>
        </w:rPr>
        <w:t>Adjustments for Corporate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58293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11" w:lineRule="exact"/>
        <w:rPr>
          <w:sz w:val="20"/>
          <w:szCs w:val="20"/>
          <w:color w:val="auto"/>
        </w:rPr>
      </w:pPr>
    </w:p>
    <w:p>
      <w:pPr>
        <w:jc w:val="both"/>
        <w:ind w:left="6"/>
        <w:spacing w:after="0" w:line="244" w:lineRule="auto"/>
        <w:rPr>
          <w:sz w:val="20"/>
          <w:szCs w:val="20"/>
          <w:color w:val="auto"/>
        </w:rPr>
      </w:pPr>
      <w:r>
        <w:rPr>
          <w:rFonts w:ascii="Arial" w:cs="Arial" w:eastAsia="Arial" w:hAnsi="Arial"/>
          <w:sz w:val="18"/>
          <w:szCs w:val="18"/>
          <w:color w:val="auto"/>
        </w:rPr>
        <w:t>In the event of recapitalizations, reclassifications or other specified events affecting the Company or the outstanding shares of Pitney Bowes Common Stock, equitable adjustments will be made to the number and kind of shares of Pitney Bowes Common Stock available for grant, as well as to other maximum limitations under the 2024 Plan, and the number and kind of shares of Pitney Bowes Common Stock or other rights and prices of outstanding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58293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32"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72AF"/>
        </w:rPr>
        <w:t>Plan Term, Amendment and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58293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ind w:left="6"/>
        <w:spacing w:after="0" w:line="237" w:lineRule="auto"/>
        <w:rPr>
          <w:sz w:val="20"/>
          <w:szCs w:val="20"/>
          <w:color w:val="auto"/>
        </w:rPr>
      </w:pPr>
      <w:r>
        <w:rPr>
          <w:rFonts w:ascii="Arial" w:cs="Arial" w:eastAsia="Arial" w:hAnsi="Arial"/>
          <w:sz w:val="18"/>
          <w:szCs w:val="18"/>
          <w:color w:val="auto"/>
        </w:rPr>
        <w:t>The 2024 Plan will have a term expiring on May 6, 2034, unless terminated earlier by the Board. Unless prohibited by applicable law or otherwise expressly provided in an award agreement or in the 2024 Plan, the Board may at any time and from time to time and in any respect amend, alter, suspend, discontinue or terminate the 2024 Plan. The Board may seek the approval of any amendment or modification by the Company’s stockholders to the extent it deems necessary or advisable in its sole discretion for compliance purposes, including the listing requirements of the New York Stock Exchange or another exchange or securities market or for any other purpose. No amendment or modification of the 2024 Plan will adversely affect any outstanding award without the consent of the employee or the permitted transferee of the award. Any amendment to the 2024 Plan that would (a) increase the total number of shares available for awards; (b) reduce the price at which NSOs/SARs may be granted below the exercise price;</w:t>
      </w:r>
    </w:p>
    <w:p>
      <w:pPr>
        <w:spacing w:after="0" w:line="1" w:lineRule="exact"/>
        <w:rPr>
          <w:sz w:val="20"/>
          <w:szCs w:val="20"/>
          <w:color w:val="auto"/>
        </w:rPr>
      </w:pPr>
    </w:p>
    <w:p>
      <w:pPr>
        <w:jc w:val="both"/>
        <w:ind w:left="6" w:hanging="6"/>
        <w:spacing w:after="0"/>
        <w:tabs>
          <w:tab w:leader="none" w:pos="291"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the exercise price of outstanding NSOs/SARs; (d) extend the term of the 2024 Plan; (e) change the class of persons eligible to be employees; or (f) otherwise amend the 2024 Plan in any manner requiring stockholder approval by law or under the New York Stock Exchange listing requirements would require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58293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2"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72AF"/>
        </w:rPr>
        <w:t>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58293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11" w:lineRule="exact"/>
        <w:rPr>
          <w:sz w:val="20"/>
          <w:szCs w:val="20"/>
          <w:color w:val="auto"/>
        </w:rPr>
      </w:pPr>
    </w:p>
    <w:p>
      <w:pPr>
        <w:jc w:val="both"/>
        <w:ind w:left="6"/>
        <w:spacing w:after="0" w:line="247" w:lineRule="auto"/>
        <w:rPr>
          <w:sz w:val="20"/>
          <w:szCs w:val="20"/>
          <w:color w:val="auto"/>
        </w:rPr>
      </w:pPr>
      <w:r>
        <w:rPr>
          <w:rFonts w:ascii="Arial" w:cs="Arial" w:eastAsia="Arial" w:hAnsi="Arial"/>
          <w:sz w:val="18"/>
          <w:szCs w:val="18"/>
          <w:color w:val="auto"/>
        </w:rPr>
        <w:t>Because benefits under the 2024 Plan will depend on the Committee’s actions (including a determination of who will receive future awards and the terms of those awards) and the fair market value of common shares at various future dates, it is not possible to determine the future benefits that will be received by executive officers and other employees if the 2024 Plan is approved by the stockholders.</w:t>
      </w:r>
    </w:p>
    <w:p>
      <w:pPr>
        <w:spacing w:after="0" w:line="174" w:lineRule="exact"/>
        <w:rPr>
          <w:sz w:val="20"/>
          <w:szCs w:val="20"/>
          <w:color w:val="auto"/>
        </w:rPr>
      </w:pPr>
    </w:p>
    <w:p>
      <w:pPr>
        <w:ind w:left="6"/>
        <w:spacing w:after="0"/>
        <w:rPr>
          <w:sz w:val="20"/>
          <w:szCs w:val="20"/>
          <w:color w:val="auto"/>
        </w:rPr>
      </w:pPr>
      <w:r>
        <w:rPr>
          <w:rFonts w:ascii="Arial" w:cs="Arial" w:eastAsia="Arial" w:hAnsi="Arial"/>
          <w:sz w:val="18"/>
          <w:szCs w:val="18"/>
          <w:color w:val="auto"/>
        </w:rPr>
        <w:t>As of March 15, 2024 (the Record Date) the closing price of our Common Stock was $4.11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172085</wp:posOffset>
            </wp:positionV>
            <wp:extent cx="58293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3"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72AF"/>
        </w:rPr>
        <w:t>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58293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ind w:left="6" w:right="20"/>
        <w:spacing w:after="0" w:line="242" w:lineRule="auto"/>
        <w:rPr>
          <w:sz w:val="20"/>
          <w:szCs w:val="20"/>
          <w:color w:val="auto"/>
        </w:rPr>
      </w:pPr>
      <w:r>
        <w:rPr>
          <w:rFonts w:ascii="Arial" w:cs="Arial" w:eastAsia="Arial" w:hAnsi="Arial"/>
          <w:sz w:val="18"/>
          <w:szCs w:val="18"/>
          <w:color w:val="auto"/>
        </w:rPr>
        <w:t>The following discussion summarizes the material U.S. federal income tax consequences to the Company and the participating employees in connection with the 2024 Plan under applicable provisions of the Internal Revenue Code (Code) and the accompanying regulations. The discussion is general in nature and does not address issues relating to the income tax circumstances of any individual employee. The discussion is based on federal income tax laws in effect on the date of this Proxy Statement and is, therefore, subject to possible future changes in the law. The discussion does not address the consequences of state, local or foreign tax laws.</w:t>
      </w:r>
    </w:p>
    <w:p>
      <w:pPr>
        <w:spacing w:after="0" w:line="210"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72AF"/>
        </w:rPr>
        <w:t>Federal Income Tax Consequences to the Company</w:t>
      </w:r>
    </w:p>
    <w:p>
      <w:pPr>
        <w:spacing w:after="0" w:line="175" w:lineRule="exact"/>
        <w:rPr>
          <w:sz w:val="20"/>
          <w:szCs w:val="20"/>
          <w:color w:val="auto"/>
        </w:rPr>
      </w:pPr>
    </w:p>
    <w:p>
      <w:pPr>
        <w:jc w:val="both"/>
        <w:ind w:left="6"/>
        <w:spacing w:after="0"/>
        <w:rPr>
          <w:sz w:val="20"/>
          <w:szCs w:val="20"/>
          <w:color w:val="auto"/>
        </w:rPr>
      </w:pPr>
      <w:r>
        <w:rPr>
          <w:rFonts w:ascii="Arial" w:cs="Arial" w:eastAsia="Arial" w:hAnsi="Arial"/>
          <w:sz w:val="18"/>
          <w:szCs w:val="18"/>
          <w:color w:val="auto"/>
        </w:rPr>
        <w:t>Generally, to the extent that a recipient recognizes ordinary income, the Company will be entitled to a corresponding deduction provided that, among other things, the income meets the test of reasonableness, is an ordinary and necessary business expense, is not an “excess parachute payment” within the meaning of Code Section 280G and, together with other compensation paid certain “covered employees,” is below the $ 1,000,000 deduction limitation imposed by IRC Section 162(m). Generally, a “covered employee” is an executive who is or was a NEO beginning with the NEOs listed in the 2018 proxy statement and thereafter. Compensation paid to a covered employee whether performance-based or not, will not</w:t>
      </w:r>
    </w:p>
    <w:p>
      <w:pPr>
        <w:spacing w:after="0" w:line="185"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120650</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PROPOSAL 6: APPROVAL OF THE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 deductible to the extent such amounts exceed $1 million in any one year, unless grandfathered under the Tax Cut and Jobs Act of 2017 (the Tax Act).</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Section 409A</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Code Section 409A may apply to awards under the 2024 Plan that are deemed to be deferred compensation. If the requirements of Section 409A are not met, the recipient may be required to include deferred compensation in taxable income and additional taxes and interest may be assessed on such amounts. To the extent Section 409A is applicable to an award made under the 2024 Plan, it is the Company’s intent to have such award comply with the rules promulgated under Section 409A.</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Tax Withholding</w:t>
      </w:r>
    </w:p>
    <w:p>
      <w:pPr>
        <w:spacing w:after="0" w:line="18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To the extent required by applicable federal, state, local or foreign law, an employee will be required to satisfy, in a manner satisfactory to the Company, any withholding tax obligations that arise by reason of the award.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Taxation of the Various 2024 Plan Awards</w:t>
      </w:r>
    </w:p>
    <w:p>
      <w:pPr>
        <w:spacing w:after="0" w:line="175"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b w:val="1"/>
          <w:bCs w:val="1"/>
          <w:color w:val="auto"/>
        </w:rPr>
        <w:t xml:space="preserve">Performance Stock Units and Restricted Stock Units. </w:t>
      </w:r>
      <w:r>
        <w:rPr>
          <w:rFonts w:ascii="Arial" w:cs="Arial" w:eastAsia="Arial" w:hAnsi="Arial"/>
          <w:sz w:val="18"/>
          <w:szCs w:val="18"/>
          <w:color w:val="auto"/>
        </w:rPr>
        <w:t>Employees granted RSUs and PSUs do not recognize</w:t>
      </w:r>
      <w:r>
        <w:rPr>
          <w:rFonts w:ascii="Arial" w:cs="Arial" w:eastAsia="Arial" w:hAnsi="Arial"/>
          <w:sz w:val="18"/>
          <w:szCs w:val="18"/>
          <w:b w:val="1"/>
          <w:bCs w:val="1"/>
          <w:color w:val="auto"/>
        </w:rPr>
        <w:t xml:space="preserve"> </w:t>
      </w:r>
      <w:r>
        <w:rPr>
          <w:rFonts w:ascii="Arial" w:cs="Arial" w:eastAsia="Arial" w:hAnsi="Arial"/>
          <w:sz w:val="18"/>
          <w:szCs w:val="18"/>
          <w:color w:val="auto"/>
        </w:rPr>
        <w:t>income at the time of the grant. Rather they recognize ordinary income, and subject to IRC Section 162(m), the Company receives a corresponding tax deduction, in an amount equal to the fair market value of the units when the award vests and is converted into Common Stock or paid in cash. Certain employees who receive PSUs or RSUs may defer the conversion of the PSUs or RSUs beyond the award vesting date.</w:t>
      </w:r>
    </w:p>
    <w:p>
      <w:pPr>
        <w:spacing w:after="0" w:line="14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Non-qualified Stock Options. </w:t>
      </w:r>
      <w:r>
        <w:rPr>
          <w:rFonts w:ascii="Arial" w:cs="Arial" w:eastAsia="Arial" w:hAnsi="Arial"/>
          <w:sz w:val="18"/>
          <w:szCs w:val="18"/>
          <w:color w:val="auto"/>
        </w:rPr>
        <w:t>An employee will not recognize income and the Company will not be entitled to a</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 upon receipt of a NSO award. Ordinary income will be realized by the employee, and subject to IRC Section 162(m), a tax deduction will be recognized by the Company at the time the Non-qualified Stock Option is exercised and the shares are transferred to the employee. The amount of such taxable income and deduction upon the exercise of an Option, is the difference between the exercise or option price and the fair market value of the shares on the date of exercise.</w:t>
      </w:r>
    </w:p>
    <w:p>
      <w:pPr>
        <w:spacing w:after="0" w:line="1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Incentive Stock Options. </w:t>
      </w:r>
      <w:r>
        <w:rPr>
          <w:rFonts w:ascii="Arial" w:cs="Arial" w:eastAsia="Arial" w:hAnsi="Arial"/>
          <w:sz w:val="18"/>
          <w:szCs w:val="18"/>
          <w:color w:val="auto"/>
        </w:rPr>
        <w:t>ISOs will not result in taxable income to the employee, nor a taxable deduction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However, the difference between the fair market value of the stock on the date of grant and the option exercise price is a tax preference item that may subject the employee to the alternative minimum tax. If the employee holds the ISO shares for two years from the date the option was granted and for one year after the shares were transferred to him upon the exercise of the option, the employee will recognize long-term capital gain on the portion of the gain on the sale of the shares equal to the difference between the sales price and the option exercise price and the Company will not be entitled to a deduction either at the time the employee exercises the ISO or subsequently sells the ISO shares. If the employee sells the ISO shares within two years after the date the ISO is granted or within one year after the date the ISO is exercised, then the sale is considered a disqualifying disposition, and the difference between the grant price and the exercise price will be taxed as ordinary income. The balance of the gain will be treated as long-or short-term capital gain depending on the length of time the employee held the stock. If the shares decline in value after the date of exercise, the compensation income will be limited to the difference between the sale price and the amount paid for the shares. The tax will be imposed in the year the disqualifying disposition is made. Subject to IRC Section 162(m), the Company will be entitled to a deduction equal to the ordinary income recognized by the employee.</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 respect to both NSOs and ISOs, special rules apply if an employee uses shares already held by the employee to pay the exercise price or if the shares received upon exercise of the option are subject to a substantial risk of forfeiture by the employee.</w:t>
      </w:r>
    </w:p>
    <w:p>
      <w:pPr>
        <w:spacing w:after="0" w:line="14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color w:val="auto"/>
        </w:rPr>
        <w:t xml:space="preserve">Stock Appreciation Rights. </w:t>
      </w:r>
      <w:r>
        <w:rPr>
          <w:rFonts w:ascii="Arial" w:cs="Arial" w:eastAsia="Arial" w:hAnsi="Arial"/>
          <w:sz w:val="18"/>
          <w:szCs w:val="18"/>
          <w:color w:val="auto"/>
        </w:rPr>
        <w:t>An employee will recognize taxable income upon the exercise of a SAR in the amount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aggregate cash received. In either case, subject to IRC Section 162(m) the Company will be entitled to an income tax deduction in the amount of such income recognized by the employee.</w:t>
      </w:r>
    </w:p>
    <w:p>
      <w:pPr>
        <w:spacing w:after="0" w:line="12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Employees receiving restricted stock will not recognize any income upon receipt of the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Ordinary income will be realized by the holder at the time that the restrictions on transfer are removed or have expired and the stock vests. The amount of ordinary income will be equal to the fair market value of the shares on the date that the restrictions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PROPOSAL 6: APPROVAL OF THE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transfer are removed or have expired. Subject to IRC Section 162(m), the Company will be entitled to a deduction at the same time and in the same amount as the ordinary income the employee realizes. An employee may elect to recognize taxable ordinary income in an amount equal to the fair market value of the shares at the time the award is received if the employee makes an election no later than 30 days after an employee receives the restricted stock. If a timely election is made, the employee will not recognize any additional income when the restrictions on the shares lapse. If the employee forfeits the shares to the Company, the employee may not claim a deduction with respect to the income recognized as a result of the election.</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Generally, when an employee disposes of shares acquired under the 2024 Plan, the difference between the sales price and his or her basis in such shares will be treated as long-term or short-term capital gain or loss depending upon the holding period for the shares.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Registration with the SEC</w:t>
      </w:r>
    </w:p>
    <w:p>
      <w:pPr>
        <w:spacing w:after="0" w:line="18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If the Pitney Bowes Inc. 2024 Stock Plan is approved by stockholders, the Company will file a Registration Statement on Form S-8 with the SEC with respect to the shares of Pitney Bowes Common Stock to be registered pursuant to the Pitney Bowes Inc. 2024 Stock Plan, as soon as reasonably practicable following stockholder approval.</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Tax Treatment of Awards to Employees Outside the United States</w:t>
      </w:r>
    </w:p>
    <w:p>
      <w:pPr>
        <w:spacing w:after="0" w:line="18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grant and exercise of options and awards under the 2024 Plan to employees outside the United States may be taxed on a different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58293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Vote Required; 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Approval of the Pitney Bowes Inc. 2024 Stock Plan requires the affirmative vote of a majority of the votes cast. Broker non-votes and abstentions are not considered votes cast and therefore will not be counted either for or against this proposal.</w:t>
      </w:r>
    </w:p>
    <w:p>
      <w:pPr>
        <w:spacing w:after="0" w:line="12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The Board of Directors unanimously recommends that stockholders vote FOR the proposal to approve the Pitney Bowes Inc. 2024 Stock Plan.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128905</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49" w:name="page50"/>
    <w:bookmarkEnd w:id="4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PROPOSAL 6: APPROVAL OF THE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2" w:lineRule="exact"/>
        <w:rPr>
          <w:sz w:val="20"/>
          <w:szCs w:val="20"/>
          <w:color w:val="auto"/>
        </w:rPr>
      </w:pPr>
    </w:p>
    <w:p>
      <w:pPr>
        <w:ind w:left="6"/>
        <w:spacing w:after="0"/>
        <w:rPr>
          <w:sz w:val="20"/>
          <w:szCs w:val="20"/>
          <w:color w:val="auto"/>
        </w:rPr>
      </w:pPr>
      <w:r>
        <w:rPr>
          <w:rFonts w:ascii="Arial" w:cs="Arial" w:eastAsia="Arial" w:hAnsi="Arial"/>
          <w:sz w:val="32"/>
          <w:szCs w:val="32"/>
          <w:b w:val="1"/>
          <w:bCs w:val="1"/>
          <w:color w:val="4B5A89"/>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58293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8" w:lineRule="exact"/>
        <w:rPr>
          <w:sz w:val="20"/>
          <w:szCs w:val="20"/>
          <w:color w:val="auto"/>
        </w:rPr>
      </w:pPr>
    </w:p>
    <w:p>
      <w:pPr>
        <w:ind w:left="6" w:right="20"/>
        <w:spacing w:after="0" w:line="271" w:lineRule="auto"/>
        <w:rPr>
          <w:sz w:val="20"/>
          <w:szCs w:val="20"/>
          <w:color w:val="auto"/>
        </w:rPr>
      </w:pPr>
      <w:r>
        <w:rPr>
          <w:rFonts w:ascii="Arial" w:cs="Arial" w:eastAsia="Arial" w:hAnsi="Arial"/>
          <w:sz w:val="18"/>
          <w:szCs w:val="18"/>
          <w:color w:val="auto"/>
        </w:rPr>
        <w:t>The following table provides information as of December 31, 2023 regarding the number of shares of Common Stock that may be issued under our equity compensation plans.</w:t>
      </w:r>
    </w:p>
    <w:p>
      <w:pPr>
        <w:spacing w:after="0" w:line="96"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r>
      <w:tr>
        <w:trPr>
          <w:trHeight w:val="162"/>
        </w:trPr>
        <w:tc>
          <w:tcPr>
            <w:tcW w:w="3180" w:type="dxa"/>
            <w:vAlign w:val="bottom"/>
          </w:tcPr>
          <w:p>
            <w:pPr>
              <w:spacing w:after="0"/>
              <w:rPr>
                <w:sz w:val="14"/>
                <w:szCs w:val="14"/>
                <w:color w:val="auto"/>
              </w:rPr>
            </w:pPr>
          </w:p>
        </w:tc>
        <w:tc>
          <w:tcPr>
            <w:tcW w:w="1860" w:type="dxa"/>
            <w:vAlign w:val="bottom"/>
          </w:tcPr>
          <w:p>
            <w:pPr>
              <w:jc w:val="center"/>
              <w:ind w:left="45"/>
              <w:spacing w:after="0"/>
              <w:rPr>
                <w:sz w:val="20"/>
                <w:szCs w:val="20"/>
                <w:color w:val="auto"/>
              </w:rPr>
            </w:pPr>
            <w:r>
              <w:rPr>
                <w:rFonts w:ascii="Arial" w:cs="Arial" w:eastAsia="Arial" w:hAnsi="Arial"/>
                <w:sz w:val="14"/>
                <w:szCs w:val="14"/>
                <w:b w:val="1"/>
                <w:bCs w:val="1"/>
                <w:color w:val="auto"/>
              </w:rPr>
              <w:t>(a)</w:t>
            </w:r>
          </w:p>
        </w:tc>
        <w:tc>
          <w:tcPr>
            <w:tcW w:w="19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3180" w:type="dxa"/>
            <w:vAlign w:val="bottom"/>
          </w:tcPr>
          <w:p>
            <w:pPr>
              <w:spacing w:after="0"/>
              <w:rPr>
                <w:sz w:val="14"/>
                <w:szCs w:val="14"/>
                <w:color w:val="auto"/>
              </w:rPr>
            </w:pPr>
          </w:p>
        </w:tc>
        <w:tc>
          <w:tcPr>
            <w:tcW w:w="1860" w:type="dxa"/>
            <w:vAlign w:val="bottom"/>
          </w:tcPr>
          <w:p>
            <w:pPr>
              <w:jc w:val="center"/>
              <w:ind w:left="25"/>
              <w:spacing w:after="0"/>
              <w:rPr>
                <w:sz w:val="20"/>
                <w:szCs w:val="20"/>
                <w:color w:val="auto"/>
              </w:rPr>
            </w:pPr>
            <w:r>
              <w:rPr>
                <w:rFonts w:ascii="Arial" w:cs="Arial" w:eastAsia="Arial" w:hAnsi="Arial"/>
                <w:sz w:val="14"/>
                <w:szCs w:val="14"/>
                <w:b w:val="1"/>
                <w:bCs w:val="1"/>
                <w:color w:val="auto"/>
              </w:rPr>
              <w:t>Number of securities to</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remaining available for</w:t>
            </w:r>
          </w:p>
        </w:tc>
      </w:tr>
      <w:tr>
        <w:trPr>
          <w:trHeight w:val="162"/>
        </w:trPr>
        <w:tc>
          <w:tcPr>
            <w:tcW w:w="3180" w:type="dxa"/>
            <w:vAlign w:val="bottom"/>
          </w:tcPr>
          <w:p>
            <w:pPr>
              <w:spacing w:after="0"/>
              <w:rPr>
                <w:sz w:val="14"/>
                <w:szCs w:val="14"/>
                <w:color w:val="auto"/>
              </w:rPr>
            </w:pPr>
          </w:p>
        </w:tc>
        <w:tc>
          <w:tcPr>
            <w:tcW w:w="1860" w:type="dxa"/>
            <w:vAlign w:val="bottom"/>
          </w:tcPr>
          <w:p>
            <w:pPr>
              <w:jc w:val="center"/>
              <w:ind w:left="25"/>
              <w:spacing w:after="0"/>
              <w:rPr>
                <w:sz w:val="20"/>
                <w:szCs w:val="20"/>
                <w:color w:val="auto"/>
              </w:rPr>
            </w:pPr>
            <w:r>
              <w:rPr>
                <w:rFonts w:ascii="Arial" w:cs="Arial" w:eastAsia="Arial" w:hAnsi="Arial"/>
                <w:sz w:val="14"/>
                <w:szCs w:val="14"/>
                <w:b w:val="1"/>
                <w:bCs w:val="1"/>
                <w:color w:val="auto"/>
                <w:w w:val="97"/>
              </w:rPr>
              <w:t>be</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Weighted-average exercise</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future issuance under equity</w:t>
            </w:r>
          </w:p>
        </w:tc>
      </w:tr>
      <w:tr>
        <w:trPr>
          <w:trHeight w:val="162"/>
        </w:trPr>
        <w:tc>
          <w:tcPr>
            <w:tcW w:w="3180" w:type="dxa"/>
            <w:vAlign w:val="bottom"/>
          </w:tcPr>
          <w:p>
            <w:pPr>
              <w:spacing w:after="0"/>
              <w:rPr>
                <w:sz w:val="14"/>
                <w:szCs w:val="14"/>
                <w:color w:val="auto"/>
              </w:rPr>
            </w:pPr>
          </w:p>
        </w:tc>
        <w:tc>
          <w:tcPr>
            <w:tcW w:w="1860" w:type="dxa"/>
            <w:vAlign w:val="bottom"/>
          </w:tcPr>
          <w:p>
            <w:pPr>
              <w:jc w:val="center"/>
              <w:ind w:left="25"/>
              <w:spacing w:after="0"/>
              <w:rPr>
                <w:sz w:val="20"/>
                <w:szCs w:val="20"/>
                <w:color w:val="auto"/>
              </w:rPr>
            </w:pPr>
            <w:r>
              <w:rPr>
                <w:rFonts w:ascii="Arial" w:cs="Arial" w:eastAsia="Arial" w:hAnsi="Arial"/>
                <w:sz w:val="14"/>
                <w:szCs w:val="14"/>
                <w:b w:val="1"/>
                <w:bCs w:val="1"/>
                <w:color w:val="auto"/>
              </w:rPr>
              <w:t>issued upon exercise of</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price of outstanding</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compensation plans excluding</w:t>
            </w:r>
          </w:p>
        </w:tc>
      </w:tr>
      <w:tr>
        <w:trPr>
          <w:trHeight w:val="162"/>
        </w:trPr>
        <w:tc>
          <w:tcPr>
            <w:tcW w:w="3180" w:type="dxa"/>
            <w:vAlign w:val="bottom"/>
          </w:tcPr>
          <w:p>
            <w:pPr>
              <w:spacing w:after="0"/>
              <w:rPr>
                <w:sz w:val="14"/>
                <w:szCs w:val="14"/>
                <w:color w:val="auto"/>
              </w:rPr>
            </w:pPr>
          </w:p>
        </w:tc>
        <w:tc>
          <w:tcPr>
            <w:tcW w:w="1860" w:type="dxa"/>
            <w:vAlign w:val="bottom"/>
          </w:tcPr>
          <w:p>
            <w:pPr>
              <w:jc w:val="center"/>
              <w:ind w:left="45"/>
              <w:spacing w:after="0"/>
              <w:rPr>
                <w:sz w:val="20"/>
                <w:szCs w:val="20"/>
                <w:color w:val="auto"/>
              </w:rPr>
            </w:pPr>
            <w:r>
              <w:rPr>
                <w:rFonts w:ascii="Arial" w:cs="Arial" w:eastAsia="Arial" w:hAnsi="Arial"/>
                <w:sz w:val="14"/>
                <w:szCs w:val="14"/>
                <w:b w:val="1"/>
                <w:bCs w:val="1"/>
                <w:color w:val="auto"/>
              </w:rPr>
              <w:t>outstanding options,</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securities reflected in column</w:t>
            </w:r>
          </w:p>
        </w:tc>
      </w:tr>
      <w:tr>
        <w:trPr>
          <w:trHeight w:val="196"/>
        </w:trPr>
        <w:tc>
          <w:tcPr>
            <w:tcW w:w="318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1860" w:type="dxa"/>
            <w:vAlign w:val="bottom"/>
          </w:tcPr>
          <w:p>
            <w:pPr>
              <w:jc w:val="center"/>
              <w:ind w:left="45"/>
              <w:spacing w:after="0"/>
              <w:rPr>
                <w:sz w:val="20"/>
                <w:szCs w:val="20"/>
                <w:color w:val="auto"/>
              </w:rPr>
            </w:pPr>
            <w:r>
              <w:rPr>
                <w:rFonts w:ascii="Arial" w:cs="Arial" w:eastAsia="Arial" w:hAnsi="Arial"/>
                <w:sz w:val="14"/>
                <w:szCs w:val="14"/>
                <w:b w:val="1"/>
                <w:bCs w:val="1"/>
                <w:color w:val="auto"/>
              </w:rPr>
              <w:t>warrants and rights</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r>
      <w:tr>
        <w:trPr>
          <w:trHeight w:val="56"/>
        </w:trPr>
        <w:tc>
          <w:tcPr>
            <w:tcW w:w="3180" w:type="dxa"/>
            <w:vAlign w:val="bottom"/>
            <w:tcBorders>
              <w:bottom w:val="single" w:sz="8" w:color="0072AF"/>
            </w:tcBorders>
          </w:tcPr>
          <w:p>
            <w:pPr>
              <w:spacing w:after="0"/>
              <w:rPr>
                <w:sz w:val="4"/>
                <w:szCs w:val="4"/>
                <w:color w:val="auto"/>
              </w:rPr>
            </w:pPr>
          </w:p>
        </w:tc>
        <w:tc>
          <w:tcPr>
            <w:tcW w:w="1860" w:type="dxa"/>
            <w:vAlign w:val="bottom"/>
            <w:tcBorders>
              <w:bottom w:val="single" w:sz="8" w:color="0072AF"/>
            </w:tcBorders>
          </w:tcPr>
          <w:p>
            <w:pPr>
              <w:spacing w:after="0"/>
              <w:rPr>
                <w:sz w:val="4"/>
                <w:szCs w:val="4"/>
                <w:color w:val="auto"/>
              </w:rPr>
            </w:pPr>
          </w:p>
        </w:tc>
        <w:tc>
          <w:tcPr>
            <w:tcW w:w="1980" w:type="dxa"/>
            <w:vAlign w:val="bottom"/>
            <w:tcBorders>
              <w:bottom w:val="single" w:sz="8" w:color="0072AF"/>
            </w:tcBorders>
          </w:tcPr>
          <w:p>
            <w:pPr>
              <w:spacing w:after="0"/>
              <w:rPr>
                <w:sz w:val="4"/>
                <w:szCs w:val="4"/>
                <w:color w:val="auto"/>
              </w:rPr>
            </w:pPr>
          </w:p>
        </w:tc>
        <w:tc>
          <w:tcPr>
            <w:tcW w:w="2160" w:type="dxa"/>
            <w:vAlign w:val="bottom"/>
            <w:tcBorders>
              <w:bottom w:val="single" w:sz="8" w:color="0072AF"/>
            </w:tcBorders>
          </w:tcPr>
          <w:p>
            <w:pPr>
              <w:spacing w:after="0"/>
              <w:rPr>
                <w:sz w:val="4"/>
                <w:szCs w:val="4"/>
                <w:color w:val="auto"/>
              </w:rPr>
            </w:pPr>
          </w:p>
        </w:tc>
      </w:tr>
      <w:tr>
        <w:trPr>
          <w:trHeight w:val="249"/>
        </w:trPr>
        <w:tc>
          <w:tcPr>
            <w:tcW w:w="3180" w:type="dxa"/>
            <w:vAlign w:val="bottom"/>
            <w:shd w:val="clear" w:color="auto" w:fill="CBCEE0"/>
          </w:tcPr>
          <w:p>
            <w:pPr>
              <w:ind w:left="100"/>
              <w:spacing w:after="0"/>
              <w:rPr>
                <w:sz w:val="20"/>
                <w:szCs w:val="20"/>
                <w:color w:val="auto"/>
              </w:rPr>
            </w:pPr>
            <w:r>
              <w:rPr>
                <w:rFonts w:ascii="Arial" w:cs="Arial" w:eastAsia="Arial" w:hAnsi="Arial"/>
                <w:sz w:val="16"/>
                <w:szCs w:val="16"/>
                <w:color w:val="auto"/>
              </w:rPr>
              <w:t>Equity compensation plans approved by</w:t>
            </w:r>
          </w:p>
        </w:tc>
        <w:tc>
          <w:tcPr>
            <w:tcW w:w="1860" w:type="dxa"/>
            <w:vAlign w:val="bottom"/>
            <w:shd w:val="clear" w:color="auto" w:fill="CBCEE0"/>
          </w:tcPr>
          <w:p>
            <w:pPr>
              <w:spacing w:after="0"/>
              <w:rPr>
                <w:sz w:val="21"/>
                <w:szCs w:val="21"/>
                <w:color w:val="auto"/>
              </w:rPr>
            </w:pPr>
          </w:p>
        </w:tc>
        <w:tc>
          <w:tcPr>
            <w:tcW w:w="1980" w:type="dxa"/>
            <w:vAlign w:val="bottom"/>
            <w:shd w:val="clear" w:color="auto" w:fill="CBCEE0"/>
          </w:tcPr>
          <w:p>
            <w:pPr>
              <w:spacing w:after="0"/>
              <w:rPr>
                <w:sz w:val="21"/>
                <w:szCs w:val="21"/>
                <w:color w:val="auto"/>
              </w:rPr>
            </w:pPr>
          </w:p>
        </w:tc>
        <w:tc>
          <w:tcPr>
            <w:tcW w:w="2160" w:type="dxa"/>
            <w:vAlign w:val="bottom"/>
            <w:shd w:val="clear" w:color="auto" w:fill="CBCEE0"/>
          </w:tcPr>
          <w:p>
            <w:pPr>
              <w:spacing w:after="0"/>
              <w:rPr>
                <w:sz w:val="21"/>
                <w:szCs w:val="21"/>
                <w:color w:val="auto"/>
              </w:rPr>
            </w:pPr>
          </w:p>
        </w:tc>
      </w:tr>
      <w:tr>
        <w:trPr>
          <w:trHeight w:val="251"/>
        </w:trPr>
        <w:tc>
          <w:tcPr>
            <w:tcW w:w="3180" w:type="dxa"/>
            <w:vAlign w:val="bottom"/>
            <w:tcBorders>
              <w:bottom w:val="single" w:sz="8" w:color="CBCEE0"/>
            </w:tcBorders>
            <w:shd w:val="clear" w:color="auto" w:fill="CBCEE0"/>
          </w:tcPr>
          <w:p>
            <w:pPr>
              <w:ind w:left="280"/>
              <w:spacing w:after="0"/>
              <w:rPr>
                <w:sz w:val="20"/>
                <w:szCs w:val="20"/>
                <w:color w:val="auto"/>
              </w:rPr>
            </w:pPr>
            <w:r>
              <w:rPr>
                <w:rFonts w:ascii="Arial" w:cs="Arial" w:eastAsia="Arial" w:hAnsi="Arial"/>
                <w:sz w:val="16"/>
                <w:szCs w:val="16"/>
                <w:color w:val="auto"/>
              </w:rPr>
              <w:t>security holders</w:t>
            </w:r>
          </w:p>
        </w:tc>
        <w:tc>
          <w:tcPr>
            <w:tcW w:w="1860" w:type="dxa"/>
            <w:vAlign w:val="bottom"/>
            <w:tcBorders>
              <w:bottom w:val="single" w:sz="8" w:color="CBCEE0"/>
            </w:tcBorders>
            <w:shd w:val="clear" w:color="auto" w:fill="CBCEE0"/>
          </w:tcPr>
          <w:p>
            <w:pPr>
              <w:jc w:val="center"/>
              <w:ind w:left="65"/>
              <w:spacing w:after="0"/>
              <w:rPr>
                <w:sz w:val="20"/>
                <w:szCs w:val="20"/>
                <w:color w:val="auto"/>
              </w:rPr>
            </w:pPr>
            <w:r>
              <w:rPr>
                <w:rFonts w:ascii="Arial" w:cs="Arial" w:eastAsia="Arial" w:hAnsi="Arial"/>
                <w:sz w:val="16"/>
                <w:szCs w:val="16"/>
                <w:color w:val="auto"/>
                <w:w w:val="99"/>
              </w:rPr>
              <w:t>15,488,458</w:t>
            </w:r>
          </w:p>
        </w:tc>
        <w:tc>
          <w:tcPr>
            <w:tcW w:w="1980" w:type="dxa"/>
            <w:vAlign w:val="bottom"/>
            <w:tcBorders>
              <w:bottom w:val="single" w:sz="8" w:color="CBCEE0"/>
            </w:tcBorders>
            <w:shd w:val="clear" w:color="auto" w:fill="CBCEE0"/>
          </w:tcPr>
          <w:p>
            <w:pPr>
              <w:jc w:val="right"/>
              <w:ind w:right="765"/>
              <w:spacing w:after="0"/>
              <w:rPr>
                <w:sz w:val="20"/>
                <w:szCs w:val="20"/>
                <w:color w:val="auto"/>
              </w:rPr>
            </w:pPr>
            <w:r>
              <w:rPr>
                <w:rFonts w:ascii="Arial" w:cs="Arial" w:eastAsia="Arial" w:hAnsi="Arial"/>
                <w:sz w:val="16"/>
                <w:szCs w:val="16"/>
                <w:color w:val="auto"/>
              </w:rPr>
              <w:t>$9.50</w:t>
            </w:r>
          </w:p>
        </w:tc>
        <w:tc>
          <w:tcPr>
            <w:tcW w:w="216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6"/>
                <w:szCs w:val="16"/>
                <w:color w:val="auto"/>
              </w:rPr>
              <w:t>15,950,013</w:t>
            </w:r>
          </w:p>
        </w:tc>
      </w:tr>
      <w:tr>
        <w:trPr>
          <w:trHeight w:val="242"/>
        </w:trPr>
        <w:tc>
          <w:tcPr>
            <w:tcW w:w="3180" w:type="dxa"/>
            <w:vAlign w:val="bottom"/>
          </w:tcPr>
          <w:p>
            <w:pPr>
              <w:ind w:left="100"/>
              <w:spacing w:after="0"/>
              <w:rPr>
                <w:sz w:val="20"/>
                <w:szCs w:val="20"/>
                <w:color w:val="auto"/>
              </w:rPr>
            </w:pPr>
            <w:r>
              <w:rPr>
                <w:rFonts w:ascii="Arial" w:cs="Arial" w:eastAsia="Arial" w:hAnsi="Arial"/>
                <w:sz w:val="16"/>
                <w:szCs w:val="16"/>
                <w:color w:val="auto"/>
              </w:rPr>
              <w:t>Equity compensation plans not approved</w:t>
            </w:r>
          </w:p>
        </w:tc>
        <w:tc>
          <w:tcPr>
            <w:tcW w:w="18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15"/>
        </w:trPr>
        <w:tc>
          <w:tcPr>
            <w:tcW w:w="3180" w:type="dxa"/>
            <w:vAlign w:val="bottom"/>
          </w:tcPr>
          <w:p>
            <w:pPr>
              <w:ind w:left="280"/>
              <w:spacing w:after="0"/>
              <w:rPr>
                <w:sz w:val="20"/>
                <w:szCs w:val="20"/>
                <w:color w:val="auto"/>
              </w:rPr>
            </w:pPr>
            <w:r>
              <w:rPr>
                <w:rFonts w:ascii="Arial" w:cs="Arial" w:eastAsia="Arial" w:hAnsi="Arial"/>
                <w:sz w:val="16"/>
                <w:szCs w:val="16"/>
                <w:color w:val="auto"/>
              </w:rPr>
              <w:t>by security holders</w:t>
            </w:r>
          </w:p>
        </w:tc>
        <w:tc>
          <w:tcPr>
            <w:tcW w:w="1860" w:type="dxa"/>
            <w:vAlign w:val="bottom"/>
          </w:tcPr>
          <w:p>
            <w:pPr>
              <w:ind w:left="1200"/>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785"/>
              <w:spacing w:after="0"/>
              <w:rPr>
                <w:sz w:val="20"/>
                <w:szCs w:val="20"/>
                <w:color w:val="auto"/>
              </w:rPr>
            </w:pPr>
            <w:r>
              <w:rPr>
                <w:rFonts w:ascii="Arial" w:cs="Arial" w:eastAsia="Arial" w:hAnsi="Arial"/>
                <w:sz w:val="16"/>
                <w:szCs w:val="16"/>
                <w:color w:val="auto"/>
              </w:rPr>
              <w:t>—</w:t>
            </w:r>
          </w:p>
        </w:tc>
        <w:tc>
          <w:tcPr>
            <w:tcW w:w="2160" w:type="dxa"/>
            <w:vAlign w:val="bottom"/>
          </w:tcPr>
          <w:p>
            <w:pPr>
              <w:ind w:left="1300"/>
              <w:spacing w:after="0"/>
              <w:rPr>
                <w:sz w:val="20"/>
                <w:szCs w:val="20"/>
                <w:color w:val="auto"/>
              </w:rPr>
            </w:pPr>
            <w:r>
              <w:rPr>
                <w:rFonts w:ascii="Arial" w:cs="Arial" w:eastAsia="Arial" w:hAnsi="Arial"/>
                <w:sz w:val="16"/>
                <w:szCs w:val="16"/>
                <w:color w:val="auto"/>
              </w:rPr>
              <w:t>—</w:t>
            </w:r>
          </w:p>
        </w:tc>
      </w:tr>
      <w:tr>
        <w:trPr>
          <w:trHeight w:val="56"/>
        </w:trPr>
        <w:tc>
          <w:tcPr>
            <w:tcW w:w="31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160" w:type="dxa"/>
            <w:vAlign w:val="bottom"/>
          </w:tcPr>
          <w:p>
            <w:pPr>
              <w:spacing w:after="0"/>
              <w:rPr>
                <w:sz w:val="4"/>
                <w:szCs w:val="4"/>
                <w:color w:val="auto"/>
              </w:rPr>
            </w:pPr>
          </w:p>
        </w:tc>
      </w:tr>
      <w:tr>
        <w:trPr>
          <w:trHeight w:val="378"/>
        </w:trPr>
        <w:tc>
          <w:tcPr>
            <w:tcW w:w="3180" w:type="dxa"/>
            <w:vAlign w:val="bottom"/>
            <w:shd w:val="clear" w:color="auto" w:fill="CBCEE0"/>
          </w:tcPr>
          <w:p>
            <w:pPr>
              <w:ind w:left="100"/>
              <w:spacing w:after="0"/>
              <w:rPr>
                <w:sz w:val="20"/>
                <w:szCs w:val="20"/>
                <w:color w:val="auto"/>
              </w:rPr>
            </w:pPr>
            <w:r>
              <w:rPr>
                <w:rFonts w:ascii="Arial" w:cs="Arial" w:eastAsia="Arial" w:hAnsi="Arial"/>
                <w:sz w:val="16"/>
                <w:szCs w:val="16"/>
                <w:color w:val="auto"/>
              </w:rPr>
              <w:t>Total</w:t>
            </w:r>
          </w:p>
        </w:tc>
        <w:tc>
          <w:tcPr>
            <w:tcW w:w="1860" w:type="dxa"/>
            <w:vAlign w:val="bottom"/>
            <w:shd w:val="clear" w:color="auto" w:fill="CBCEE0"/>
          </w:tcPr>
          <w:p>
            <w:pPr>
              <w:jc w:val="center"/>
              <w:ind w:left="45"/>
              <w:spacing w:after="0"/>
              <w:rPr>
                <w:sz w:val="20"/>
                <w:szCs w:val="20"/>
                <w:color w:val="auto"/>
              </w:rPr>
            </w:pPr>
            <w:r>
              <w:rPr>
                <w:rFonts w:ascii="Arial" w:cs="Arial" w:eastAsia="Arial" w:hAnsi="Arial"/>
                <w:sz w:val="16"/>
                <w:szCs w:val="16"/>
                <w:color w:val="auto"/>
                <w:w w:val="96"/>
              </w:rPr>
              <w:t>15,488,458</w:t>
            </w:r>
            <w:r>
              <w:rPr>
                <w:rFonts w:ascii="Arial" w:cs="Arial" w:eastAsia="Arial" w:hAnsi="Arial"/>
                <w:sz w:val="26"/>
                <w:szCs w:val="26"/>
                <w:color w:val="auto"/>
                <w:w w:val="96"/>
                <w:vertAlign w:val="superscript"/>
              </w:rPr>
              <w:t>(1)</w:t>
            </w:r>
          </w:p>
        </w:tc>
        <w:tc>
          <w:tcPr>
            <w:tcW w:w="1980" w:type="dxa"/>
            <w:vAlign w:val="bottom"/>
            <w:shd w:val="clear" w:color="auto" w:fill="CBCEE0"/>
          </w:tcPr>
          <w:p>
            <w:pPr>
              <w:jc w:val="right"/>
              <w:ind w:right="765"/>
              <w:spacing w:after="0"/>
              <w:rPr>
                <w:sz w:val="20"/>
                <w:szCs w:val="20"/>
                <w:color w:val="auto"/>
              </w:rPr>
            </w:pPr>
            <w:r>
              <w:rPr>
                <w:rFonts w:ascii="Arial" w:cs="Arial" w:eastAsia="Arial" w:hAnsi="Arial"/>
                <w:sz w:val="16"/>
                <w:szCs w:val="16"/>
                <w:color w:val="auto"/>
              </w:rPr>
              <w:t>$9.50</w:t>
            </w:r>
          </w:p>
        </w:tc>
        <w:tc>
          <w:tcPr>
            <w:tcW w:w="2160" w:type="dxa"/>
            <w:vAlign w:val="bottom"/>
            <w:shd w:val="clear" w:color="auto" w:fill="CBCEE0"/>
          </w:tcPr>
          <w:p>
            <w:pPr>
              <w:jc w:val="center"/>
              <w:spacing w:after="0"/>
              <w:rPr>
                <w:sz w:val="20"/>
                <w:szCs w:val="20"/>
                <w:color w:val="auto"/>
              </w:rPr>
            </w:pPr>
            <w:r>
              <w:rPr>
                <w:rFonts w:ascii="Arial" w:cs="Arial" w:eastAsia="Arial" w:hAnsi="Arial"/>
                <w:sz w:val="16"/>
                <w:szCs w:val="16"/>
                <w:color w:val="auto"/>
                <w:w w:val="96"/>
              </w:rPr>
              <w:t>15,950,013</w:t>
            </w:r>
            <w:r>
              <w:rPr>
                <w:rFonts w:ascii="Arial" w:cs="Arial" w:eastAsia="Arial" w:hAnsi="Arial"/>
                <w:sz w:val="26"/>
                <w:szCs w:val="26"/>
                <w:color w:val="auto"/>
                <w:w w:val="96"/>
                <w:vertAlign w:val="superscript"/>
              </w:rPr>
              <w:t>(2)</w:t>
            </w:r>
          </w:p>
        </w:tc>
      </w:tr>
    </w:tbl>
    <w:p>
      <w:pPr>
        <w:spacing w:after="0" w:line="153" w:lineRule="exact"/>
        <w:rPr>
          <w:sz w:val="20"/>
          <w:szCs w:val="20"/>
          <w:color w:val="auto"/>
        </w:rPr>
      </w:pPr>
    </w:p>
    <w:p>
      <w:pPr>
        <w:ind w:left="346" w:right="20" w:hanging="346"/>
        <w:spacing w:after="0" w:line="281" w:lineRule="auto"/>
        <w:tabs>
          <w:tab w:leader="none" w:pos="346"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9,151,645 shares issuable pursuant to outstanding stock options. It also includes 5,525,193 shares issuable pursuant to outstanding RSUs, and 811,620 shares issuable pursuant to outstanding PSUs.</w:t>
      </w:r>
    </w:p>
    <w:p>
      <w:pPr>
        <w:spacing w:after="0" w:line="1" w:lineRule="exact"/>
        <w:rPr>
          <w:rFonts w:ascii="Arial" w:cs="Arial" w:eastAsia="Arial" w:hAnsi="Arial"/>
          <w:sz w:val="14"/>
          <w:szCs w:val="14"/>
          <w:color w:val="auto"/>
        </w:rPr>
      </w:pPr>
    </w:p>
    <w:p>
      <w:pPr>
        <w:ind w:left="346" w:hanging="346"/>
        <w:spacing w:after="0"/>
        <w:tabs>
          <w:tab w:leader="none" w:pos="346"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These securities are available in our reserve for awards made under the Amended and Restated 2018 Stock Plan.</w:t>
      </w:r>
    </w:p>
    <w:p>
      <w:pPr>
        <w:spacing w:after="0" w:line="207"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128905</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REPORT OF THE EXECUTIVE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32"/>
          <w:szCs w:val="32"/>
          <w:b w:val="1"/>
          <w:bCs w:val="1"/>
          <w:color w:val="4B5A89"/>
        </w:rPr>
        <w:t>Report of the Executive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5829300" cy="17913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829300" cy="1791335"/>
                    </a:xfrm>
                    <a:prstGeom prst="rect">
                      <a:avLst/>
                    </a:prstGeom>
                    <a:noFill/>
                  </pic:spPr>
                </pic:pic>
              </a:graphicData>
            </a:graphic>
          </wp:anchor>
        </w:drawing>
      </w:r>
    </w:p>
    <w:p>
      <w:pPr>
        <w:spacing w:after="0" w:line="339" w:lineRule="exact"/>
        <w:rPr>
          <w:sz w:val="20"/>
          <w:szCs w:val="20"/>
          <w:color w:val="auto"/>
        </w:rPr>
      </w:pPr>
    </w:p>
    <w:p>
      <w:pPr>
        <w:ind w:left="180" w:right="199"/>
        <w:spacing w:after="0" w:line="259" w:lineRule="auto"/>
        <w:rPr>
          <w:sz w:val="20"/>
          <w:szCs w:val="20"/>
          <w:color w:val="auto"/>
        </w:rPr>
      </w:pPr>
      <w:r>
        <w:rPr>
          <w:rFonts w:ascii="Arial" w:cs="Arial" w:eastAsia="Arial" w:hAnsi="Arial"/>
          <w:sz w:val="17"/>
          <w:szCs w:val="17"/>
          <w:color w:val="auto"/>
        </w:rPr>
        <w:t xml:space="preserve">The Executive Compensation Committee (Committee) of the Board (1) has reviewed and discussed with management the section beginning on page </w:t>
      </w:r>
      <w:r>
        <w:rPr>
          <w:rFonts w:ascii="Arial" w:cs="Arial" w:eastAsia="Arial" w:hAnsi="Arial"/>
          <w:sz w:val="17"/>
          <w:szCs w:val="17"/>
          <w:u w:val="single" w:color="auto"/>
          <w:color w:val="0000EE"/>
        </w:rPr>
        <w:t>53</w:t>
      </w:r>
      <w:r>
        <w:rPr>
          <w:rFonts w:ascii="Arial" w:cs="Arial" w:eastAsia="Arial" w:hAnsi="Arial"/>
          <w:sz w:val="17"/>
          <w:szCs w:val="17"/>
          <w:color w:val="auto"/>
        </w:rPr>
        <w:t xml:space="preserve"> entitled “Compensation Discussion and Analysis” (CD&amp;A) and</w:t>
      </w:r>
    </w:p>
    <w:p>
      <w:pPr>
        <w:spacing w:after="0" w:line="1" w:lineRule="exact"/>
        <w:rPr>
          <w:sz w:val="20"/>
          <w:szCs w:val="20"/>
          <w:color w:val="auto"/>
        </w:rPr>
      </w:pPr>
    </w:p>
    <w:p>
      <w:pPr>
        <w:ind w:left="180" w:right="459" w:hanging="2"/>
        <w:spacing w:after="0" w:line="234" w:lineRule="auto"/>
        <w:tabs>
          <w:tab w:leader="none" w:pos="4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that review and discussion, the Committee has recommended to the Board that the CD&amp;A be included in the 2023 Form 10-K and this Proxy Statement.</w:t>
      </w:r>
    </w:p>
    <w:p>
      <w:pPr>
        <w:spacing w:after="0" w:line="1" w:lineRule="exact"/>
        <w:rPr>
          <w:rFonts w:ascii="Arial" w:cs="Arial" w:eastAsia="Arial" w:hAnsi="Arial"/>
          <w:sz w:val="18"/>
          <w:szCs w:val="18"/>
          <w:color w:val="auto"/>
        </w:rPr>
      </w:pPr>
    </w:p>
    <w:p>
      <w:pPr>
        <w:ind w:left="180"/>
        <w:spacing w:after="0" w:line="234" w:lineRule="auto"/>
        <w:rPr>
          <w:rFonts w:ascii="Arial" w:cs="Arial" w:eastAsia="Arial" w:hAnsi="Arial"/>
          <w:sz w:val="18"/>
          <w:szCs w:val="18"/>
          <w:color w:val="auto"/>
        </w:rPr>
      </w:pPr>
      <w:r>
        <w:rPr>
          <w:rFonts w:ascii="Arial" w:cs="Arial" w:eastAsia="Arial" w:hAnsi="Arial"/>
          <w:sz w:val="18"/>
          <w:szCs w:val="18"/>
          <w:color w:val="auto"/>
        </w:rPr>
        <w:t> </w:t>
      </w:r>
    </w:p>
    <w:p>
      <w:pPr>
        <w:ind w:left="180"/>
        <w:spacing w:after="0" w:line="234" w:lineRule="auto"/>
        <w:rPr>
          <w:rFonts w:ascii="Arial" w:cs="Arial" w:eastAsia="Arial" w:hAnsi="Arial"/>
          <w:sz w:val="18"/>
          <w:szCs w:val="18"/>
          <w:color w:val="auto"/>
        </w:rPr>
      </w:pPr>
      <w:r>
        <w:rPr>
          <w:rFonts w:ascii="Arial" w:cs="Arial" w:eastAsia="Arial" w:hAnsi="Arial"/>
          <w:sz w:val="18"/>
          <w:szCs w:val="18"/>
          <w:color w:val="auto"/>
        </w:rPr>
        <w:t>By the Executive Compensation Committee of the Board of Directors,</w:t>
      </w:r>
    </w:p>
    <w:p>
      <w:pPr>
        <w:ind w:left="180"/>
        <w:spacing w:after="0" w:line="234" w:lineRule="auto"/>
        <w:rPr>
          <w:rFonts w:ascii="Arial" w:cs="Arial" w:eastAsia="Arial" w:hAnsi="Arial"/>
          <w:sz w:val="18"/>
          <w:szCs w:val="18"/>
          <w:color w:val="auto"/>
        </w:rPr>
      </w:pPr>
      <w:r>
        <w:rPr>
          <w:rFonts w:ascii="Arial" w:cs="Arial" w:eastAsia="Arial" w:hAnsi="Arial"/>
          <w:sz w:val="18"/>
          <w:szCs w:val="18"/>
          <w:color w:val="auto"/>
        </w:rPr>
        <w:t> </w:t>
      </w:r>
    </w:p>
    <w:p>
      <w:pPr>
        <w:ind w:left="180" w:right="6899"/>
        <w:spacing w:after="0" w:line="234" w:lineRule="auto"/>
        <w:rPr>
          <w:rFonts w:ascii="Arial" w:cs="Arial" w:eastAsia="Arial" w:hAnsi="Arial"/>
          <w:sz w:val="18"/>
          <w:szCs w:val="18"/>
          <w:color w:val="auto"/>
        </w:rPr>
      </w:pPr>
      <w:r>
        <w:rPr>
          <w:rFonts w:ascii="Arial" w:cs="Arial" w:eastAsia="Arial" w:hAnsi="Arial"/>
          <w:sz w:val="18"/>
          <w:szCs w:val="18"/>
          <w:color w:val="auto"/>
        </w:rPr>
        <w:t>Ms. Sheila Stamps, Chair Mr. Steven Brill</w:t>
      </w:r>
    </w:p>
    <w:p>
      <w:pPr>
        <w:spacing w:after="0" w:line="1" w:lineRule="exact"/>
        <w:rPr>
          <w:rFonts w:ascii="Arial" w:cs="Arial" w:eastAsia="Arial" w:hAnsi="Arial"/>
          <w:sz w:val="18"/>
          <w:szCs w:val="18"/>
          <w:color w:val="auto"/>
        </w:rPr>
      </w:pPr>
    </w:p>
    <w:p>
      <w:pPr>
        <w:jc w:val="both"/>
        <w:ind w:left="180" w:right="7779"/>
        <w:spacing w:after="0" w:line="264" w:lineRule="auto"/>
        <w:rPr>
          <w:rFonts w:ascii="Arial" w:cs="Arial" w:eastAsia="Arial" w:hAnsi="Arial"/>
          <w:sz w:val="18"/>
          <w:szCs w:val="18"/>
          <w:color w:val="auto"/>
        </w:rPr>
      </w:pPr>
      <w:r>
        <w:rPr>
          <w:rFonts w:ascii="Arial" w:cs="Arial" w:eastAsia="Arial" w:hAnsi="Arial"/>
          <w:sz w:val="17"/>
          <w:szCs w:val="17"/>
          <w:color w:val="auto"/>
        </w:rPr>
        <w:t>Ms. Katie May Ms. Jill Sutton Mr. Kurt Wolf</w:t>
      </w:r>
    </w:p>
    <w:p>
      <w:pPr>
        <w:spacing w:after="0" w:line="28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99"/>
          </w:cols>
          <w:pgMar w:left="1360" w:top="114" w:right="1440" w:bottom="1440" w:gutter="0" w:footer="0" w:header="0"/>
        </w:sectPr>
      </w:pPr>
    </w:p>
    <w:bookmarkStart w:id="51" w:name="page52"/>
    <w:bookmarkEnd w:id="51"/>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6"/>
          <w:szCs w:val="16"/>
          <w:color w:val="0072AF"/>
        </w:rPr>
        <w:t> 2023 NAMED EXECUTIVE OFFICERS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20955</wp:posOffset>
            </wp:positionV>
            <wp:extent cx="58293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32"/>
          <w:szCs w:val="32"/>
          <w:b w:val="1"/>
          <w:bCs w:val="1"/>
          <w:color w:val="4B5A89"/>
        </w:rPr>
        <w:t>2023 Named Executive Officers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68580</wp:posOffset>
            </wp:positionV>
            <wp:extent cx="58293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8" w:lineRule="exact"/>
        <w:rPr>
          <w:sz w:val="20"/>
          <w:szCs w:val="20"/>
          <w:color w:val="auto"/>
        </w:rPr>
      </w:pPr>
    </w:p>
    <w:p>
      <w:pPr>
        <w:ind w:left="920" w:right="920"/>
        <w:spacing w:after="0" w:line="271" w:lineRule="auto"/>
        <w:rPr>
          <w:sz w:val="20"/>
          <w:szCs w:val="20"/>
          <w:color w:val="auto"/>
        </w:rPr>
      </w:pPr>
      <w:r>
        <w:rPr>
          <w:rFonts w:ascii="Arial" w:cs="Arial" w:eastAsia="Arial" w:hAnsi="Arial"/>
          <w:sz w:val="18"/>
          <w:szCs w:val="18"/>
          <w:color w:val="auto"/>
        </w:rPr>
        <w:t>The Company had six named executive officers (NEOs) for its fiscal year ended December 31, 2023. Biographical and professional information on each of our NEOs can be found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83820</wp:posOffset>
            </wp:positionV>
            <wp:extent cx="1217295" cy="12858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17295" cy="128587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20" w:type="dxa"/>
            <w:vAlign w:val="bottom"/>
          </w:tcPr>
          <w:p>
            <w:pPr>
              <w:ind w:left="980"/>
              <w:spacing w:after="0"/>
              <w:rPr>
                <w:sz w:val="20"/>
                <w:szCs w:val="20"/>
                <w:color w:val="auto"/>
              </w:rPr>
            </w:pPr>
            <w:r>
              <w:rPr>
                <w:rFonts w:ascii="Arial" w:cs="Arial" w:eastAsia="Arial" w:hAnsi="Arial"/>
                <w:sz w:val="18"/>
                <w:szCs w:val="18"/>
                <w:b w:val="1"/>
                <w:bCs w:val="1"/>
                <w:color w:val="0072AF"/>
              </w:rPr>
              <w:t>Jason Dies</w:t>
            </w:r>
          </w:p>
        </w:tc>
        <w:tc>
          <w:tcPr>
            <w:tcW w:w="5040" w:type="dxa"/>
            <w:vAlign w:val="bottom"/>
          </w:tcPr>
          <w:p>
            <w:pPr>
              <w:ind w:left="60"/>
              <w:spacing w:after="0"/>
              <w:rPr>
                <w:sz w:val="20"/>
                <w:szCs w:val="20"/>
                <w:color w:val="auto"/>
              </w:rPr>
            </w:pPr>
            <w:r>
              <w:rPr>
                <w:rFonts w:ascii="Arial" w:cs="Arial" w:eastAsia="Arial" w:hAnsi="Arial"/>
                <w:sz w:val="18"/>
                <w:szCs w:val="18"/>
                <w:b w:val="1"/>
                <w:bCs w:val="1"/>
                <w:color w:val="auto"/>
              </w:rPr>
              <w:t xml:space="preserve">Interim Chief Executive Officer </w:t>
            </w:r>
            <w:r>
              <w:rPr>
                <w:rFonts w:ascii="Arial" w:cs="Arial" w:eastAsia="Arial" w:hAnsi="Arial"/>
                <w:sz w:val="18"/>
                <w:szCs w:val="18"/>
                <w:i w:val="1"/>
                <w:iCs w:val="1"/>
                <w:color w:val="auto"/>
              </w:rPr>
              <w:t>since October 2, 2023</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20" w:type="dxa"/>
            <w:vAlign w:val="bottom"/>
          </w:tcPr>
          <w:p>
            <w:pPr>
              <w:ind w:left="980"/>
              <w:spacing w:after="0" w:line="202" w:lineRule="exact"/>
              <w:rPr>
                <w:sz w:val="20"/>
                <w:szCs w:val="20"/>
                <w:color w:val="auto"/>
              </w:rPr>
            </w:pPr>
            <w:r>
              <w:rPr>
                <w:rFonts w:ascii="Arial" w:cs="Arial" w:eastAsia="Arial" w:hAnsi="Arial"/>
                <w:sz w:val="18"/>
                <w:szCs w:val="18"/>
                <w:b w:val="1"/>
                <w:bCs w:val="1"/>
                <w:color w:val="auto"/>
              </w:rPr>
              <w:t> </w:t>
            </w:r>
          </w:p>
        </w:tc>
        <w:tc>
          <w:tcPr>
            <w:tcW w:w="5040" w:type="dxa"/>
            <w:vAlign w:val="bottom"/>
          </w:tcPr>
          <w:p>
            <w:pPr>
              <w:ind w:left="60"/>
              <w:spacing w:after="0" w:line="202" w:lineRule="exact"/>
              <w:rPr>
                <w:sz w:val="20"/>
                <w:szCs w:val="20"/>
                <w:color w:val="auto"/>
              </w:rPr>
            </w:pPr>
            <w:r>
              <w:rPr>
                <w:rFonts w:ascii="Arial" w:cs="Arial" w:eastAsia="Arial" w:hAnsi="Arial"/>
                <w:sz w:val="18"/>
                <w:szCs w:val="18"/>
                <w:color w:val="auto"/>
              </w:rPr>
              <w:t> </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20" w:type="dxa"/>
            <w:vAlign w:val="bottom"/>
          </w:tcPr>
          <w:p>
            <w:pPr>
              <w:ind w:left="980"/>
              <w:spacing w:after="0" w:line="202" w:lineRule="exact"/>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54</w:t>
            </w:r>
          </w:p>
        </w:tc>
        <w:tc>
          <w:tcPr>
            <w:tcW w:w="5040" w:type="dxa"/>
            <w:vAlign w:val="bottom"/>
          </w:tcPr>
          <w:p>
            <w:pPr>
              <w:ind w:left="60"/>
              <w:spacing w:after="0" w:line="202" w:lineRule="exact"/>
              <w:rPr>
                <w:sz w:val="20"/>
                <w:szCs w:val="20"/>
                <w:color w:val="auto"/>
              </w:rPr>
            </w:pPr>
            <w:r>
              <w:rPr>
                <w:rFonts w:ascii="Arial" w:cs="Arial" w:eastAsia="Arial" w:hAnsi="Arial"/>
                <w:sz w:val="18"/>
                <w:szCs w:val="18"/>
                <w:color w:val="auto"/>
              </w:rPr>
              <w:t>Mr. Dies most recently served as Executive Vice President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20" w:type="dxa"/>
            <w:vAlign w:val="bottom"/>
          </w:tcPr>
          <w:p>
            <w:pPr>
              <w:ind w:left="980"/>
              <w:spacing w:after="0" w:line="202" w:lineRule="exact"/>
              <w:rPr>
                <w:sz w:val="20"/>
                <w:szCs w:val="20"/>
                <w:color w:val="auto"/>
              </w:rPr>
            </w:pPr>
            <w:r>
              <w:rPr>
                <w:rFonts w:ascii="Arial" w:cs="Arial" w:eastAsia="Arial" w:hAnsi="Arial"/>
                <w:sz w:val="18"/>
                <w:szCs w:val="18"/>
                <w:color w:val="auto"/>
              </w:rPr>
              <w:t> </w:t>
            </w:r>
          </w:p>
        </w:tc>
        <w:tc>
          <w:tcPr>
            <w:tcW w:w="5040" w:type="dxa"/>
            <w:vAlign w:val="bottom"/>
          </w:tcPr>
          <w:p>
            <w:pPr>
              <w:ind w:left="60"/>
              <w:spacing w:after="0" w:line="202" w:lineRule="exact"/>
              <w:rPr>
                <w:sz w:val="20"/>
                <w:szCs w:val="20"/>
                <w:color w:val="auto"/>
              </w:rPr>
            </w:pPr>
            <w:r>
              <w:rPr>
                <w:rFonts w:ascii="Arial" w:cs="Arial" w:eastAsia="Arial" w:hAnsi="Arial"/>
                <w:sz w:val="18"/>
                <w:szCs w:val="18"/>
                <w:color w:val="auto"/>
                <w:w w:val="99"/>
              </w:rPr>
              <w:t>and Group President. In that role, Mr. Dies was responsible for</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20" w:type="dxa"/>
            <w:vAlign w:val="bottom"/>
          </w:tcPr>
          <w:p>
            <w:pPr>
              <w:ind w:left="980"/>
              <w:spacing w:after="0" w:line="202" w:lineRule="exact"/>
              <w:rPr>
                <w:sz w:val="20"/>
                <w:szCs w:val="20"/>
                <w:color w:val="auto"/>
              </w:rPr>
            </w:pPr>
            <w:r>
              <w:rPr>
                <w:rFonts w:ascii="Arial" w:cs="Arial" w:eastAsia="Arial" w:hAnsi="Arial"/>
                <w:sz w:val="18"/>
                <w:szCs w:val="18"/>
                <w:b w:val="1"/>
                <w:bCs w:val="1"/>
                <w:color w:val="auto"/>
              </w:rPr>
              <w:t>Pitney Bowes Tenure:</w:t>
            </w:r>
          </w:p>
        </w:tc>
        <w:tc>
          <w:tcPr>
            <w:tcW w:w="5040" w:type="dxa"/>
            <w:vAlign w:val="bottom"/>
          </w:tcPr>
          <w:p>
            <w:pPr>
              <w:ind w:left="60"/>
              <w:spacing w:after="0" w:line="202" w:lineRule="exact"/>
              <w:rPr>
                <w:sz w:val="20"/>
                <w:szCs w:val="20"/>
                <w:color w:val="auto"/>
              </w:rPr>
            </w:pPr>
            <w:r>
              <w:rPr>
                <w:rFonts w:ascii="Arial" w:cs="Arial" w:eastAsia="Arial" w:hAnsi="Arial"/>
                <w:sz w:val="18"/>
                <w:szCs w:val="18"/>
                <w:color w:val="auto"/>
              </w:rPr>
              <w:t>managing the Sending Technology Solutions (SendTech) and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20" w:type="dxa"/>
            <w:vAlign w:val="bottom"/>
          </w:tcPr>
          <w:p>
            <w:pPr>
              <w:ind w:left="980"/>
              <w:spacing w:after="0" w:line="202" w:lineRule="exact"/>
              <w:rPr>
                <w:sz w:val="20"/>
                <w:szCs w:val="20"/>
                <w:color w:val="auto"/>
              </w:rPr>
            </w:pPr>
            <w:r>
              <w:rPr>
                <w:rFonts w:ascii="Arial" w:cs="Arial" w:eastAsia="Arial" w:hAnsi="Arial"/>
                <w:sz w:val="18"/>
                <w:szCs w:val="18"/>
                <w:color w:val="auto"/>
              </w:rPr>
              <w:t>8 Years</w:t>
            </w:r>
          </w:p>
        </w:tc>
        <w:tc>
          <w:tcPr>
            <w:tcW w:w="5040" w:type="dxa"/>
            <w:vAlign w:val="bottom"/>
          </w:tcPr>
          <w:p>
            <w:pPr>
              <w:ind w:left="60"/>
              <w:spacing w:after="0" w:line="202" w:lineRule="exact"/>
              <w:rPr>
                <w:sz w:val="20"/>
                <w:szCs w:val="20"/>
                <w:color w:val="auto"/>
              </w:rPr>
            </w:pPr>
            <w:r>
              <w:rPr>
                <w:rFonts w:ascii="Arial" w:cs="Arial" w:eastAsia="Arial" w:hAnsi="Arial"/>
                <w:sz w:val="18"/>
                <w:szCs w:val="18"/>
                <w:color w:val="auto"/>
              </w:rPr>
              <w:t>Presort Services business units as well as the functional</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20" w:type="dxa"/>
            <w:vAlign w:val="bottom"/>
          </w:tcPr>
          <w:p>
            <w:pPr>
              <w:ind w:left="980"/>
              <w:spacing w:after="0" w:line="202" w:lineRule="exact"/>
              <w:rPr>
                <w:sz w:val="20"/>
                <w:szCs w:val="20"/>
                <w:color w:val="auto"/>
              </w:rPr>
            </w:pPr>
            <w:r>
              <w:rPr>
                <w:rFonts w:ascii="Arial" w:cs="Arial" w:eastAsia="Arial" w:hAnsi="Arial"/>
                <w:sz w:val="18"/>
                <w:szCs w:val="18"/>
                <w:color w:val="auto"/>
              </w:rPr>
              <w:t> </w:t>
            </w:r>
          </w:p>
        </w:tc>
        <w:tc>
          <w:tcPr>
            <w:tcW w:w="5040" w:type="dxa"/>
            <w:vAlign w:val="bottom"/>
          </w:tcPr>
          <w:p>
            <w:pPr>
              <w:ind w:left="60"/>
              <w:spacing w:after="0" w:line="202" w:lineRule="exact"/>
              <w:rPr>
                <w:sz w:val="20"/>
                <w:szCs w:val="20"/>
                <w:color w:val="auto"/>
              </w:rPr>
            </w:pPr>
            <w:r>
              <w:rPr>
                <w:rFonts w:ascii="Arial" w:cs="Arial" w:eastAsia="Arial" w:hAnsi="Arial"/>
                <w:sz w:val="18"/>
                <w:szCs w:val="18"/>
                <w:color w:val="auto"/>
              </w:rPr>
              <w:t>groups of Human Resources, Information Technologies,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20" w:type="dxa"/>
            <w:vAlign w:val="bottom"/>
          </w:tcPr>
          <w:p>
            <w:pPr>
              <w:ind w:left="980"/>
              <w:spacing w:after="0" w:line="202" w:lineRule="exact"/>
              <w:rPr>
                <w:sz w:val="20"/>
                <w:szCs w:val="20"/>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Cornell</w:t>
            </w:r>
          </w:p>
        </w:tc>
        <w:tc>
          <w:tcPr>
            <w:tcW w:w="5040" w:type="dxa"/>
            <w:vAlign w:val="bottom"/>
          </w:tcPr>
          <w:p>
            <w:pPr>
              <w:ind w:left="60"/>
              <w:spacing w:after="0" w:line="202" w:lineRule="exact"/>
              <w:rPr>
                <w:sz w:val="20"/>
                <w:szCs w:val="20"/>
                <w:color w:val="auto"/>
              </w:rPr>
            </w:pPr>
            <w:r>
              <w:rPr>
                <w:rFonts w:ascii="Arial" w:cs="Arial" w:eastAsia="Arial" w:hAnsi="Arial"/>
                <w:sz w:val="18"/>
                <w:szCs w:val="18"/>
                <w:color w:val="auto"/>
              </w:rPr>
              <w:t>Marketing and Communications. He previously served as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20" w:type="dxa"/>
            <w:vAlign w:val="bottom"/>
          </w:tcPr>
          <w:p>
            <w:pPr>
              <w:ind w:left="980"/>
              <w:spacing w:after="0" w:line="202" w:lineRule="exact"/>
              <w:rPr>
                <w:sz w:val="20"/>
                <w:szCs w:val="20"/>
                <w:color w:val="auto"/>
              </w:rPr>
            </w:pPr>
            <w:r>
              <w:rPr>
                <w:rFonts w:ascii="Arial" w:cs="Arial" w:eastAsia="Arial" w:hAnsi="Arial"/>
                <w:sz w:val="18"/>
                <w:szCs w:val="18"/>
                <w:color w:val="auto"/>
              </w:rPr>
              <w:t>University;</w:t>
            </w:r>
          </w:p>
        </w:tc>
        <w:tc>
          <w:tcPr>
            <w:tcW w:w="5040" w:type="dxa"/>
            <w:vAlign w:val="bottom"/>
          </w:tcPr>
          <w:p>
            <w:pPr>
              <w:ind w:left="60"/>
              <w:spacing w:after="0" w:line="202" w:lineRule="exact"/>
              <w:rPr>
                <w:sz w:val="20"/>
                <w:szCs w:val="20"/>
                <w:color w:val="auto"/>
              </w:rPr>
            </w:pPr>
            <w:r>
              <w:rPr>
                <w:rFonts w:ascii="Arial" w:cs="Arial" w:eastAsia="Arial" w:hAnsi="Arial"/>
                <w:sz w:val="18"/>
                <w:szCs w:val="18"/>
                <w:color w:val="auto"/>
              </w:rPr>
              <w:t>President of SendTech, creating client value through a</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 xml:space="preserve">  </w:t>
            </w:r>
          </w:p>
        </w:tc>
        <w:tc>
          <w:tcPr>
            <w:tcW w:w="3020" w:type="dxa"/>
            <w:vAlign w:val="bottom"/>
          </w:tcPr>
          <w:p>
            <w:pPr>
              <w:ind w:left="980"/>
              <w:spacing w:after="0" w:line="202" w:lineRule="exact"/>
              <w:rPr>
                <w:sz w:val="20"/>
                <w:szCs w:val="20"/>
                <w:color w:val="auto"/>
              </w:rPr>
            </w:pPr>
            <w:r>
              <w:rPr>
                <w:rFonts w:ascii="Arial" w:cs="Arial" w:eastAsia="Arial" w:hAnsi="Arial"/>
                <w:sz w:val="18"/>
                <w:szCs w:val="18"/>
                <w:color w:val="auto"/>
              </w:rPr>
              <w:t>MA, University of</w:t>
            </w:r>
          </w:p>
        </w:tc>
        <w:tc>
          <w:tcPr>
            <w:tcW w:w="5040" w:type="dxa"/>
            <w:vAlign w:val="bottom"/>
          </w:tcPr>
          <w:p>
            <w:pPr>
              <w:ind w:left="60"/>
              <w:spacing w:after="0" w:line="202" w:lineRule="exact"/>
              <w:rPr>
                <w:sz w:val="20"/>
                <w:szCs w:val="20"/>
                <w:color w:val="auto"/>
              </w:rPr>
            </w:pPr>
            <w:r>
              <w:rPr>
                <w:rFonts w:ascii="Arial" w:cs="Arial" w:eastAsia="Arial" w:hAnsi="Arial"/>
                <w:sz w:val="18"/>
                <w:szCs w:val="18"/>
                <w:color w:val="auto"/>
              </w:rPr>
              <w:t>modernized product portfolio and new digital capabilities.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9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3020" w:type="dxa"/>
            <w:vAlign w:val="bottom"/>
          </w:tcPr>
          <w:p>
            <w:pPr>
              <w:ind w:left="980"/>
              <w:spacing w:after="0"/>
              <w:rPr>
                <w:sz w:val="20"/>
                <w:szCs w:val="20"/>
                <w:color w:val="auto"/>
              </w:rPr>
            </w:pPr>
            <w:r>
              <w:rPr>
                <w:rFonts w:ascii="Arial" w:cs="Arial" w:eastAsia="Arial" w:hAnsi="Arial"/>
                <w:sz w:val="18"/>
                <w:szCs w:val="18"/>
                <w:color w:val="auto"/>
              </w:rPr>
              <w:t>Pennsylvania</w:t>
            </w:r>
          </w:p>
        </w:tc>
        <w:tc>
          <w:tcPr>
            <w:tcW w:w="5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920" w:type="dxa"/>
            <w:vAlign w:val="bottom"/>
          </w:tcPr>
          <w:p>
            <w:pPr>
              <w:spacing w:after="0"/>
              <w:rPr>
                <w:sz w:val="24"/>
                <w:szCs w:val="24"/>
                <w:color w:val="auto"/>
              </w:rPr>
            </w:pPr>
          </w:p>
        </w:tc>
        <w:tc>
          <w:tcPr>
            <w:tcW w:w="1120" w:type="dxa"/>
            <w:vAlign w:val="bottom"/>
            <w:shd w:val="clear" w:color="auto" w:fill="F2F2F2"/>
          </w:tcPr>
          <w:p>
            <w:pPr>
              <w:spacing w:after="0"/>
              <w:rPr>
                <w:sz w:val="24"/>
                <w:szCs w:val="24"/>
                <w:color w:val="auto"/>
              </w:rPr>
            </w:pPr>
          </w:p>
        </w:tc>
        <w:tc>
          <w:tcPr>
            <w:tcW w:w="3020" w:type="dxa"/>
            <w:vAlign w:val="bottom"/>
            <w:shd w:val="clear" w:color="auto" w:fill="F2F2F2"/>
          </w:tcPr>
          <w:p>
            <w:pPr>
              <w:ind w:left="980"/>
              <w:spacing w:after="0"/>
              <w:rPr>
                <w:sz w:val="20"/>
                <w:szCs w:val="20"/>
                <w:color w:val="auto"/>
              </w:rPr>
            </w:pPr>
            <w:r>
              <w:rPr>
                <w:rFonts w:ascii="Arial" w:cs="Arial" w:eastAsia="Arial" w:hAnsi="Arial"/>
                <w:sz w:val="18"/>
                <w:szCs w:val="18"/>
                <w:b w:val="1"/>
                <w:bCs w:val="1"/>
                <w:color w:val="0072AF"/>
              </w:rPr>
              <w:t>Ana Chadwick</w:t>
            </w:r>
          </w:p>
        </w:tc>
        <w:tc>
          <w:tcPr>
            <w:tcW w:w="5040" w:type="dxa"/>
            <w:vAlign w:val="bottom"/>
            <w:shd w:val="clear" w:color="auto" w:fill="F2F2F2"/>
          </w:tcPr>
          <w:p>
            <w:pPr>
              <w:ind w:left="60"/>
              <w:spacing w:after="0"/>
              <w:rPr>
                <w:sz w:val="20"/>
                <w:szCs w:val="20"/>
                <w:color w:val="auto"/>
              </w:rPr>
            </w:pPr>
            <w:r>
              <w:rPr>
                <w:rFonts w:ascii="Arial" w:cs="Arial" w:eastAsia="Arial" w:hAnsi="Arial"/>
                <w:sz w:val="18"/>
                <w:szCs w:val="18"/>
                <w:b w:val="1"/>
                <w:bCs w:val="1"/>
                <w:color w:val="auto"/>
              </w:rPr>
              <w:t xml:space="preserve">Executive Vice President and Chief Financial Officer </w:t>
            </w:r>
            <w:r>
              <w:rPr>
                <w:rFonts w:ascii="Arial" w:cs="Arial" w:eastAsia="Arial" w:hAnsi="Arial"/>
                <w:sz w:val="18"/>
                <w:szCs w:val="18"/>
                <w:i w:val="1"/>
                <w:iCs w:val="1"/>
                <w:color w:val="auto"/>
              </w:rPr>
              <w:t>since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3020" w:type="dxa"/>
            <w:vAlign w:val="bottom"/>
            <w:shd w:val="clear" w:color="auto" w:fill="F2F2F2"/>
          </w:tcPr>
          <w:p>
            <w:pPr>
              <w:ind w:left="980"/>
              <w:spacing w:after="0" w:line="202" w:lineRule="exact"/>
              <w:rPr>
                <w:sz w:val="20"/>
                <w:szCs w:val="20"/>
                <w:color w:val="auto"/>
              </w:rPr>
            </w:pPr>
            <w:r>
              <w:rPr>
                <w:rFonts w:ascii="Arial" w:cs="Arial" w:eastAsia="Arial" w:hAnsi="Arial"/>
                <w:sz w:val="18"/>
                <w:szCs w:val="18"/>
                <w:b w:val="1"/>
                <w:bCs w:val="1"/>
                <w:color w:val="auto"/>
              </w:rPr>
              <w:t> </w:t>
            </w:r>
          </w:p>
        </w:tc>
        <w:tc>
          <w:tcPr>
            <w:tcW w:w="5040" w:type="dxa"/>
            <w:vAlign w:val="bottom"/>
            <w:shd w:val="clear" w:color="auto" w:fill="F2F2F2"/>
          </w:tcPr>
          <w:p>
            <w:pPr>
              <w:ind w:left="60"/>
              <w:spacing w:after="0" w:line="202" w:lineRule="exact"/>
              <w:rPr>
                <w:sz w:val="20"/>
                <w:szCs w:val="20"/>
                <w:color w:val="auto"/>
              </w:rPr>
            </w:pPr>
            <w:r>
              <w:rPr>
                <w:rFonts w:ascii="Arial" w:cs="Arial" w:eastAsia="Arial" w:hAnsi="Arial"/>
                <w:sz w:val="18"/>
                <w:szCs w:val="18"/>
                <w:i w:val="1"/>
                <w:iCs w:val="1"/>
                <w:color w:val="auto"/>
              </w:rPr>
              <w:t>2021 through March 18, 2024</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3020" w:type="dxa"/>
            <w:vAlign w:val="bottom"/>
            <w:shd w:val="clear" w:color="auto" w:fill="F2F2F2"/>
          </w:tcPr>
          <w:p>
            <w:pPr>
              <w:ind w:left="980"/>
              <w:spacing w:after="0" w:line="202" w:lineRule="exact"/>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52</w:t>
            </w:r>
          </w:p>
        </w:tc>
        <w:tc>
          <w:tcPr>
            <w:tcW w:w="5040" w:type="dxa"/>
            <w:vAlign w:val="bottom"/>
            <w:shd w:val="clear" w:color="auto" w:fill="F2F2F2"/>
          </w:tcPr>
          <w:p>
            <w:pPr>
              <w:ind w:left="60"/>
              <w:spacing w:after="0" w:line="202" w:lineRule="exact"/>
              <w:rPr>
                <w:sz w:val="20"/>
                <w:szCs w:val="20"/>
                <w:color w:val="auto"/>
              </w:rPr>
            </w:pPr>
            <w:r>
              <w:rPr>
                <w:rFonts w:ascii="Arial" w:cs="Arial" w:eastAsia="Arial" w:hAnsi="Arial"/>
                <w:sz w:val="18"/>
                <w:szCs w:val="18"/>
                <w:color w:val="auto"/>
              </w:rPr>
              <w:t> </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3020" w:type="dxa"/>
            <w:vAlign w:val="bottom"/>
            <w:shd w:val="clear" w:color="auto" w:fill="F2F2F2"/>
          </w:tcPr>
          <w:p>
            <w:pPr>
              <w:ind w:left="980"/>
              <w:spacing w:after="0" w:line="202" w:lineRule="exact"/>
              <w:rPr>
                <w:sz w:val="20"/>
                <w:szCs w:val="20"/>
                <w:color w:val="auto"/>
              </w:rPr>
            </w:pPr>
            <w:r>
              <w:rPr>
                <w:rFonts w:ascii="Arial" w:cs="Arial" w:eastAsia="Arial" w:hAnsi="Arial"/>
                <w:sz w:val="18"/>
                <w:szCs w:val="18"/>
                <w:color w:val="auto"/>
              </w:rPr>
              <w:t> </w:t>
            </w:r>
          </w:p>
        </w:tc>
        <w:tc>
          <w:tcPr>
            <w:tcW w:w="5040" w:type="dxa"/>
            <w:vAlign w:val="bottom"/>
            <w:shd w:val="clear" w:color="auto" w:fill="F2F2F2"/>
          </w:tcPr>
          <w:p>
            <w:pPr>
              <w:ind w:left="60"/>
              <w:spacing w:after="0" w:line="202" w:lineRule="exact"/>
              <w:rPr>
                <w:sz w:val="20"/>
                <w:szCs w:val="20"/>
                <w:color w:val="auto"/>
              </w:rPr>
            </w:pPr>
            <w:r>
              <w:rPr>
                <w:rFonts w:ascii="Arial" w:cs="Arial" w:eastAsia="Arial" w:hAnsi="Arial"/>
                <w:sz w:val="18"/>
                <w:szCs w:val="18"/>
                <w:color w:val="auto"/>
              </w:rPr>
              <w:t>Ms. Chadwick is responsible for the financial operations of the</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3020" w:type="dxa"/>
            <w:vAlign w:val="bottom"/>
            <w:shd w:val="clear" w:color="auto" w:fill="F2F2F2"/>
          </w:tcPr>
          <w:p>
            <w:pPr>
              <w:ind w:left="980"/>
              <w:spacing w:after="0" w:line="202" w:lineRule="exact"/>
              <w:rPr>
                <w:sz w:val="20"/>
                <w:szCs w:val="20"/>
                <w:color w:val="auto"/>
              </w:rPr>
            </w:pPr>
            <w:r>
              <w:rPr>
                <w:rFonts w:ascii="Arial" w:cs="Arial" w:eastAsia="Arial" w:hAnsi="Arial"/>
                <w:sz w:val="18"/>
                <w:szCs w:val="18"/>
                <w:b w:val="1"/>
                <w:bCs w:val="1"/>
                <w:color w:val="auto"/>
              </w:rPr>
              <w:t>Pitney Bowes Tenure:</w:t>
            </w:r>
          </w:p>
        </w:tc>
        <w:tc>
          <w:tcPr>
            <w:tcW w:w="5040" w:type="dxa"/>
            <w:vAlign w:val="bottom"/>
            <w:shd w:val="clear" w:color="auto" w:fill="F2F2F2"/>
          </w:tcPr>
          <w:p>
            <w:pPr>
              <w:ind w:left="60"/>
              <w:spacing w:after="0" w:line="202" w:lineRule="exact"/>
              <w:rPr>
                <w:sz w:val="20"/>
                <w:szCs w:val="20"/>
                <w:color w:val="auto"/>
              </w:rPr>
            </w:pPr>
            <w:r>
              <w:rPr>
                <w:rFonts w:ascii="Arial" w:cs="Arial" w:eastAsia="Arial" w:hAnsi="Arial"/>
                <w:sz w:val="18"/>
                <w:szCs w:val="18"/>
                <w:color w:val="auto"/>
                <w:w w:val="99"/>
              </w:rPr>
              <w:t>Company on a global basis, which includes the treasury, audit,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3020" w:type="dxa"/>
            <w:vAlign w:val="bottom"/>
            <w:shd w:val="clear" w:color="auto" w:fill="F2F2F2"/>
          </w:tcPr>
          <w:p>
            <w:pPr>
              <w:ind w:left="980"/>
              <w:spacing w:after="0" w:line="202" w:lineRule="exact"/>
              <w:rPr>
                <w:sz w:val="20"/>
                <w:szCs w:val="20"/>
                <w:color w:val="auto"/>
              </w:rPr>
            </w:pPr>
            <w:r>
              <w:rPr>
                <w:rFonts w:ascii="Arial" w:cs="Arial" w:eastAsia="Arial" w:hAnsi="Arial"/>
                <w:sz w:val="18"/>
                <w:szCs w:val="18"/>
                <w:color w:val="auto"/>
              </w:rPr>
              <w:t>2 Years</w:t>
            </w:r>
          </w:p>
        </w:tc>
        <w:tc>
          <w:tcPr>
            <w:tcW w:w="5040" w:type="dxa"/>
            <w:vAlign w:val="bottom"/>
            <w:shd w:val="clear" w:color="auto" w:fill="F2F2F2"/>
          </w:tcPr>
          <w:p>
            <w:pPr>
              <w:ind w:left="60"/>
              <w:spacing w:after="0" w:line="202" w:lineRule="exact"/>
              <w:rPr>
                <w:sz w:val="20"/>
                <w:szCs w:val="20"/>
                <w:color w:val="auto"/>
              </w:rPr>
            </w:pPr>
            <w:r>
              <w:rPr>
                <w:rFonts w:ascii="Arial" w:cs="Arial" w:eastAsia="Arial" w:hAnsi="Arial"/>
                <w:sz w:val="18"/>
                <w:szCs w:val="18"/>
                <w:color w:val="auto"/>
              </w:rPr>
              <w:t>investor relations, and tax functions.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3020" w:type="dxa"/>
            <w:vAlign w:val="bottom"/>
            <w:shd w:val="clear" w:color="auto" w:fill="F2F2F2"/>
          </w:tcPr>
          <w:p>
            <w:pPr>
              <w:ind w:left="980"/>
              <w:spacing w:after="0" w:line="202" w:lineRule="exact"/>
              <w:rPr>
                <w:sz w:val="20"/>
                <w:szCs w:val="20"/>
                <w:color w:val="auto"/>
              </w:rPr>
            </w:pPr>
            <w:r>
              <w:rPr>
                <w:rFonts w:ascii="Arial" w:cs="Arial" w:eastAsia="Arial" w:hAnsi="Arial"/>
                <w:sz w:val="18"/>
                <w:szCs w:val="18"/>
                <w:color w:val="auto"/>
              </w:rPr>
              <w:t> </w:t>
            </w:r>
          </w:p>
        </w:tc>
        <w:tc>
          <w:tcPr>
            <w:tcW w:w="5040" w:type="dxa"/>
            <w:vAlign w:val="bottom"/>
            <w:shd w:val="clear" w:color="auto" w:fill="F2F2F2"/>
          </w:tcPr>
          <w:p>
            <w:pPr>
              <w:ind w:left="60"/>
              <w:spacing w:after="0" w:line="202" w:lineRule="exact"/>
              <w:rPr>
                <w:sz w:val="20"/>
                <w:szCs w:val="20"/>
                <w:color w:val="auto"/>
              </w:rPr>
            </w:pPr>
            <w:r>
              <w:rPr>
                <w:rFonts w:ascii="Arial" w:cs="Arial" w:eastAsia="Arial" w:hAnsi="Arial"/>
                <w:sz w:val="18"/>
                <w:szCs w:val="18"/>
                <w:color w:val="auto"/>
              </w:rPr>
              <w:t> </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3020" w:type="dxa"/>
            <w:vAlign w:val="bottom"/>
            <w:shd w:val="clear" w:color="auto" w:fill="F2F2F2"/>
          </w:tcPr>
          <w:p>
            <w:pPr>
              <w:ind w:left="980"/>
              <w:spacing w:after="0" w:line="202" w:lineRule="exact"/>
              <w:rPr>
                <w:sz w:val="20"/>
                <w:szCs w:val="20"/>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The</w:t>
            </w:r>
          </w:p>
        </w:tc>
        <w:tc>
          <w:tcPr>
            <w:tcW w:w="5040" w:type="dxa"/>
            <w:vAlign w:val="bottom"/>
            <w:shd w:val="clear" w:color="auto" w:fill="F2F2F2"/>
          </w:tcPr>
          <w:p>
            <w:pPr>
              <w:ind w:left="60"/>
              <w:spacing w:after="0" w:line="202" w:lineRule="exact"/>
              <w:rPr>
                <w:sz w:val="20"/>
                <w:szCs w:val="20"/>
                <w:color w:val="auto"/>
              </w:rPr>
            </w:pPr>
            <w:r>
              <w:rPr>
                <w:rFonts w:ascii="Arial" w:cs="Arial" w:eastAsia="Arial" w:hAnsi="Arial"/>
                <w:sz w:val="18"/>
                <w:szCs w:val="18"/>
                <w:color w:val="auto"/>
              </w:rPr>
              <w:t>Effective March 19, 2024, John Witek, Vice President, Global</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3020" w:type="dxa"/>
            <w:vAlign w:val="bottom"/>
            <w:shd w:val="clear" w:color="auto" w:fill="F2F2F2"/>
          </w:tcPr>
          <w:p>
            <w:pPr>
              <w:ind w:left="980"/>
              <w:spacing w:after="0" w:line="202" w:lineRule="exact"/>
              <w:rPr>
                <w:sz w:val="20"/>
                <w:szCs w:val="20"/>
                <w:color w:val="auto"/>
              </w:rPr>
            </w:pPr>
            <w:r>
              <w:rPr>
                <w:rFonts w:ascii="Arial" w:cs="Arial" w:eastAsia="Arial" w:hAnsi="Arial"/>
                <w:sz w:val="18"/>
                <w:szCs w:val="18"/>
                <w:color w:val="auto"/>
              </w:rPr>
              <w:t>American University</w:t>
            </w:r>
          </w:p>
        </w:tc>
        <w:tc>
          <w:tcPr>
            <w:tcW w:w="5040" w:type="dxa"/>
            <w:vAlign w:val="bottom"/>
            <w:shd w:val="clear" w:color="auto" w:fill="F2F2F2"/>
          </w:tcPr>
          <w:p>
            <w:pPr>
              <w:ind w:left="60"/>
              <w:spacing w:after="0" w:line="202" w:lineRule="exact"/>
              <w:rPr>
                <w:sz w:val="20"/>
                <w:szCs w:val="20"/>
                <w:color w:val="auto"/>
              </w:rPr>
            </w:pPr>
            <w:r>
              <w:rPr>
                <w:rFonts w:ascii="Arial" w:cs="Arial" w:eastAsia="Arial" w:hAnsi="Arial"/>
                <w:sz w:val="18"/>
                <w:szCs w:val="18"/>
                <w:color w:val="auto"/>
              </w:rPr>
              <w:t>Business Services was appointed to the role of Interim Chief</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vMerge w:val="restart"/>
            <w:shd w:val="clear" w:color="auto" w:fill="F2F2F2"/>
          </w:tcPr>
          <w:p>
            <w:pPr>
              <w:ind w:left="40"/>
              <w:spacing w:after="0"/>
              <w:rPr>
                <w:sz w:val="20"/>
                <w:szCs w:val="20"/>
                <w:color w:val="auto"/>
              </w:rPr>
            </w:pPr>
            <w:r>
              <w:rPr>
                <w:rFonts w:ascii="Arial" w:cs="Arial" w:eastAsia="Arial" w:hAnsi="Arial"/>
                <w:sz w:val="18"/>
                <w:szCs w:val="18"/>
                <w:color w:val="auto"/>
              </w:rPr>
              <w:t> </w:t>
            </w:r>
          </w:p>
        </w:tc>
        <w:tc>
          <w:tcPr>
            <w:tcW w:w="3020" w:type="dxa"/>
            <w:vAlign w:val="bottom"/>
            <w:shd w:val="clear" w:color="auto" w:fill="F2F2F2"/>
          </w:tcPr>
          <w:p>
            <w:pPr>
              <w:spacing w:after="0"/>
              <w:rPr>
                <w:sz w:val="17"/>
                <w:szCs w:val="17"/>
                <w:color w:val="auto"/>
              </w:rPr>
            </w:pPr>
          </w:p>
        </w:tc>
        <w:tc>
          <w:tcPr>
            <w:tcW w:w="5040" w:type="dxa"/>
            <w:vAlign w:val="bottom"/>
            <w:shd w:val="clear" w:color="auto" w:fill="F2F2F2"/>
          </w:tcPr>
          <w:p>
            <w:pPr>
              <w:ind w:left="60"/>
              <w:spacing w:after="0" w:line="202" w:lineRule="exact"/>
              <w:rPr>
                <w:sz w:val="20"/>
                <w:szCs w:val="20"/>
                <w:color w:val="auto"/>
              </w:rPr>
            </w:pPr>
            <w:r>
              <w:rPr>
                <w:rFonts w:ascii="Arial" w:cs="Arial" w:eastAsia="Arial" w:hAnsi="Arial"/>
                <w:sz w:val="18"/>
                <w:szCs w:val="18"/>
                <w:color w:val="auto"/>
              </w:rPr>
              <w:t>Financial Officer following the resignation of Ms. Chadwick,</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vMerge w:val="continue"/>
            <w:shd w:val="clear" w:color="auto" w:fill="F2F2F2"/>
          </w:tcPr>
          <w:p>
            <w:pPr>
              <w:spacing w:after="0"/>
              <w:rPr>
                <w:sz w:val="17"/>
                <w:szCs w:val="17"/>
                <w:color w:val="auto"/>
              </w:rPr>
            </w:pPr>
          </w:p>
        </w:tc>
        <w:tc>
          <w:tcPr>
            <w:tcW w:w="3020" w:type="dxa"/>
            <w:vAlign w:val="bottom"/>
            <w:shd w:val="clear" w:color="auto" w:fill="F2F2F2"/>
          </w:tcPr>
          <w:p>
            <w:pPr>
              <w:spacing w:after="0"/>
              <w:rPr>
                <w:sz w:val="17"/>
                <w:szCs w:val="17"/>
                <w:color w:val="auto"/>
              </w:rPr>
            </w:pPr>
          </w:p>
        </w:tc>
        <w:tc>
          <w:tcPr>
            <w:tcW w:w="5040" w:type="dxa"/>
            <w:vAlign w:val="bottom"/>
            <w:shd w:val="clear" w:color="auto" w:fill="F2F2F2"/>
          </w:tcPr>
          <w:p>
            <w:pPr>
              <w:ind w:left="60"/>
              <w:spacing w:after="0" w:line="202" w:lineRule="exact"/>
              <w:rPr>
                <w:sz w:val="20"/>
                <w:szCs w:val="20"/>
                <w:color w:val="auto"/>
              </w:rPr>
            </w:pPr>
            <w:r>
              <w:rPr>
                <w:rFonts w:ascii="Arial" w:cs="Arial" w:eastAsia="Arial" w:hAnsi="Arial"/>
                <w:sz w:val="18"/>
                <w:szCs w:val="18"/>
                <w:color w:val="auto"/>
              </w:rPr>
              <w:t>who has agreed to remain at the Company to assist in the</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920" w:type="dxa"/>
            <w:vAlign w:val="bottom"/>
          </w:tcPr>
          <w:p>
            <w:pPr>
              <w:spacing w:after="0"/>
              <w:rPr>
                <w:sz w:val="20"/>
                <w:szCs w:val="20"/>
                <w:color w:val="auto"/>
              </w:rPr>
            </w:pPr>
          </w:p>
        </w:tc>
        <w:tc>
          <w:tcPr>
            <w:tcW w:w="1120" w:type="dxa"/>
            <w:vAlign w:val="bottom"/>
            <w:shd w:val="clear" w:color="auto" w:fill="F2F2F2"/>
          </w:tcPr>
          <w:p>
            <w:pPr>
              <w:spacing w:after="0"/>
              <w:rPr>
                <w:sz w:val="20"/>
                <w:szCs w:val="20"/>
                <w:color w:val="auto"/>
              </w:rPr>
            </w:pPr>
          </w:p>
        </w:tc>
        <w:tc>
          <w:tcPr>
            <w:tcW w:w="3020" w:type="dxa"/>
            <w:vAlign w:val="bottom"/>
            <w:shd w:val="clear" w:color="auto" w:fill="F2F2F2"/>
          </w:tcPr>
          <w:p>
            <w:pPr>
              <w:spacing w:after="0"/>
              <w:rPr>
                <w:sz w:val="20"/>
                <w:szCs w:val="20"/>
                <w:color w:val="auto"/>
              </w:rPr>
            </w:pPr>
          </w:p>
        </w:tc>
        <w:tc>
          <w:tcPr>
            <w:tcW w:w="5040" w:type="dxa"/>
            <w:vAlign w:val="bottom"/>
            <w:shd w:val="clear" w:color="auto" w:fill="F2F2F2"/>
          </w:tcPr>
          <w:p>
            <w:pPr>
              <w:ind w:left="60"/>
              <w:spacing w:after="0"/>
              <w:rPr>
                <w:sz w:val="20"/>
                <w:szCs w:val="20"/>
                <w:color w:val="auto"/>
              </w:rPr>
            </w:pPr>
            <w:r>
              <w:rPr>
                <w:rFonts w:ascii="Arial" w:cs="Arial" w:eastAsia="Arial" w:hAnsi="Arial"/>
                <w:sz w:val="18"/>
                <w:szCs w:val="18"/>
                <w:color w:val="auto"/>
              </w:rPr>
              <w:t>transition of her duties until April 21, 2024.</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920" w:type="dxa"/>
            <w:vAlign w:val="bottom"/>
          </w:tcPr>
          <w:p>
            <w:pPr>
              <w:spacing w:after="0"/>
              <w:rPr>
                <w:sz w:val="16"/>
                <w:szCs w:val="16"/>
                <w:color w:val="auto"/>
              </w:rPr>
            </w:pPr>
          </w:p>
        </w:tc>
        <w:tc>
          <w:tcPr>
            <w:tcW w:w="1120" w:type="dxa"/>
            <w:vAlign w:val="bottom"/>
            <w:shd w:val="clear" w:color="auto" w:fill="F2F2F2"/>
          </w:tcPr>
          <w:p>
            <w:pPr>
              <w:spacing w:after="0"/>
              <w:rPr>
                <w:sz w:val="16"/>
                <w:szCs w:val="16"/>
                <w:color w:val="auto"/>
              </w:rPr>
            </w:pPr>
          </w:p>
        </w:tc>
        <w:tc>
          <w:tcPr>
            <w:tcW w:w="3020" w:type="dxa"/>
            <w:vAlign w:val="bottom"/>
            <w:shd w:val="clear" w:color="auto" w:fill="F2F2F2"/>
          </w:tcPr>
          <w:p>
            <w:pPr>
              <w:spacing w:after="0"/>
              <w:rPr>
                <w:sz w:val="16"/>
                <w:szCs w:val="16"/>
                <w:color w:val="auto"/>
              </w:rPr>
            </w:pPr>
          </w:p>
        </w:tc>
        <w:tc>
          <w:tcPr>
            <w:tcW w:w="5040" w:type="dxa"/>
            <w:vAlign w:val="bottom"/>
            <w:shd w:val="clear" w:color="auto" w:fill="F2F2F2"/>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20" w:type="dxa"/>
            <w:vAlign w:val="bottom"/>
          </w:tcPr>
          <w:p>
            <w:pPr>
              <w:ind w:left="980"/>
              <w:spacing w:after="0"/>
              <w:rPr>
                <w:sz w:val="20"/>
                <w:szCs w:val="20"/>
                <w:color w:val="auto"/>
              </w:rPr>
            </w:pPr>
            <w:r>
              <w:rPr>
                <w:rFonts w:ascii="Arial" w:cs="Arial" w:eastAsia="Arial" w:hAnsi="Arial"/>
                <w:sz w:val="18"/>
                <w:szCs w:val="18"/>
                <w:b w:val="1"/>
                <w:bCs w:val="1"/>
                <w:color w:val="0072AF"/>
              </w:rPr>
              <w:t>Gregg Zegras</w:t>
            </w:r>
          </w:p>
        </w:tc>
        <w:tc>
          <w:tcPr>
            <w:tcW w:w="5040" w:type="dxa"/>
            <w:vAlign w:val="bottom"/>
          </w:tcPr>
          <w:p>
            <w:pPr>
              <w:ind w:left="60"/>
              <w:spacing w:after="0"/>
              <w:rPr>
                <w:sz w:val="20"/>
                <w:szCs w:val="20"/>
                <w:color w:val="auto"/>
              </w:rPr>
            </w:pPr>
            <w:r>
              <w:rPr>
                <w:rFonts w:ascii="Arial" w:cs="Arial" w:eastAsia="Arial" w:hAnsi="Arial"/>
                <w:sz w:val="18"/>
                <w:szCs w:val="18"/>
                <w:b w:val="1"/>
                <w:bCs w:val="1"/>
                <w:color w:val="auto"/>
              </w:rPr>
              <w:t>Executive Vice President and President, Global</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20" w:type="dxa"/>
            <w:vAlign w:val="bottom"/>
          </w:tcPr>
          <w:p>
            <w:pPr>
              <w:ind w:left="980"/>
              <w:spacing w:after="0" w:line="202" w:lineRule="exact"/>
              <w:rPr>
                <w:sz w:val="20"/>
                <w:szCs w:val="20"/>
                <w:color w:val="auto"/>
              </w:rPr>
            </w:pPr>
            <w:r>
              <w:rPr>
                <w:rFonts w:ascii="Arial" w:cs="Arial" w:eastAsia="Arial" w:hAnsi="Arial"/>
                <w:sz w:val="18"/>
                <w:szCs w:val="18"/>
                <w:b w:val="1"/>
                <w:bCs w:val="1"/>
                <w:color w:val="auto"/>
              </w:rPr>
              <w:t> </w:t>
            </w:r>
          </w:p>
        </w:tc>
        <w:tc>
          <w:tcPr>
            <w:tcW w:w="504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i w:val="1"/>
                <w:iCs w:val="1"/>
                <w:color w:val="auto"/>
              </w:rPr>
              <w:t>since 2020</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20" w:type="dxa"/>
            <w:vAlign w:val="bottom"/>
          </w:tcPr>
          <w:p>
            <w:pPr>
              <w:ind w:left="980"/>
              <w:spacing w:after="0" w:line="202" w:lineRule="exact"/>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56</w:t>
            </w:r>
          </w:p>
        </w:tc>
        <w:tc>
          <w:tcPr>
            <w:tcW w:w="5040" w:type="dxa"/>
            <w:vAlign w:val="bottom"/>
          </w:tcPr>
          <w:p>
            <w:pPr>
              <w:ind w:left="60"/>
              <w:spacing w:after="0" w:line="202" w:lineRule="exact"/>
              <w:rPr>
                <w:sz w:val="20"/>
                <w:szCs w:val="20"/>
                <w:color w:val="auto"/>
              </w:rPr>
            </w:pPr>
            <w:r>
              <w:rPr>
                <w:rFonts w:ascii="Arial" w:cs="Arial" w:eastAsia="Arial" w:hAnsi="Arial"/>
                <w:sz w:val="18"/>
                <w:szCs w:val="18"/>
                <w:color w:val="auto"/>
              </w:rPr>
              <w:t> </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20" w:type="dxa"/>
            <w:vAlign w:val="bottom"/>
          </w:tcPr>
          <w:p>
            <w:pPr>
              <w:ind w:left="980"/>
              <w:spacing w:after="0" w:line="202" w:lineRule="exact"/>
              <w:rPr>
                <w:sz w:val="20"/>
                <w:szCs w:val="20"/>
                <w:color w:val="auto"/>
              </w:rPr>
            </w:pPr>
            <w:r>
              <w:rPr>
                <w:rFonts w:ascii="Arial" w:cs="Arial" w:eastAsia="Arial" w:hAnsi="Arial"/>
                <w:sz w:val="18"/>
                <w:szCs w:val="18"/>
                <w:color w:val="auto"/>
              </w:rPr>
              <w:t> </w:t>
            </w:r>
          </w:p>
        </w:tc>
        <w:tc>
          <w:tcPr>
            <w:tcW w:w="5040" w:type="dxa"/>
            <w:vAlign w:val="bottom"/>
          </w:tcPr>
          <w:p>
            <w:pPr>
              <w:ind w:left="60"/>
              <w:spacing w:after="0" w:line="202" w:lineRule="exact"/>
              <w:rPr>
                <w:sz w:val="20"/>
                <w:szCs w:val="20"/>
                <w:color w:val="auto"/>
              </w:rPr>
            </w:pPr>
            <w:r>
              <w:rPr>
                <w:rFonts w:ascii="Arial" w:cs="Arial" w:eastAsia="Arial" w:hAnsi="Arial"/>
                <w:sz w:val="18"/>
                <w:szCs w:val="18"/>
                <w:color w:val="auto"/>
              </w:rPr>
              <w:t>Mr. Zegras leads the Company’s ecommerce fulfillment,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20" w:type="dxa"/>
            <w:vAlign w:val="bottom"/>
          </w:tcPr>
          <w:p>
            <w:pPr>
              <w:ind w:left="980"/>
              <w:spacing w:after="0" w:line="202" w:lineRule="exact"/>
              <w:rPr>
                <w:sz w:val="20"/>
                <w:szCs w:val="20"/>
                <w:color w:val="auto"/>
              </w:rPr>
            </w:pPr>
            <w:r>
              <w:rPr>
                <w:rFonts w:ascii="Arial" w:cs="Arial" w:eastAsia="Arial" w:hAnsi="Arial"/>
                <w:sz w:val="18"/>
                <w:szCs w:val="18"/>
                <w:b w:val="1"/>
                <w:bCs w:val="1"/>
                <w:color w:val="auto"/>
              </w:rPr>
              <w:t>Pitney Bowes Tenure:</w:t>
            </w:r>
          </w:p>
        </w:tc>
        <w:tc>
          <w:tcPr>
            <w:tcW w:w="5040" w:type="dxa"/>
            <w:vAlign w:val="bottom"/>
          </w:tcPr>
          <w:p>
            <w:pPr>
              <w:ind w:left="60"/>
              <w:spacing w:after="0" w:line="202" w:lineRule="exact"/>
              <w:rPr>
                <w:sz w:val="20"/>
                <w:szCs w:val="20"/>
                <w:color w:val="auto"/>
              </w:rPr>
            </w:pPr>
            <w:r>
              <w:rPr>
                <w:rFonts w:ascii="Arial" w:cs="Arial" w:eastAsia="Arial" w:hAnsi="Arial"/>
                <w:sz w:val="18"/>
                <w:szCs w:val="18"/>
                <w:color w:val="auto"/>
              </w:rPr>
              <w:t>delivery and returns services globally. Mr. Zegras has served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20" w:type="dxa"/>
            <w:vAlign w:val="bottom"/>
          </w:tcPr>
          <w:p>
            <w:pPr>
              <w:ind w:left="980"/>
              <w:spacing w:after="0" w:line="202" w:lineRule="exact"/>
              <w:rPr>
                <w:sz w:val="20"/>
                <w:szCs w:val="20"/>
                <w:color w:val="auto"/>
              </w:rPr>
            </w:pPr>
            <w:r>
              <w:rPr>
                <w:rFonts w:ascii="Arial" w:cs="Arial" w:eastAsia="Arial" w:hAnsi="Arial"/>
                <w:sz w:val="18"/>
                <w:szCs w:val="18"/>
                <w:color w:val="auto"/>
              </w:rPr>
              <w:t>10 Years</w:t>
            </w:r>
          </w:p>
        </w:tc>
        <w:tc>
          <w:tcPr>
            <w:tcW w:w="5040" w:type="dxa"/>
            <w:vAlign w:val="bottom"/>
          </w:tcPr>
          <w:p>
            <w:pPr>
              <w:ind w:left="60"/>
              <w:spacing w:after="0" w:line="202" w:lineRule="exact"/>
              <w:rPr>
                <w:sz w:val="20"/>
                <w:szCs w:val="20"/>
                <w:color w:val="auto"/>
              </w:rPr>
            </w:pPr>
            <w:r>
              <w:rPr>
                <w:rFonts w:ascii="Arial" w:cs="Arial" w:eastAsia="Arial" w:hAnsi="Arial"/>
                <w:sz w:val="18"/>
                <w:szCs w:val="18"/>
                <w:color w:val="auto"/>
              </w:rPr>
              <w:t>in several leadership positions, most recently as Chief</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20" w:type="dxa"/>
            <w:vAlign w:val="bottom"/>
          </w:tcPr>
          <w:p>
            <w:pPr>
              <w:ind w:left="980"/>
              <w:spacing w:after="0" w:line="202" w:lineRule="exact"/>
              <w:rPr>
                <w:sz w:val="20"/>
                <w:szCs w:val="20"/>
                <w:color w:val="auto"/>
              </w:rPr>
            </w:pPr>
            <w:r>
              <w:rPr>
                <w:rFonts w:ascii="Arial" w:cs="Arial" w:eastAsia="Arial" w:hAnsi="Arial"/>
                <w:sz w:val="18"/>
                <w:szCs w:val="18"/>
                <w:color w:val="auto"/>
              </w:rPr>
              <w:t> </w:t>
            </w:r>
          </w:p>
        </w:tc>
        <w:tc>
          <w:tcPr>
            <w:tcW w:w="5040" w:type="dxa"/>
            <w:vAlign w:val="bottom"/>
          </w:tcPr>
          <w:p>
            <w:pPr>
              <w:ind w:left="60"/>
              <w:spacing w:after="0" w:line="202" w:lineRule="exact"/>
              <w:rPr>
                <w:sz w:val="20"/>
                <w:szCs w:val="20"/>
                <w:color w:val="auto"/>
              </w:rPr>
            </w:pPr>
            <w:r>
              <w:rPr>
                <w:rFonts w:ascii="Arial" w:cs="Arial" w:eastAsia="Arial" w:hAnsi="Arial"/>
                <w:sz w:val="18"/>
                <w:szCs w:val="18"/>
                <w:color w:val="auto"/>
              </w:rPr>
              <w:t>Commercial Officer, where he led product management, pre-</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20" w:type="dxa"/>
            <w:vAlign w:val="bottom"/>
          </w:tcPr>
          <w:p>
            <w:pPr>
              <w:ind w:left="980"/>
              <w:spacing w:after="0" w:line="202" w:lineRule="exact"/>
              <w:rPr>
                <w:sz w:val="20"/>
                <w:szCs w:val="20"/>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SUNY</w:t>
            </w:r>
          </w:p>
        </w:tc>
        <w:tc>
          <w:tcPr>
            <w:tcW w:w="5040" w:type="dxa"/>
            <w:vAlign w:val="bottom"/>
          </w:tcPr>
          <w:p>
            <w:pPr>
              <w:ind w:left="60"/>
              <w:spacing w:after="0" w:line="202" w:lineRule="exact"/>
              <w:rPr>
                <w:sz w:val="20"/>
                <w:szCs w:val="20"/>
                <w:color w:val="auto"/>
              </w:rPr>
            </w:pPr>
            <w:r>
              <w:rPr>
                <w:rFonts w:ascii="Arial" w:cs="Arial" w:eastAsia="Arial" w:hAnsi="Arial"/>
                <w:sz w:val="18"/>
                <w:szCs w:val="18"/>
                <w:color w:val="auto"/>
              </w:rPr>
              <w:t>sales, sales, client success, and customer care for the Global</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20" w:type="dxa"/>
            <w:vAlign w:val="bottom"/>
          </w:tcPr>
          <w:p>
            <w:pPr>
              <w:ind w:left="980"/>
              <w:spacing w:after="0"/>
              <w:rPr>
                <w:sz w:val="20"/>
                <w:szCs w:val="20"/>
                <w:color w:val="auto"/>
              </w:rPr>
            </w:pPr>
            <w:r>
              <w:rPr>
                <w:rFonts w:ascii="Arial" w:cs="Arial" w:eastAsia="Arial" w:hAnsi="Arial"/>
                <w:sz w:val="18"/>
                <w:szCs w:val="18"/>
                <w:color w:val="auto"/>
              </w:rPr>
              <w:t>Geneseo</w:t>
            </w:r>
          </w:p>
        </w:tc>
        <w:tc>
          <w:tcPr>
            <w:tcW w:w="5040" w:type="dxa"/>
            <w:vAlign w:val="bottom"/>
          </w:tcPr>
          <w:p>
            <w:pPr>
              <w:ind w:left="60"/>
              <w:spacing w:after="0"/>
              <w:rPr>
                <w:sz w:val="20"/>
                <w:szCs w:val="20"/>
                <w:color w:val="auto"/>
              </w:rPr>
            </w:pPr>
            <w:r>
              <w:rPr>
                <w:rFonts w:ascii="Arial" w:cs="Arial" w:eastAsia="Arial" w:hAnsi="Arial"/>
                <w:sz w:val="18"/>
                <w:szCs w:val="18"/>
                <w:color w:val="auto"/>
              </w:rPr>
              <w:t>Ecommerce business segment.</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20" w:type="dxa"/>
            <w:vAlign w:val="bottom"/>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 xml:space="preserve">  </w:t>
            </w:r>
          </w:p>
        </w:tc>
        <w:tc>
          <w:tcPr>
            <w:tcW w:w="30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920" w:type="dxa"/>
            <w:vAlign w:val="bottom"/>
          </w:tcPr>
          <w:p>
            <w:pPr>
              <w:spacing w:after="0"/>
              <w:rPr>
                <w:sz w:val="24"/>
                <w:szCs w:val="24"/>
                <w:color w:val="auto"/>
              </w:rPr>
            </w:pPr>
          </w:p>
        </w:tc>
        <w:tc>
          <w:tcPr>
            <w:tcW w:w="1120" w:type="dxa"/>
            <w:vAlign w:val="bottom"/>
            <w:shd w:val="clear" w:color="auto" w:fill="F2F2F2"/>
          </w:tcPr>
          <w:p>
            <w:pPr>
              <w:spacing w:after="0"/>
              <w:rPr>
                <w:sz w:val="24"/>
                <w:szCs w:val="24"/>
                <w:color w:val="auto"/>
              </w:rPr>
            </w:pPr>
          </w:p>
        </w:tc>
        <w:tc>
          <w:tcPr>
            <w:tcW w:w="3020" w:type="dxa"/>
            <w:vAlign w:val="bottom"/>
            <w:shd w:val="clear" w:color="auto" w:fill="F2F2F2"/>
          </w:tcPr>
          <w:p>
            <w:pPr>
              <w:ind w:left="980"/>
              <w:spacing w:after="0"/>
              <w:rPr>
                <w:sz w:val="20"/>
                <w:szCs w:val="20"/>
                <w:color w:val="auto"/>
              </w:rPr>
            </w:pPr>
            <w:r>
              <w:rPr>
                <w:rFonts w:ascii="Arial" w:cs="Arial" w:eastAsia="Arial" w:hAnsi="Arial"/>
                <w:sz w:val="18"/>
                <w:szCs w:val="18"/>
                <w:b w:val="1"/>
                <w:bCs w:val="1"/>
                <w:color w:val="0072AF"/>
              </w:rPr>
              <w:t>Daniel J. Goldstein</w:t>
            </w:r>
          </w:p>
        </w:tc>
        <w:tc>
          <w:tcPr>
            <w:tcW w:w="5040" w:type="dxa"/>
            <w:vAlign w:val="bottom"/>
            <w:shd w:val="clear" w:color="auto" w:fill="F2F2F2"/>
          </w:tcPr>
          <w:p>
            <w:pPr>
              <w:ind w:left="60"/>
              <w:spacing w:after="0"/>
              <w:rPr>
                <w:sz w:val="20"/>
                <w:szCs w:val="20"/>
                <w:color w:val="auto"/>
              </w:rPr>
            </w:pPr>
            <w:r>
              <w:rPr>
                <w:rFonts w:ascii="Arial" w:cs="Arial" w:eastAsia="Arial" w:hAnsi="Arial"/>
                <w:sz w:val="18"/>
                <w:szCs w:val="18"/>
                <w:b w:val="1"/>
                <w:bCs w:val="1"/>
                <w:color w:val="auto"/>
              </w:rPr>
              <w:t xml:space="preserve">Executive Vice President and Chief Legal Officer </w:t>
            </w:r>
            <w:r>
              <w:rPr>
                <w:rFonts w:ascii="Arial" w:cs="Arial" w:eastAsia="Arial" w:hAnsi="Arial"/>
                <w:sz w:val="18"/>
                <w:szCs w:val="18"/>
                <w:i w:val="1"/>
                <w:iCs w:val="1"/>
                <w:color w:val="auto"/>
              </w:rPr>
              <w:t>since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3020" w:type="dxa"/>
            <w:vAlign w:val="bottom"/>
            <w:shd w:val="clear" w:color="auto" w:fill="F2F2F2"/>
          </w:tcPr>
          <w:p>
            <w:pPr>
              <w:ind w:left="980"/>
              <w:spacing w:after="0" w:line="202" w:lineRule="exact"/>
              <w:rPr>
                <w:sz w:val="20"/>
                <w:szCs w:val="20"/>
                <w:color w:val="auto"/>
              </w:rPr>
            </w:pPr>
            <w:r>
              <w:rPr>
                <w:rFonts w:ascii="Arial" w:cs="Arial" w:eastAsia="Arial" w:hAnsi="Arial"/>
                <w:sz w:val="18"/>
                <w:szCs w:val="18"/>
                <w:b w:val="1"/>
                <w:bCs w:val="1"/>
                <w:color w:val="auto"/>
              </w:rPr>
              <w:t> </w:t>
            </w:r>
          </w:p>
        </w:tc>
        <w:tc>
          <w:tcPr>
            <w:tcW w:w="5040" w:type="dxa"/>
            <w:vAlign w:val="bottom"/>
            <w:shd w:val="clear" w:color="auto" w:fill="F2F2F2"/>
          </w:tcPr>
          <w:p>
            <w:pPr>
              <w:ind w:left="60"/>
              <w:spacing w:after="0" w:line="202" w:lineRule="exact"/>
              <w:rPr>
                <w:sz w:val="20"/>
                <w:szCs w:val="20"/>
                <w:color w:val="auto"/>
              </w:rPr>
            </w:pPr>
            <w:r>
              <w:rPr>
                <w:rFonts w:ascii="Arial" w:cs="Arial" w:eastAsia="Arial" w:hAnsi="Arial"/>
                <w:sz w:val="18"/>
                <w:szCs w:val="18"/>
                <w:i w:val="1"/>
                <w:iCs w:val="1"/>
                <w:color w:val="auto"/>
              </w:rPr>
              <w:t>2010 through March 31, 2024</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3020" w:type="dxa"/>
            <w:vAlign w:val="bottom"/>
            <w:shd w:val="clear" w:color="auto" w:fill="F2F2F2"/>
          </w:tcPr>
          <w:p>
            <w:pPr>
              <w:ind w:left="980"/>
              <w:spacing w:after="0" w:line="202" w:lineRule="exact"/>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p>
        </w:tc>
        <w:tc>
          <w:tcPr>
            <w:tcW w:w="5040" w:type="dxa"/>
            <w:vAlign w:val="bottom"/>
            <w:shd w:val="clear" w:color="auto" w:fill="F2F2F2"/>
          </w:tcPr>
          <w:p>
            <w:pPr>
              <w:ind w:left="60"/>
              <w:spacing w:after="0" w:line="202" w:lineRule="exact"/>
              <w:rPr>
                <w:sz w:val="20"/>
                <w:szCs w:val="20"/>
                <w:color w:val="auto"/>
              </w:rPr>
            </w:pPr>
            <w:r>
              <w:rPr>
                <w:rFonts w:ascii="Arial" w:cs="Arial" w:eastAsia="Arial" w:hAnsi="Arial"/>
                <w:sz w:val="18"/>
                <w:szCs w:val="18"/>
                <w:color w:val="auto"/>
              </w:rPr>
              <w:t> </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3020" w:type="dxa"/>
            <w:vAlign w:val="bottom"/>
            <w:shd w:val="clear" w:color="auto" w:fill="F2F2F2"/>
          </w:tcPr>
          <w:p>
            <w:pPr>
              <w:ind w:left="980"/>
              <w:spacing w:after="0" w:line="202" w:lineRule="exact"/>
              <w:rPr>
                <w:sz w:val="20"/>
                <w:szCs w:val="20"/>
                <w:color w:val="auto"/>
              </w:rPr>
            </w:pPr>
            <w:r>
              <w:rPr>
                <w:rFonts w:ascii="Arial" w:cs="Arial" w:eastAsia="Arial" w:hAnsi="Arial"/>
                <w:sz w:val="18"/>
                <w:szCs w:val="18"/>
                <w:color w:val="auto"/>
              </w:rPr>
              <w:t> </w:t>
            </w:r>
          </w:p>
        </w:tc>
        <w:tc>
          <w:tcPr>
            <w:tcW w:w="5040" w:type="dxa"/>
            <w:vAlign w:val="bottom"/>
            <w:shd w:val="clear" w:color="auto" w:fill="F2F2F2"/>
          </w:tcPr>
          <w:p>
            <w:pPr>
              <w:ind w:left="60"/>
              <w:spacing w:after="0" w:line="202" w:lineRule="exact"/>
              <w:rPr>
                <w:sz w:val="20"/>
                <w:szCs w:val="20"/>
                <w:color w:val="auto"/>
              </w:rPr>
            </w:pPr>
            <w:r>
              <w:rPr>
                <w:rFonts w:ascii="Arial" w:cs="Arial" w:eastAsia="Arial" w:hAnsi="Arial"/>
                <w:sz w:val="18"/>
                <w:szCs w:val="18"/>
                <w:b w:val="1"/>
                <w:bCs w:val="1"/>
                <w:color w:val="auto"/>
              </w:rPr>
              <w:t xml:space="preserve">Corporate Secretary </w:t>
            </w:r>
            <w:r>
              <w:rPr>
                <w:rFonts w:ascii="Arial" w:cs="Arial" w:eastAsia="Arial" w:hAnsi="Arial"/>
                <w:sz w:val="18"/>
                <w:szCs w:val="18"/>
                <w:i w:val="1"/>
                <w:iCs w:val="1"/>
                <w:color w:val="auto"/>
              </w:rPr>
              <w:t>since 2016</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3020" w:type="dxa"/>
            <w:vAlign w:val="bottom"/>
            <w:shd w:val="clear" w:color="auto" w:fill="F2F2F2"/>
          </w:tcPr>
          <w:p>
            <w:pPr>
              <w:ind w:left="980"/>
              <w:spacing w:after="0" w:line="202" w:lineRule="exact"/>
              <w:rPr>
                <w:sz w:val="20"/>
                <w:szCs w:val="20"/>
                <w:color w:val="auto"/>
              </w:rPr>
            </w:pPr>
            <w:r>
              <w:rPr>
                <w:rFonts w:ascii="Arial" w:cs="Arial" w:eastAsia="Arial" w:hAnsi="Arial"/>
                <w:sz w:val="18"/>
                <w:szCs w:val="18"/>
                <w:b w:val="1"/>
                <w:bCs w:val="1"/>
                <w:color w:val="auto"/>
              </w:rPr>
              <w:t>Pitney Bowes Tenure:</w:t>
            </w:r>
          </w:p>
        </w:tc>
        <w:tc>
          <w:tcPr>
            <w:tcW w:w="5040" w:type="dxa"/>
            <w:vAlign w:val="bottom"/>
            <w:shd w:val="clear" w:color="auto" w:fill="F2F2F2"/>
          </w:tcPr>
          <w:p>
            <w:pPr>
              <w:ind w:left="60"/>
              <w:spacing w:after="0" w:line="202" w:lineRule="exact"/>
              <w:rPr>
                <w:sz w:val="20"/>
                <w:szCs w:val="20"/>
                <w:color w:val="auto"/>
              </w:rPr>
            </w:pPr>
            <w:r>
              <w:rPr>
                <w:rFonts w:ascii="Arial" w:cs="Arial" w:eastAsia="Arial" w:hAnsi="Arial"/>
                <w:sz w:val="18"/>
                <w:szCs w:val="18"/>
                <w:color w:val="auto"/>
              </w:rPr>
              <w:t> </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3020" w:type="dxa"/>
            <w:vAlign w:val="bottom"/>
            <w:shd w:val="clear" w:color="auto" w:fill="F2F2F2"/>
          </w:tcPr>
          <w:p>
            <w:pPr>
              <w:ind w:left="980"/>
              <w:spacing w:after="0" w:line="202" w:lineRule="exact"/>
              <w:rPr>
                <w:sz w:val="20"/>
                <w:szCs w:val="20"/>
                <w:color w:val="auto"/>
              </w:rPr>
            </w:pPr>
            <w:r>
              <w:rPr>
                <w:rFonts w:ascii="Arial" w:cs="Arial" w:eastAsia="Arial" w:hAnsi="Arial"/>
                <w:sz w:val="18"/>
                <w:szCs w:val="18"/>
                <w:color w:val="auto"/>
              </w:rPr>
              <w:t>22 Years</w:t>
            </w:r>
          </w:p>
        </w:tc>
        <w:tc>
          <w:tcPr>
            <w:tcW w:w="5040" w:type="dxa"/>
            <w:vAlign w:val="bottom"/>
            <w:shd w:val="clear" w:color="auto" w:fill="F2F2F2"/>
          </w:tcPr>
          <w:p>
            <w:pPr>
              <w:ind w:left="60"/>
              <w:spacing w:after="0" w:line="202" w:lineRule="exact"/>
              <w:rPr>
                <w:sz w:val="20"/>
                <w:szCs w:val="20"/>
                <w:color w:val="auto"/>
              </w:rPr>
            </w:pPr>
            <w:r>
              <w:rPr>
                <w:rFonts w:ascii="Arial" w:cs="Arial" w:eastAsia="Arial" w:hAnsi="Arial"/>
                <w:sz w:val="18"/>
                <w:szCs w:val="18"/>
                <w:color w:val="auto"/>
              </w:rPr>
              <w:t>Mr. Goldstein is responsible for a wide range of corporate</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3020" w:type="dxa"/>
            <w:vAlign w:val="bottom"/>
            <w:shd w:val="clear" w:color="auto" w:fill="F2F2F2"/>
          </w:tcPr>
          <w:p>
            <w:pPr>
              <w:ind w:left="980"/>
              <w:spacing w:after="0" w:line="202" w:lineRule="exact"/>
              <w:rPr>
                <w:sz w:val="20"/>
                <w:szCs w:val="20"/>
                <w:color w:val="auto"/>
              </w:rPr>
            </w:pPr>
            <w:r>
              <w:rPr>
                <w:rFonts w:ascii="Arial" w:cs="Arial" w:eastAsia="Arial" w:hAnsi="Arial"/>
                <w:sz w:val="18"/>
                <w:szCs w:val="18"/>
                <w:color w:val="auto"/>
              </w:rPr>
              <w:t> </w:t>
            </w:r>
          </w:p>
        </w:tc>
        <w:tc>
          <w:tcPr>
            <w:tcW w:w="5040" w:type="dxa"/>
            <w:vAlign w:val="bottom"/>
            <w:shd w:val="clear" w:color="auto" w:fill="F2F2F2"/>
          </w:tcPr>
          <w:p>
            <w:pPr>
              <w:ind w:left="60"/>
              <w:spacing w:after="0" w:line="202" w:lineRule="exact"/>
              <w:rPr>
                <w:sz w:val="20"/>
                <w:szCs w:val="20"/>
                <w:color w:val="auto"/>
              </w:rPr>
            </w:pPr>
            <w:r>
              <w:rPr>
                <w:rFonts w:ascii="Arial" w:cs="Arial" w:eastAsia="Arial" w:hAnsi="Arial"/>
                <w:sz w:val="18"/>
                <w:szCs w:val="18"/>
                <w:color w:val="auto"/>
              </w:rPr>
              <w:t>functions including legal, intellectual property, governance,</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3020" w:type="dxa"/>
            <w:vAlign w:val="bottom"/>
            <w:shd w:val="clear" w:color="auto" w:fill="F2F2F2"/>
          </w:tcPr>
          <w:p>
            <w:pPr>
              <w:ind w:left="980"/>
              <w:spacing w:after="0" w:line="202" w:lineRule="exact"/>
              <w:rPr>
                <w:sz w:val="20"/>
                <w:szCs w:val="20"/>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University of</w:t>
            </w:r>
          </w:p>
        </w:tc>
        <w:tc>
          <w:tcPr>
            <w:tcW w:w="5040" w:type="dxa"/>
            <w:vAlign w:val="bottom"/>
            <w:shd w:val="clear" w:color="auto" w:fill="F2F2F2"/>
          </w:tcPr>
          <w:p>
            <w:pPr>
              <w:ind w:left="60"/>
              <w:spacing w:after="0" w:line="202" w:lineRule="exact"/>
              <w:rPr>
                <w:sz w:val="20"/>
                <w:szCs w:val="20"/>
                <w:color w:val="auto"/>
              </w:rPr>
            </w:pPr>
            <w:r>
              <w:rPr>
                <w:rFonts w:ascii="Arial" w:cs="Arial" w:eastAsia="Arial" w:hAnsi="Arial"/>
                <w:sz w:val="18"/>
                <w:szCs w:val="18"/>
                <w:color w:val="auto"/>
              </w:rPr>
              <w:t>ethics, compliance, government and regulatory affairs,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3020" w:type="dxa"/>
            <w:vAlign w:val="bottom"/>
            <w:shd w:val="clear" w:color="auto" w:fill="F2F2F2"/>
          </w:tcPr>
          <w:p>
            <w:pPr>
              <w:ind w:left="980"/>
              <w:spacing w:after="0" w:line="202" w:lineRule="exact"/>
              <w:rPr>
                <w:sz w:val="20"/>
                <w:szCs w:val="20"/>
                <w:color w:val="auto"/>
              </w:rPr>
            </w:pPr>
            <w:r>
              <w:rPr>
                <w:rFonts w:ascii="Arial" w:cs="Arial" w:eastAsia="Arial" w:hAnsi="Arial"/>
                <w:sz w:val="18"/>
                <w:szCs w:val="18"/>
                <w:color w:val="auto"/>
              </w:rPr>
              <w:t>Pennsylvania;</w:t>
            </w:r>
          </w:p>
        </w:tc>
        <w:tc>
          <w:tcPr>
            <w:tcW w:w="5040" w:type="dxa"/>
            <w:vAlign w:val="bottom"/>
            <w:shd w:val="clear" w:color="auto" w:fill="F2F2F2"/>
          </w:tcPr>
          <w:p>
            <w:pPr>
              <w:ind w:left="60"/>
              <w:spacing w:after="0" w:line="202" w:lineRule="exact"/>
              <w:rPr>
                <w:sz w:val="20"/>
                <w:szCs w:val="20"/>
                <w:color w:val="auto"/>
              </w:rPr>
            </w:pPr>
            <w:r>
              <w:rPr>
                <w:rFonts w:ascii="Arial" w:cs="Arial" w:eastAsia="Arial" w:hAnsi="Arial"/>
                <w:sz w:val="18"/>
                <w:szCs w:val="18"/>
                <w:color w:val="auto"/>
              </w:rPr>
              <w:t>environment, and health &amp; safety.</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vMerge w:val="restart"/>
            <w:shd w:val="clear" w:color="auto" w:fill="F2F2F2"/>
          </w:tcPr>
          <w:p>
            <w:pPr>
              <w:ind w:left="40"/>
              <w:spacing w:after="0"/>
              <w:rPr>
                <w:sz w:val="20"/>
                <w:szCs w:val="20"/>
                <w:color w:val="auto"/>
              </w:rPr>
            </w:pPr>
            <w:r>
              <w:rPr>
                <w:rFonts w:ascii="Arial" w:cs="Arial" w:eastAsia="Arial" w:hAnsi="Arial"/>
                <w:sz w:val="18"/>
                <w:szCs w:val="18"/>
                <w:color w:val="auto"/>
              </w:rPr>
              <w:t> </w:t>
            </w:r>
          </w:p>
        </w:tc>
        <w:tc>
          <w:tcPr>
            <w:tcW w:w="3020" w:type="dxa"/>
            <w:vAlign w:val="bottom"/>
            <w:shd w:val="clear" w:color="auto" w:fill="F2F2F2"/>
          </w:tcPr>
          <w:p>
            <w:pPr>
              <w:ind w:left="980"/>
              <w:spacing w:after="0" w:line="202" w:lineRule="exact"/>
              <w:rPr>
                <w:sz w:val="20"/>
                <w:szCs w:val="20"/>
                <w:color w:val="auto"/>
              </w:rPr>
            </w:pPr>
            <w:r>
              <w:rPr>
                <w:rFonts w:ascii="Arial" w:cs="Arial" w:eastAsia="Arial" w:hAnsi="Arial"/>
                <w:sz w:val="18"/>
                <w:szCs w:val="18"/>
                <w:color w:val="auto"/>
              </w:rPr>
              <w:t>Wharton School of</w:t>
            </w:r>
          </w:p>
        </w:tc>
        <w:tc>
          <w:tcPr>
            <w:tcW w:w="5040" w:type="dxa"/>
            <w:vAlign w:val="bottom"/>
            <w:shd w:val="clear" w:color="auto" w:fill="F2F2F2"/>
          </w:tcPr>
          <w:p>
            <w:pPr>
              <w:ind w:left="60"/>
              <w:spacing w:after="0" w:line="202" w:lineRule="exact"/>
              <w:rPr>
                <w:sz w:val="20"/>
                <w:szCs w:val="20"/>
                <w:color w:val="auto"/>
              </w:rPr>
            </w:pPr>
            <w:r>
              <w:rPr>
                <w:rFonts w:ascii="Arial" w:cs="Arial" w:eastAsia="Arial" w:hAnsi="Arial"/>
                <w:sz w:val="18"/>
                <w:szCs w:val="18"/>
                <w:color w:val="auto"/>
              </w:rPr>
              <w:t> </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vMerge w:val="continue"/>
            <w:shd w:val="clear" w:color="auto" w:fill="F2F2F2"/>
          </w:tcPr>
          <w:p>
            <w:pPr>
              <w:spacing w:after="0"/>
              <w:rPr>
                <w:sz w:val="17"/>
                <w:szCs w:val="17"/>
                <w:color w:val="auto"/>
              </w:rPr>
            </w:pPr>
          </w:p>
        </w:tc>
        <w:tc>
          <w:tcPr>
            <w:tcW w:w="3020" w:type="dxa"/>
            <w:vAlign w:val="bottom"/>
            <w:shd w:val="clear" w:color="auto" w:fill="F2F2F2"/>
          </w:tcPr>
          <w:p>
            <w:pPr>
              <w:ind w:left="980"/>
              <w:spacing w:after="0" w:line="202" w:lineRule="exact"/>
              <w:rPr>
                <w:sz w:val="20"/>
                <w:szCs w:val="20"/>
                <w:color w:val="auto"/>
              </w:rPr>
            </w:pPr>
            <w:r>
              <w:rPr>
                <w:rFonts w:ascii="Arial" w:cs="Arial" w:eastAsia="Arial" w:hAnsi="Arial"/>
                <w:sz w:val="18"/>
                <w:szCs w:val="18"/>
                <w:color w:val="auto"/>
              </w:rPr>
              <w:t>Business;</w:t>
            </w:r>
          </w:p>
        </w:tc>
        <w:tc>
          <w:tcPr>
            <w:tcW w:w="5040" w:type="dxa"/>
            <w:vAlign w:val="bottom"/>
            <w:shd w:val="clear" w:color="auto" w:fill="F2F2F2"/>
          </w:tcPr>
          <w:p>
            <w:pPr>
              <w:ind w:left="60"/>
              <w:spacing w:after="0" w:line="202" w:lineRule="exact"/>
              <w:rPr>
                <w:sz w:val="20"/>
                <w:szCs w:val="20"/>
                <w:color w:val="auto"/>
              </w:rPr>
            </w:pPr>
            <w:r>
              <w:rPr>
                <w:rFonts w:ascii="Arial" w:cs="Arial" w:eastAsia="Arial" w:hAnsi="Arial"/>
                <w:sz w:val="18"/>
                <w:szCs w:val="18"/>
                <w:color w:val="auto"/>
              </w:rPr>
              <w:t>Mr. Goldstein retired from Pitney Bowes effective March 31,</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3020" w:type="dxa"/>
            <w:vAlign w:val="bottom"/>
            <w:shd w:val="clear" w:color="auto" w:fill="F2F2F2"/>
          </w:tcPr>
          <w:p>
            <w:pPr>
              <w:ind w:left="980"/>
              <w:spacing w:after="0" w:line="202" w:lineRule="exact"/>
              <w:rPr>
                <w:sz w:val="20"/>
                <w:szCs w:val="20"/>
                <w:color w:val="auto"/>
              </w:rPr>
            </w:pPr>
            <w:r>
              <w:rPr>
                <w:rFonts w:ascii="Arial" w:cs="Arial" w:eastAsia="Arial" w:hAnsi="Arial"/>
                <w:sz w:val="18"/>
                <w:szCs w:val="18"/>
                <w:color w:val="auto"/>
              </w:rPr>
              <w:t>JD, Harvard Law School</w:t>
            </w:r>
          </w:p>
        </w:tc>
        <w:tc>
          <w:tcPr>
            <w:tcW w:w="5040" w:type="dxa"/>
            <w:vAlign w:val="bottom"/>
            <w:shd w:val="clear" w:color="auto" w:fill="F2F2F2"/>
          </w:tcPr>
          <w:p>
            <w:pPr>
              <w:ind w:left="60"/>
              <w:spacing w:after="0" w:line="202" w:lineRule="exact"/>
              <w:rPr>
                <w:sz w:val="20"/>
                <w:szCs w:val="20"/>
                <w:color w:val="auto"/>
              </w:rPr>
            </w:pPr>
            <w:r>
              <w:rPr>
                <w:rFonts w:ascii="Arial" w:cs="Arial" w:eastAsia="Arial" w:hAnsi="Arial"/>
                <w:sz w:val="18"/>
                <w:szCs w:val="18"/>
                <w:color w:val="auto"/>
              </w:rPr>
              <w:t>2024. Effective April 2, 2024, Lauren Freeman-Bosworth was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3020" w:type="dxa"/>
            <w:vAlign w:val="bottom"/>
            <w:shd w:val="clear" w:color="auto" w:fill="F2F2F2"/>
          </w:tcPr>
          <w:p>
            <w:pPr>
              <w:spacing w:after="0"/>
              <w:rPr>
                <w:sz w:val="17"/>
                <w:szCs w:val="17"/>
                <w:color w:val="auto"/>
              </w:rPr>
            </w:pPr>
          </w:p>
        </w:tc>
        <w:tc>
          <w:tcPr>
            <w:tcW w:w="5040" w:type="dxa"/>
            <w:vAlign w:val="bottom"/>
            <w:shd w:val="clear" w:color="auto" w:fill="F2F2F2"/>
          </w:tcPr>
          <w:p>
            <w:pPr>
              <w:ind w:left="60"/>
              <w:spacing w:after="0" w:line="202" w:lineRule="exact"/>
              <w:rPr>
                <w:sz w:val="20"/>
                <w:szCs w:val="20"/>
                <w:color w:val="auto"/>
              </w:rPr>
            </w:pPr>
            <w:r>
              <w:rPr>
                <w:rFonts w:ascii="Arial" w:cs="Arial" w:eastAsia="Arial" w:hAnsi="Arial"/>
                <w:sz w:val="18"/>
                <w:szCs w:val="18"/>
                <w:color w:val="auto"/>
              </w:rPr>
              <w:t>appointed to the role of Executive Vice President, General</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920" w:type="dxa"/>
            <w:vAlign w:val="bottom"/>
          </w:tcPr>
          <w:p>
            <w:pPr>
              <w:spacing w:after="0"/>
              <w:rPr>
                <w:sz w:val="20"/>
                <w:szCs w:val="20"/>
                <w:color w:val="auto"/>
              </w:rPr>
            </w:pPr>
          </w:p>
        </w:tc>
        <w:tc>
          <w:tcPr>
            <w:tcW w:w="1120" w:type="dxa"/>
            <w:vAlign w:val="bottom"/>
            <w:shd w:val="clear" w:color="auto" w:fill="F2F2F2"/>
          </w:tcPr>
          <w:p>
            <w:pPr>
              <w:spacing w:after="0"/>
              <w:rPr>
                <w:sz w:val="20"/>
                <w:szCs w:val="20"/>
                <w:color w:val="auto"/>
              </w:rPr>
            </w:pPr>
          </w:p>
        </w:tc>
        <w:tc>
          <w:tcPr>
            <w:tcW w:w="3020" w:type="dxa"/>
            <w:vAlign w:val="bottom"/>
            <w:shd w:val="clear" w:color="auto" w:fill="F2F2F2"/>
          </w:tcPr>
          <w:p>
            <w:pPr>
              <w:spacing w:after="0"/>
              <w:rPr>
                <w:sz w:val="20"/>
                <w:szCs w:val="20"/>
                <w:color w:val="auto"/>
              </w:rPr>
            </w:pPr>
          </w:p>
        </w:tc>
        <w:tc>
          <w:tcPr>
            <w:tcW w:w="5040" w:type="dxa"/>
            <w:vAlign w:val="bottom"/>
            <w:shd w:val="clear" w:color="auto" w:fill="F2F2F2"/>
          </w:tcPr>
          <w:p>
            <w:pPr>
              <w:ind w:left="60"/>
              <w:spacing w:after="0"/>
              <w:rPr>
                <w:sz w:val="20"/>
                <w:szCs w:val="20"/>
                <w:color w:val="auto"/>
              </w:rPr>
            </w:pPr>
            <w:r>
              <w:rPr>
                <w:rFonts w:ascii="Arial" w:cs="Arial" w:eastAsia="Arial" w:hAnsi="Arial"/>
                <w:sz w:val="18"/>
                <w:szCs w:val="18"/>
                <w:color w:val="auto"/>
              </w:rPr>
              <w:t>Counsel and Corporate Secretary.</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3020" w:type="dxa"/>
            <w:vAlign w:val="bottom"/>
            <w:shd w:val="clear" w:color="auto" w:fill="F2F2F2"/>
          </w:tcPr>
          <w:p>
            <w:pPr>
              <w:spacing w:after="0"/>
              <w:rPr>
                <w:sz w:val="17"/>
                <w:szCs w:val="17"/>
                <w:color w:val="auto"/>
              </w:rPr>
            </w:pPr>
          </w:p>
        </w:tc>
        <w:tc>
          <w:tcPr>
            <w:tcW w:w="5040" w:type="dxa"/>
            <w:vAlign w:val="bottom"/>
            <w:shd w:val="clear" w:color="auto" w:fill="F2F2F2"/>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6"/>
        </w:trPr>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51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9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50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-5768975</wp:posOffset>
            </wp:positionV>
            <wp:extent cx="1217295" cy="12858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17295" cy="128587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-3959860</wp:posOffset>
            </wp:positionV>
            <wp:extent cx="1217295" cy="12858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17295" cy="128587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-2339975</wp:posOffset>
            </wp:positionV>
            <wp:extent cx="1217295" cy="12858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17295" cy="128587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2023 NAMED EXECUTIVE OFFICERS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234950</wp:posOffset>
            </wp:positionV>
            <wp:extent cx="1217295" cy="12858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17295" cy="1285875"/>
                    </a:xfrm>
                    <a:prstGeom prst="rect">
                      <a:avLst/>
                    </a:prstGeom>
                    <a:noFill/>
                  </pic:spPr>
                </pic:pic>
              </a:graphicData>
            </a:graphic>
          </wp:anchor>
        </w:drawing>
      </w:r>
    </w:p>
    <w:p>
      <w:pPr>
        <w:sectPr>
          <w:pgSz w:w="11900" w:h="16838" w:orient="portrait"/>
          <w:cols w:equalWidth="0" w:num="1">
            <w:col w:w="9100"/>
          </w:cols>
          <w:pgMar w:left="1360" w:top="114"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b w:val="1"/>
          <w:bCs w:val="1"/>
          <w:color w:val="0072AF"/>
        </w:rPr>
        <w:t>James Fairweather</w:t>
      </w:r>
      <w:r>
        <w:rPr>
          <w:sz w:val="20"/>
          <w:szCs w:val="20"/>
          <w:color w:val="auto"/>
        </w:rPr>
        <w:tab/>
      </w:r>
      <w:r>
        <w:rPr>
          <w:rFonts w:ascii="Arial" w:cs="Arial" w:eastAsia="Arial" w:hAnsi="Arial"/>
          <w:sz w:val="17"/>
          <w:szCs w:val="17"/>
          <w:b w:val="1"/>
          <w:bCs w:val="1"/>
          <w:color w:val="auto"/>
        </w:rPr>
        <w:t xml:space="preserve">Executive Vice President </w:t>
      </w:r>
      <w:r>
        <w:rPr>
          <w:rFonts w:ascii="Arial" w:cs="Arial" w:eastAsia="Arial" w:hAnsi="Arial"/>
          <w:sz w:val="17"/>
          <w:szCs w:val="17"/>
          <w:i w:val="1"/>
          <w:iCs w:val="1"/>
          <w:color w:val="auto"/>
        </w:rPr>
        <w:t>since 2021</w:t>
      </w:r>
    </w:p>
    <w:p>
      <w:pPr>
        <w:spacing w:after="0" w:line="9"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b w:val="1"/>
          <w:bCs w:val="1"/>
          <w:color w:val="auto"/>
        </w:rPr>
        <w:t> </w:t>
      </w:r>
      <w:r>
        <w:rPr>
          <w:sz w:val="20"/>
          <w:szCs w:val="20"/>
          <w:color w:val="auto"/>
        </w:rPr>
        <w:tab/>
      </w:r>
      <w:r>
        <w:rPr>
          <w:rFonts w:ascii="Arial" w:cs="Arial" w:eastAsia="Arial" w:hAnsi="Arial"/>
          <w:sz w:val="18"/>
          <w:szCs w:val="18"/>
          <w:color w:val="auto"/>
        </w:rPr>
        <w:t> </w:t>
      </w:r>
    </w:p>
    <w:p>
      <w:pPr>
        <w:spacing w:after="0"/>
        <w:tabs>
          <w:tab w:leader="none" w:pos="208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52</w:t>
      </w:r>
      <w:r>
        <w:rPr>
          <w:sz w:val="20"/>
          <w:szCs w:val="20"/>
          <w:color w:val="auto"/>
        </w:rPr>
        <w:tab/>
      </w:r>
      <w:r>
        <w:rPr>
          <w:rFonts w:ascii="Arial" w:cs="Arial" w:eastAsia="Arial" w:hAnsi="Arial"/>
          <w:sz w:val="17"/>
          <w:szCs w:val="17"/>
          <w:b w:val="1"/>
          <w:bCs w:val="1"/>
          <w:color w:val="auto"/>
        </w:rPr>
        <w:t xml:space="preserve">Chief Innovation Officer </w:t>
      </w:r>
      <w:r>
        <w:rPr>
          <w:rFonts w:ascii="Arial" w:cs="Arial" w:eastAsia="Arial" w:hAnsi="Arial"/>
          <w:sz w:val="17"/>
          <w:szCs w:val="17"/>
          <w:i w:val="1"/>
          <w:iCs w:val="1"/>
          <w:color w:val="auto"/>
        </w:rPr>
        <w:t>since 2019</w:t>
      </w:r>
    </w:p>
    <w:p>
      <w:pPr>
        <w:spacing w:after="0" w:line="235" w:lineRule="auto"/>
        <w:tabs>
          <w:tab w:leader="none" w:pos="20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w:t>
      </w:r>
    </w:p>
    <w:p>
      <w:pPr>
        <w:spacing w:after="0"/>
        <w:tabs>
          <w:tab w:leader="none" w:pos="2080" w:val="left"/>
        </w:tabs>
        <w:rPr>
          <w:sz w:val="20"/>
          <w:szCs w:val="20"/>
          <w:color w:val="auto"/>
        </w:rPr>
      </w:pPr>
      <w:r>
        <w:rPr>
          <w:rFonts w:ascii="Arial" w:cs="Arial" w:eastAsia="Arial" w:hAnsi="Arial"/>
          <w:sz w:val="18"/>
          <w:szCs w:val="18"/>
          <w:b w:val="1"/>
          <w:bCs w:val="1"/>
          <w:color w:val="auto"/>
        </w:rPr>
        <w:t>Pitney Bowes Tenure:</w:t>
      </w:r>
      <w:r>
        <w:rPr>
          <w:sz w:val="20"/>
          <w:szCs w:val="20"/>
          <w:color w:val="auto"/>
        </w:rPr>
        <w:tab/>
      </w:r>
      <w:r>
        <w:rPr>
          <w:rFonts w:ascii="Arial" w:cs="Arial" w:eastAsia="Arial" w:hAnsi="Arial"/>
          <w:sz w:val="17"/>
          <w:szCs w:val="17"/>
          <w:color w:val="auto"/>
        </w:rPr>
        <w:t>Mr. Fairweather is responsible for and leads our innovation</w:t>
      </w:r>
    </w:p>
    <w:p>
      <w:pPr>
        <w:spacing w:after="0"/>
        <w:tabs>
          <w:tab w:leader="none" w:pos="2080" w:val="left"/>
        </w:tabs>
        <w:rPr>
          <w:sz w:val="20"/>
          <w:szCs w:val="20"/>
          <w:color w:val="auto"/>
        </w:rPr>
      </w:pPr>
      <w:r>
        <w:rPr>
          <w:rFonts w:ascii="Arial" w:cs="Arial" w:eastAsia="Arial" w:hAnsi="Arial"/>
          <w:sz w:val="18"/>
          <w:szCs w:val="18"/>
          <w:color w:val="auto"/>
        </w:rPr>
        <w:t>24 Years</w:t>
      </w:r>
      <w:r>
        <w:rPr>
          <w:sz w:val="20"/>
          <w:szCs w:val="20"/>
          <w:color w:val="auto"/>
        </w:rPr>
        <w:tab/>
      </w:r>
      <w:r>
        <w:rPr>
          <w:rFonts w:ascii="Arial" w:cs="Arial" w:eastAsia="Arial" w:hAnsi="Arial"/>
          <w:sz w:val="17"/>
          <w:szCs w:val="17"/>
          <w:color w:val="auto"/>
        </w:rPr>
        <w:t>strategy. He was named Senior Vice President and Chief</w:t>
      </w:r>
    </w:p>
    <w:p>
      <w:pPr>
        <w:spacing w:after="0" w:line="235" w:lineRule="auto"/>
        <w:tabs>
          <w:tab w:leader="none" w:pos="20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Innovation Officer in May 2019, and prior to that was Senior</w:t>
      </w:r>
    </w:p>
    <w:p>
      <w:pPr>
        <w:spacing w:after="0"/>
        <w:tabs>
          <w:tab w:leader="none" w:pos="2080" w:val="left"/>
        </w:tabs>
        <w:rPr>
          <w:sz w:val="20"/>
          <w:szCs w:val="20"/>
          <w:color w:val="auto"/>
        </w:rPr>
      </w:pPr>
      <w:r>
        <w:rPr>
          <w:rFonts w:ascii="Arial" w:cs="Arial" w:eastAsia="Arial" w:hAnsi="Arial"/>
          <w:sz w:val="17"/>
          <w:szCs w:val="17"/>
          <w:b w:val="1"/>
          <w:bCs w:val="1"/>
          <w:color w:val="auto"/>
        </w:rPr>
        <w:t>Education:</w:t>
      </w:r>
      <w:r>
        <w:rPr>
          <w:sz w:val="20"/>
          <w:szCs w:val="20"/>
          <w:color w:val="auto"/>
        </w:rPr>
        <w:tab/>
      </w:r>
      <w:r>
        <w:rPr>
          <w:rFonts w:ascii="Arial" w:cs="Arial" w:eastAsia="Arial" w:hAnsi="Arial"/>
          <w:sz w:val="17"/>
          <w:szCs w:val="17"/>
          <w:color w:val="auto"/>
        </w:rPr>
        <w:t>Vice President and Chief Technology Officer for Pitney Bowes</w:t>
      </w:r>
    </w:p>
    <w:p>
      <w:pPr>
        <w:spacing w:after="0" w:line="3"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color w:val="auto"/>
        </w:rPr>
        <w:t>Rensselaer</w:t>
      </w:r>
      <w:r>
        <w:rPr>
          <w:sz w:val="20"/>
          <w:szCs w:val="20"/>
          <w:color w:val="auto"/>
        </w:rPr>
        <w:tab/>
      </w:r>
      <w:r>
        <w:rPr>
          <w:rFonts w:ascii="Arial" w:cs="Arial" w:eastAsia="Arial" w:hAnsi="Arial"/>
          <w:sz w:val="18"/>
          <w:szCs w:val="18"/>
          <w:color w:val="auto"/>
        </w:rPr>
        <w:t>Commerce Services, where he led the technology and cloud</w:t>
      </w:r>
    </w:p>
    <w:p>
      <w:pPr>
        <w:spacing w:after="0"/>
        <w:tabs>
          <w:tab w:leader="none" w:pos="2080" w:val="left"/>
        </w:tabs>
        <w:rPr>
          <w:sz w:val="20"/>
          <w:szCs w:val="20"/>
          <w:color w:val="auto"/>
        </w:rPr>
      </w:pPr>
      <w:r>
        <w:rPr>
          <w:rFonts w:ascii="Arial" w:cs="Arial" w:eastAsia="Arial" w:hAnsi="Arial"/>
          <w:sz w:val="18"/>
          <w:szCs w:val="18"/>
          <w:color w:val="auto"/>
        </w:rPr>
        <w:t>Polytechnic Institute</w:t>
      </w:r>
      <w:r>
        <w:rPr>
          <w:sz w:val="20"/>
          <w:szCs w:val="20"/>
          <w:color w:val="auto"/>
        </w:rPr>
        <w:tab/>
      </w:r>
      <w:r>
        <w:rPr>
          <w:rFonts w:ascii="Arial" w:cs="Arial" w:eastAsia="Arial" w:hAnsi="Arial"/>
          <w:sz w:val="17"/>
          <w:szCs w:val="17"/>
          <w:color w:val="auto"/>
        </w:rPr>
        <w:t>strategy for the Commerce Services business unit.</w:t>
      </w:r>
    </w:p>
    <w:p>
      <w:pPr>
        <w:spacing w:after="0" w:line="235" w:lineRule="auto"/>
        <w:rPr>
          <w:sz w:val="20"/>
          <w:szCs w:val="20"/>
          <w:color w:val="auto"/>
        </w:rPr>
      </w:pPr>
      <w:r>
        <w:rPr>
          <w:rFonts w:ascii="Arial" w:cs="Arial" w:eastAsia="Arial" w:hAnsi="Arial"/>
          <w:sz w:val="18"/>
          <w:szCs w:val="18"/>
          <w:color w:val="auto"/>
        </w:rPr>
        <w:t>PhD, Rensselaer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Polytechnic Institute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-1336675</wp:posOffset>
            </wp:positionH>
            <wp:positionV relativeFrom="paragraph">
              <wp:posOffset>160655</wp:posOffset>
            </wp:positionV>
            <wp:extent cx="5829300" cy="20142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829300" cy="2014220"/>
                    </a:xfrm>
                    <a:prstGeom prst="rect">
                      <a:avLst/>
                    </a:prstGeom>
                    <a:noFill/>
                  </pic:spPr>
                </pic:pic>
              </a:graphicData>
            </a:graphic>
          </wp:anchor>
        </w:drawing>
      </w:r>
    </w:p>
    <w:p>
      <w:pPr>
        <w:spacing w:after="0" w:line="336"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b w:val="1"/>
          <w:bCs w:val="1"/>
          <w:color w:val="0072AF"/>
        </w:rPr>
        <w:t>Marc B. Lautenbach</w:t>
      </w:r>
      <w:r>
        <w:rPr>
          <w:sz w:val="20"/>
          <w:szCs w:val="20"/>
          <w:color w:val="auto"/>
        </w:rPr>
        <w:tab/>
      </w:r>
      <w:r>
        <w:rPr>
          <w:rFonts w:ascii="Arial" w:cs="Arial" w:eastAsia="Arial" w:hAnsi="Arial"/>
          <w:sz w:val="17"/>
          <w:szCs w:val="17"/>
          <w:b w:val="1"/>
          <w:bCs w:val="1"/>
          <w:color w:val="auto"/>
        </w:rPr>
        <w:t xml:space="preserve">Former President and CEO </w:t>
      </w:r>
      <w:r>
        <w:rPr>
          <w:rFonts w:ascii="Arial" w:cs="Arial" w:eastAsia="Arial" w:hAnsi="Arial"/>
          <w:sz w:val="17"/>
          <w:szCs w:val="17"/>
          <w:i w:val="1"/>
          <w:iCs w:val="1"/>
          <w:color w:val="auto"/>
        </w:rPr>
        <w:t>2012 – 2023</w:t>
      </w:r>
    </w:p>
    <w:p>
      <w:pPr>
        <w:spacing w:after="0" w:line="9"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b w:val="1"/>
          <w:bCs w:val="1"/>
          <w:color w:val="auto"/>
        </w:rPr>
        <w:t> </w:t>
      </w:r>
      <w:r>
        <w:rPr>
          <w:sz w:val="20"/>
          <w:szCs w:val="20"/>
          <w:color w:val="auto"/>
        </w:rPr>
        <w:tab/>
      </w:r>
      <w:r>
        <w:rPr>
          <w:rFonts w:ascii="Arial" w:cs="Arial" w:eastAsia="Arial" w:hAnsi="Arial"/>
          <w:sz w:val="18"/>
          <w:szCs w:val="18"/>
          <w:color w:val="auto"/>
        </w:rPr>
        <w:t> </w:t>
      </w:r>
    </w:p>
    <w:p>
      <w:pPr>
        <w:spacing w:after="0"/>
        <w:tabs>
          <w:tab w:leader="none" w:pos="2080" w:val="left"/>
        </w:tabs>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Mr. Lautenbach joined Pitney Bowes Inc. as President and</w:t>
      </w:r>
    </w:p>
    <w:p>
      <w:pPr>
        <w:spacing w:after="0" w:line="235" w:lineRule="auto"/>
        <w:tabs>
          <w:tab w:leader="none" w:pos="20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CEO in December 2012 and remained in this role until</w:t>
      </w:r>
    </w:p>
    <w:p>
      <w:pPr>
        <w:spacing w:after="0"/>
        <w:tabs>
          <w:tab w:leader="none" w:pos="2080" w:val="left"/>
        </w:tabs>
        <w:rPr>
          <w:sz w:val="20"/>
          <w:szCs w:val="20"/>
          <w:color w:val="auto"/>
        </w:rPr>
      </w:pPr>
      <w:r>
        <w:rPr>
          <w:rFonts w:ascii="Arial" w:cs="Arial" w:eastAsia="Arial" w:hAnsi="Arial"/>
          <w:sz w:val="18"/>
          <w:szCs w:val="18"/>
          <w:b w:val="1"/>
          <w:bCs w:val="1"/>
          <w:color w:val="auto"/>
        </w:rPr>
        <w:t>Pitney Bowes Tenure:</w:t>
      </w:r>
      <w:r>
        <w:rPr>
          <w:sz w:val="20"/>
          <w:szCs w:val="20"/>
          <w:color w:val="auto"/>
        </w:rPr>
        <w:tab/>
      </w:r>
      <w:r>
        <w:rPr>
          <w:rFonts w:ascii="Arial" w:cs="Arial" w:eastAsia="Arial" w:hAnsi="Arial"/>
          <w:sz w:val="17"/>
          <w:szCs w:val="17"/>
          <w:color w:val="auto"/>
        </w:rPr>
        <w:t>replaced by Jason Dies, our current Interim CEO effective</w:t>
      </w:r>
    </w:p>
    <w:p>
      <w:pPr>
        <w:spacing w:after="0"/>
        <w:tabs>
          <w:tab w:leader="none" w:pos="2080" w:val="left"/>
        </w:tabs>
        <w:rPr>
          <w:sz w:val="20"/>
          <w:szCs w:val="20"/>
          <w:color w:val="auto"/>
        </w:rPr>
      </w:pPr>
      <w:r>
        <w:rPr>
          <w:rFonts w:ascii="Arial" w:cs="Arial" w:eastAsia="Arial" w:hAnsi="Arial"/>
          <w:sz w:val="18"/>
          <w:szCs w:val="18"/>
          <w:color w:val="auto"/>
        </w:rPr>
        <w:t>10 Years</w:t>
      </w:r>
      <w:r>
        <w:rPr>
          <w:sz w:val="20"/>
          <w:szCs w:val="20"/>
          <w:color w:val="auto"/>
        </w:rPr>
        <w:tab/>
      </w:r>
      <w:r>
        <w:rPr>
          <w:rFonts w:ascii="Arial" w:cs="Arial" w:eastAsia="Arial" w:hAnsi="Arial"/>
          <w:sz w:val="17"/>
          <w:szCs w:val="17"/>
          <w:color w:val="auto"/>
        </w:rPr>
        <w:t>October 2, 2023.</w:t>
      </w:r>
    </w:p>
    <w:p>
      <w:pPr>
        <w:spacing w:after="0" w:line="235" w:lineRule="auto"/>
        <w:rPr>
          <w:sz w:val="20"/>
          <w:szCs w:val="20"/>
          <w:color w:val="auto"/>
        </w:rPr>
      </w:pPr>
      <w:r>
        <w:rPr>
          <w:rFonts w:ascii="Arial" w:cs="Arial" w:eastAsia="Arial" w:hAnsi="Arial"/>
          <w:sz w:val="18"/>
          <w:szCs w:val="18"/>
          <w:color w:val="auto"/>
        </w:rPr>
        <w:t> </w:t>
      </w:r>
    </w:p>
    <w:p>
      <w:pPr>
        <w:spacing w:after="0" w:line="234" w:lineRule="auto"/>
        <w:rPr>
          <w:sz w:val="20"/>
          <w:szCs w:val="20"/>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Denison</w:t>
      </w:r>
    </w:p>
    <w:p>
      <w:pPr>
        <w:spacing w:after="0" w:line="235" w:lineRule="auto"/>
        <w:rPr>
          <w:sz w:val="20"/>
          <w:szCs w:val="20"/>
          <w:color w:val="auto"/>
        </w:rPr>
      </w:pPr>
      <w:r>
        <w:rPr>
          <w:rFonts w:ascii="Arial" w:cs="Arial" w:eastAsia="Arial" w:hAnsi="Arial"/>
          <w:sz w:val="18"/>
          <w:szCs w:val="18"/>
          <w:color w:val="auto"/>
        </w:rPr>
        <w:t>University;</w:t>
      </w:r>
    </w:p>
    <w:p>
      <w:pPr>
        <w:spacing w:after="0" w:line="235" w:lineRule="auto"/>
        <w:rPr>
          <w:sz w:val="20"/>
          <w:szCs w:val="20"/>
          <w:color w:val="auto"/>
        </w:rPr>
      </w:pPr>
      <w:r>
        <w:rPr>
          <w:rFonts w:ascii="Arial" w:cs="Arial" w:eastAsia="Arial" w:hAnsi="Arial"/>
          <w:sz w:val="18"/>
          <w:szCs w:val="18"/>
          <w:color w:val="auto"/>
        </w:rPr>
        <w:t>MBA, Kellogg</w:t>
      </w:r>
    </w:p>
    <w:p>
      <w:pPr>
        <w:spacing w:after="0" w:line="235" w:lineRule="auto"/>
        <w:rPr>
          <w:sz w:val="20"/>
          <w:szCs w:val="20"/>
          <w:color w:val="auto"/>
        </w:rPr>
      </w:pPr>
      <w:r>
        <w:rPr>
          <w:rFonts w:ascii="Arial" w:cs="Arial" w:eastAsia="Arial" w:hAnsi="Arial"/>
          <w:sz w:val="18"/>
          <w:szCs w:val="18"/>
          <w:color w:val="auto"/>
        </w:rPr>
        <w:t>Graduate School of</w:t>
      </w:r>
    </w:p>
    <w:p>
      <w:pPr>
        <w:spacing w:after="0" w:line="235" w:lineRule="auto"/>
        <w:rPr>
          <w:sz w:val="20"/>
          <w:szCs w:val="20"/>
          <w:color w:val="auto"/>
        </w:rPr>
      </w:pPr>
      <w:r>
        <w:rPr>
          <w:rFonts w:ascii="Arial" w:cs="Arial" w:eastAsia="Arial" w:hAnsi="Arial"/>
          <w:sz w:val="18"/>
          <w:szCs w:val="18"/>
          <w:color w:val="auto"/>
        </w:rPr>
        <w:t>Management</w:t>
      </w:r>
    </w:p>
    <w:p>
      <w:pPr>
        <w:spacing w:after="0" w:line="234" w:lineRule="auto"/>
        <w:rPr>
          <w:sz w:val="20"/>
          <w:szCs w:val="20"/>
          <w:color w:val="auto"/>
        </w:rPr>
      </w:pPr>
      <w:r>
        <w:rPr>
          <w:rFonts w:ascii="Arial" w:cs="Arial" w:eastAsia="Arial" w:hAnsi="Arial"/>
          <w:sz w:val="18"/>
          <w:szCs w:val="18"/>
          <w:color w:val="auto"/>
        </w:rPr>
        <w:t>at Northwestern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University</w:t>
      </w:r>
    </w:p>
    <w:p>
      <w:pPr>
        <w:spacing w:after="0" w:line="200" w:lineRule="exact"/>
        <w:rPr>
          <w:sz w:val="20"/>
          <w:szCs w:val="20"/>
          <w:color w:val="auto"/>
        </w:rPr>
      </w:pPr>
    </w:p>
    <w:p>
      <w:pPr>
        <w:sectPr>
          <w:pgSz w:w="11900" w:h="16838" w:orient="portrait"/>
          <w:cols w:equalWidth="0" w:num="2">
            <w:col w:w="1380" w:space="720"/>
            <w:col w:w="7000"/>
          </w:cols>
          <w:pgMar w:left="1360" w:top="114" w:right="1439" w:bottom="1440" w:gutter="0" w:footer="0" w:header="0"/>
          <w:type w:val="continuous"/>
        </w:sect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127635</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00"/>
          </w:cols>
          <w:pgMar w:left="1360" w:top="114" w:right="14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32"/>
          <w:szCs w:val="32"/>
          <w:b w:val="1"/>
          <w:bCs w:val="1"/>
          <w:color w:val="4B5A8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58293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6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The following discussion and analysis contains statements regarding Company performance targets and goals. These targets and goals are disclosed in the limited context of our compensation program and should not be understood to be statements of management’s expectations or estimates of results or other guidance. Investors should not apply these statements to other contexts.</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Some of the amounts in the CD&amp;A portion of this Proxy Statement are shown on a non-GAAP basis. For a reconciliation and additional detail on the calculation of the financial results reported in this Proxy Statement, including those described below, please refer to “Non-GAAP Measures” on page </w:t>
      </w:r>
      <w:r>
        <w:rPr>
          <w:rFonts w:ascii="Arial" w:cs="Arial" w:eastAsia="Arial" w:hAnsi="Arial"/>
          <w:sz w:val="18"/>
          <w:szCs w:val="18"/>
          <w:i w:val="1"/>
          <w:iCs w:val="1"/>
          <w:u w:val="single" w:color="auto"/>
          <w:color w:val="0000EE"/>
        </w:rPr>
        <w:t>95</w:t>
      </w:r>
      <w:r>
        <w:rPr>
          <w:rFonts w:ascii="Arial" w:cs="Arial" w:eastAsia="Arial" w:hAnsi="Arial"/>
          <w:sz w:val="18"/>
          <w:szCs w:val="18"/>
          <w:i w:val="1"/>
          <w:iCs w:val="1"/>
          <w:color w:val="auto"/>
        </w:rPr>
        <w:t xml:space="preserv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153670</wp:posOffset>
            </wp:positionV>
            <wp:extent cx="58293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Given substantial changes to the composition of the Board, the Executive Compensation Committee (Committee), and the Company’s leadership during 2023 (refer to “Overview of 2023 Compensation Components” on page </w:t>
      </w:r>
      <w:r>
        <w:rPr>
          <w:rFonts w:ascii="Arial" w:cs="Arial" w:eastAsia="Arial" w:hAnsi="Arial"/>
          <w:sz w:val="18"/>
          <w:szCs w:val="18"/>
          <w:u w:val="single" w:color="auto"/>
          <w:color w:val="0000EE"/>
        </w:rPr>
        <w:t>60</w:t>
      </w:r>
      <w:r>
        <w:rPr>
          <w:rFonts w:ascii="Arial" w:cs="Arial" w:eastAsia="Arial" w:hAnsi="Arial"/>
          <w:sz w:val="18"/>
          <w:szCs w:val="18"/>
          <w:color w:val="auto"/>
        </w:rPr>
        <w:t xml:space="preserve"> of this Proxy Statement for a detailed discussion of these changes), the CD&amp;A portion of this Proxy Statement has been written to not only summarize the compensation program and decisions made in 2023, but also to provide our stockholders with insight into the Committee’s planning on the 2024 compensation program. Over the course of 2023, members of the Committee engaged with stockholders to better understand sentiment on the executive compensation program, particularly in light of the say-on-pay ballot item at the 2023 Annual Meeting, which received approximately 46.5% of support from stockholders. These stockholder engagement conversations have helped to inform the Committee’s decisions regarding our executive compensation program going forward.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Within the CD&amp;A, you will find information regarding:</w:t>
      </w:r>
    </w:p>
    <w:p>
      <w:pPr>
        <w:spacing w:after="0" w:line="50" w:lineRule="exact"/>
        <w:rPr>
          <w:sz w:val="20"/>
          <w:szCs w:val="20"/>
          <w:color w:val="auto"/>
        </w:rPr>
      </w:pPr>
    </w:p>
    <w:p>
      <w:pPr>
        <w:ind w:left="420" w:hanging="210"/>
        <w:spacing w:after="0"/>
        <w:tabs>
          <w:tab w:leader="none" w:pos="420" w:val="left"/>
        </w:tabs>
        <w:numPr>
          <w:ilvl w:val="0"/>
          <w:numId w:val="31"/>
        </w:numPr>
        <w:rPr>
          <w:rFonts w:ascii="Arial" w:cs="Arial" w:eastAsia="Arial" w:hAnsi="Arial"/>
          <w:sz w:val="18"/>
          <w:szCs w:val="18"/>
          <w:color w:val="0072AF"/>
        </w:rPr>
      </w:pPr>
      <w:r>
        <w:rPr>
          <w:rFonts w:ascii="Arial" w:cs="Arial" w:eastAsia="Arial" w:hAnsi="Arial"/>
          <w:sz w:val="18"/>
          <w:szCs w:val="18"/>
          <w:color w:val="auto"/>
        </w:rPr>
        <w:t>2023 Company highlights.</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31"/>
        </w:numPr>
        <w:rPr>
          <w:rFonts w:ascii="Arial" w:cs="Arial" w:eastAsia="Arial" w:hAnsi="Arial"/>
          <w:sz w:val="18"/>
          <w:szCs w:val="18"/>
          <w:color w:val="0072AF"/>
        </w:rPr>
      </w:pPr>
      <w:r>
        <w:rPr>
          <w:rFonts w:ascii="Arial" w:cs="Arial" w:eastAsia="Arial" w:hAnsi="Arial"/>
          <w:sz w:val="18"/>
          <w:szCs w:val="18"/>
          <w:color w:val="auto"/>
        </w:rPr>
        <w:t>The transition and compensation of our Interim Chief Executive Officer (Interim CEO) and former CEO.</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31"/>
        </w:numPr>
        <w:rPr>
          <w:rFonts w:ascii="Arial" w:cs="Arial" w:eastAsia="Arial" w:hAnsi="Arial"/>
          <w:sz w:val="18"/>
          <w:szCs w:val="18"/>
          <w:color w:val="0072AF"/>
        </w:rPr>
      </w:pPr>
      <w:r>
        <w:rPr>
          <w:rFonts w:ascii="Arial" w:cs="Arial" w:eastAsia="Arial" w:hAnsi="Arial"/>
          <w:sz w:val="18"/>
          <w:szCs w:val="18"/>
          <w:color w:val="auto"/>
        </w:rPr>
        <w:t>Stockholder outreach efforts and implications on the 2024 compensation plan design.</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31"/>
        </w:numPr>
        <w:rPr>
          <w:rFonts w:ascii="Arial" w:cs="Arial" w:eastAsia="Arial" w:hAnsi="Arial"/>
          <w:sz w:val="18"/>
          <w:szCs w:val="18"/>
          <w:color w:val="0072AF"/>
        </w:rPr>
      </w:pPr>
      <w:r>
        <w:rPr>
          <w:rFonts w:ascii="Arial" w:cs="Arial" w:eastAsia="Arial" w:hAnsi="Arial"/>
          <w:sz w:val="18"/>
          <w:szCs w:val="18"/>
          <w:color w:val="auto"/>
        </w:rPr>
        <w:t>Our executive compensation program structure including our compensation philosophy.</w:t>
      </w:r>
    </w:p>
    <w:p>
      <w:pPr>
        <w:spacing w:after="0" w:line="49" w:lineRule="exact"/>
        <w:rPr>
          <w:rFonts w:ascii="Arial" w:cs="Arial" w:eastAsia="Arial" w:hAnsi="Arial"/>
          <w:sz w:val="18"/>
          <w:szCs w:val="18"/>
          <w:color w:val="0072AF"/>
        </w:rPr>
      </w:pPr>
    </w:p>
    <w:p>
      <w:pPr>
        <w:ind w:left="420" w:right="20" w:hanging="210"/>
        <w:spacing w:after="0" w:line="271" w:lineRule="auto"/>
        <w:tabs>
          <w:tab w:leader="none" w:pos="420" w:val="left"/>
        </w:tabs>
        <w:numPr>
          <w:ilvl w:val="0"/>
          <w:numId w:val="31"/>
        </w:numPr>
        <w:rPr>
          <w:rFonts w:ascii="Arial" w:cs="Arial" w:eastAsia="Arial" w:hAnsi="Arial"/>
          <w:sz w:val="18"/>
          <w:szCs w:val="18"/>
          <w:color w:val="0072AF"/>
        </w:rPr>
      </w:pPr>
      <w:r>
        <w:rPr>
          <w:rFonts w:ascii="Arial" w:cs="Arial" w:eastAsia="Arial" w:hAnsi="Arial"/>
          <w:sz w:val="18"/>
          <w:szCs w:val="18"/>
          <w:color w:val="auto"/>
        </w:rPr>
        <w:t>Components of our 2023 compensation program and tables related to decisions made by the Committee and the independent Board members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58293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2023 Company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72AF"/>
        </w:rPr>
        <w:t>Overview of 2023</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Pitney Bowes continued to build on the strong foundations of its shipping, mailing, logistics and financial services businesses in a year of considerable change. In 2023, the Company underwent a significant Board refresh. In October, the Board appointed Jason Dies as Interim CEO, replacing long-tenured CEO Marc Lautenbach. The Company announced a cost restructuring plan early in 2023 and, under Interim CEO Dies, further expanded the plan to improve profitability. The Pitney Bowes team ended the year demonstrating a commitment to improving performance and streamlining the organization.</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continual advancements in innovation and automation have helped drive client value. In 2023, the Company saw improved client satisfaction across each business and employee engagement scores remained comparable to high performance companies as it had in prior years.</w:t>
      </w:r>
    </w:p>
    <w:p>
      <w:pPr>
        <w:spacing w:after="0" w:line="14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In 2023, the Company was recognized externally around the globe by several organizations. A few of the noteworthy callouts include:</w:t>
      </w:r>
    </w:p>
    <w:p>
      <w:pPr>
        <w:ind w:left="420" w:hanging="210"/>
        <w:spacing w:after="0"/>
        <w:tabs>
          <w:tab w:leader="none" w:pos="420" w:val="left"/>
        </w:tabs>
        <w:numPr>
          <w:ilvl w:val="0"/>
          <w:numId w:val="32"/>
        </w:numPr>
        <w:rPr>
          <w:rFonts w:ascii="Arial" w:cs="Arial" w:eastAsia="Arial" w:hAnsi="Arial"/>
          <w:sz w:val="18"/>
          <w:szCs w:val="18"/>
          <w:color w:val="0072AF"/>
        </w:rPr>
      </w:pPr>
      <w:r>
        <w:rPr>
          <w:rFonts w:ascii="Arial" w:cs="Arial" w:eastAsia="Arial" w:hAnsi="Arial"/>
          <w:sz w:val="18"/>
          <w:szCs w:val="18"/>
          <w:color w:val="auto"/>
        </w:rPr>
        <w:t>Human Rights Campaign Foundation’s Equality 100</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32"/>
        </w:numPr>
        <w:rPr>
          <w:rFonts w:ascii="Arial" w:cs="Arial" w:eastAsia="Arial" w:hAnsi="Arial"/>
          <w:sz w:val="18"/>
          <w:szCs w:val="18"/>
          <w:color w:val="0072AF"/>
        </w:rPr>
      </w:pPr>
      <w:r>
        <w:rPr>
          <w:rFonts w:ascii="Arial" w:cs="Arial" w:eastAsia="Arial" w:hAnsi="Arial"/>
          <w:sz w:val="18"/>
          <w:szCs w:val="18"/>
          <w:color w:val="auto"/>
        </w:rPr>
        <w:t>International Design Award (Gold) for the PitneyShip™ Cube</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32"/>
        </w:numPr>
        <w:rPr>
          <w:rFonts w:ascii="Arial" w:cs="Arial" w:eastAsia="Arial" w:hAnsi="Arial"/>
          <w:sz w:val="18"/>
          <w:szCs w:val="18"/>
          <w:color w:val="0072AF"/>
        </w:rPr>
      </w:pPr>
      <w:r>
        <w:rPr>
          <w:rFonts w:ascii="Arial" w:cs="Arial" w:eastAsia="Arial" w:hAnsi="Arial"/>
          <w:sz w:val="18"/>
          <w:szCs w:val="18"/>
          <w:color w:val="auto"/>
        </w:rPr>
        <w:t xml:space="preserve">America’s Best Large Employers for 2023 by </w:t>
      </w:r>
      <w:r>
        <w:rPr>
          <w:rFonts w:ascii="Arial" w:cs="Arial" w:eastAsia="Arial" w:hAnsi="Arial"/>
          <w:sz w:val="18"/>
          <w:szCs w:val="18"/>
          <w:i w:val="1"/>
          <w:iCs w:val="1"/>
          <w:color w:val="auto"/>
        </w:rPr>
        <w:t>Forbes</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32"/>
        </w:numPr>
        <w:rPr>
          <w:rFonts w:ascii="Arial" w:cs="Arial" w:eastAsia="Arial" w:hAnsi="Arial"/>
          <w:sz w:val="18"/>
          <w:szCs w:val="18"/>
          <w:color w:val="0072AF"/>
        </w:rPr>
      </w:pPr>
      <w:r>
        <w:rPr>
          <w:rFonts w:ascii="Arial" w:cs="Arial" w:eastAsia="Arial" w:hAnsi="Arial"/>
          <w:sz w:val="18"/>
          <w:szCs w:val="18"/>
          <w:color w:val="auto"/>
        </w:rPr>
        <w:t>Top 50 Best Workplaces in Asia™ 2023</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32"/>
        </w:numPr>
        <w:rPr>
          <w:rFonts w:ascii="Arial" w:cs="Arial" w:eastAsia="Arial" w:hAnsi="Arial"/>
          <w:sz w:val="18"/>
          <w:szCs w:val="18"/>
          <w:color w:val="0072AF"/>
        </w:rPr>
      </w:pPr>
      <w:r>
        <w:rPr>
          <w:rFonts w:ascii="Arial" w:cs="Arial" w:eastAsia="Arial" w:hAnsi="Arial"/>
          <w:sz w:val="18"/>
          <w:szCs w:val="18"/>
          <w:color w:val="auto"/>
        </w:rPr>
        <w:t>Newsweek’s Greatest Workplaces for Diversity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54" w:name="page55"/>
    <w:bookmarkEnd w:id="54"/>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72AF"/>
        </w:rPr>
        <w:t>Full Year 2023 Financial Highlights</w:t>
      </w:r>
    </w:p>
    <w:p>
      <w:pPr>
        <w:spacing w:after="0" w:line="50" w:lineRule="exact"/>
        <w:rPr>
          <w:sz w:val="20"/>
          <w:szCs w:val="20"/>
          <w:color w:val="auto"/>
        </w:rPr>
      </w:pPr>
    </w:p>
    <w:p>
      <w:pPr>
        <w:ind w:left="426" w:right="20" w:hanging="210"/>
        <w:spacing w:after="0" w:line="217" w:lineRule="auto"/>
        <w:tabs>
          <w:tab w:leader="none" w:pos="426" w:val="left"/>
        </w:tabs>
        <w:numPr>
          <w:ilvl w:val="0"/>
          <w:numId w:val="33"/>
        </w:numPr>
        <w:rPr>
          <w:rFonts w:ascii="Arial" w:cs="Arial" w:eastAsia="Arial" w:hAnsi="Arial"/>
          <w:sz w:val="18"/>
          <w:szCs w:val="18"/>
          <w:color w:val="0072AF"/>
        </w:rPr>
      </w:pPr>
      <w:r>
        <w:rPr>
          <w:rFonts w:ascii="Arial" w:cs="Arial" w:eastAsia="Arial" w:hAnsi="Arial"/>
          <w:sz w:val="18"/>
          <w:szCs w:val="18"/>
          <w:color w:val="auto"/>
        </w:rPr>
        <w:t>Revenue was $3.3 billion, a decrease of 8 percent on a reported basis and 3 percent on a comparable basis versus 2022</w:t>
      </w:r>
      <w:r>
        <w:rPr>
          <w:rFonts w:ascii="Arial" w:cs="Arial" w:eastAsia="Arial" w:hAnsi="Arial"/>
          <w:sz w:val="29"/>
          <w:szCs w:val="29"/>
          <w:color w:val="auto"/>
          <w:vertAlign w:val="superscript"/>
        </w:rPr>
        <w:t>(1)</w:t>
      </w:r>
    </w:p>
    <w:p>
      <w:pPr>
        <w:spacing w:after="0" w:line="1" w:lineRule="exact"/>
        <w:rPr>
          <w:rFonts w:ascii="Arial" w:cs="Arial" w:eastAsia="Arial" w:hAnsi="Arial"/>
          <w:sz w:val="18"/>
          <w:szCs w:val="18"/>
          <w:color w:val="0072AF"/>
        </w:rPr>
      </w:pPr>
    </w:p>
    <w:p>
      <w:pPr>
        <w:ind w:left="426" w:hanging="210"/>
        <w:spacing w:after="0"/>
        <w:tabs>
          <w:tab w:leader="none" w:pos="426" w:val="left"/>
        </w:tabs>
        <w:numPr>
          <w:ilvl w:val="0"/>
          <w:numId w:val="33"/>
        </w:numPr>
        <w:rPr>
          <w:rFonts w:ascii="Arial" w:cs="Arial" w:eastAsia="Arial" w:hAnsi="Arial"/>
          <w:sz w:val="18"/>
          <w:szCs w:val="18"/>
          <w:color w:val="0072AF"/>
        </w:rPr>
      </w:pPr>
      <w:r>
        <w:rPr>
          <w:rFonts w:ascii="Arial" w:cs="Arial" w:eastAsia="Arial" w:hAnsi="Arial"/>
          <w:sz w:val="18"/>
          <w:szCs w:val="18"/>
          <w:color w:val="auto"/>
        </w:rPr>
        <w:t>GAAP EPS was a loss of $2.20 and Adjusted EPS was $0.04</w:t>
      </w:r>
    </w:p>
    <w:p>
      <w:pPr>
        <w:spacing w:after="0" w:line="13" w:lineRule="exact"/>
        <w:rPr>
          <w:rFonts w:ascii="Arial" w:cs="Arial" w:eastAsia="Arial" w:hAnsi="Arial"/>
          <w:sz w:val="18"/>
          <w:szCs w:val="18"/>
          <w:color w:val="0072AF"/>
        </w:rPr>
      </w:pPr>
    </w:p>
    <w:p>
      <w:pPr>
        <w:ind w:left="426" w:right="20" w:hanging="210"/>
        <w:spacing w:after="0" w:line="250" w:lineRule="auto"/>
        <w:tabs>
          <w:tab w:leader="none" w:pos="426" w:val="left"/>
        </w:tabs>
        <w:numPr>
          <w:ilvl w:val="0"/>
          <w:numId w:val="33"/>
        </w:numPr>
        <w:rPr>
          <w:rFonts w:ascii="Arial" w:cs="Arial" w:eastAsia="Arial" w:hAnsi="Arial"/>
          <w:sz w:val="18"/>
          <w:szCs w:val="18"/>
          <w:color w:val="0072AF"/>
        </w:rPr>
      </w:pPr>
      <w:r>
        <w:rPr>
          <w:rFonts w:ascii="Arial" w:cs="Arial" w:eastAsia="Arial" w:hAnsi="Arial"/>
          <w:sz w:val="18"/>
          <w:szCs w:val="18"/>
          <w:color w:val="auto"/>
        </w:rPr>
        <w:t>GAAP EPS includes a loss of $1.91 for non-cash goodwill impairment charges related to the Global Ecommerce segment and $0.26 for restructuring charges</w:t>
      </w:r>
    </w:p>
    <w:p>
      <w:pPr>
        <w:ind w:left="426" w:hanging="210"/>
        <w:spacing w:after="0"/>
        <w:tabs>
          <w:tab w:leader="none" w:pos="426" w:val="left"/>
        </w:tabs>
        <w:numPr>
          <w:ilvl w:val="0"/>
          <w:numId w:val="33"/>
        </w:numPr>
        <w:rPr>
          <w:rFonts w:ascii="Arial" w:cs="Arial" w:eastAsia="Arial" w:hAnsi="Arial"/>
          <w:sz w:val="18"/>
          <w:szCs w:val="18"/>
          <w:color w:val="0072AF"/>
        </w:rPr>
      </w:pPr>
      <w:r>
        <w:rPr>
          <w:rFonts w:ascii="Arial" w:cs="Arial" w:eastAsia="Arial" w:hAnsi="Arial"/>
          <w:sz w:val="18"/>
          <w:szCs w:val="18"/>
          <w:color w:val="auto"/>
        </w:rPr>
        <w:t>GAAP cash from operating activities was $79 million and Free Cash Flow was $22 million</w:t>
      </w:r>
    </w:p>
    <w:p>
      <w:pPr>
        <w:spacing w:after="0" w:line="22" w:lineRule="exact"/>
        <w:rPr>
          <w:rFonts w:ascii="Arial" w:cs="Arial" w:eastAsia="Arial" w:hAnsi="Arial"/>
          <w:sz w:val="18"/>
          <w:szCs w:val="18"/>
          <w:color w:val="0072AF"/>
        </w:rPr>
      </w:pPr>
    </w:p>
    <w:p>
      <w:pPr>
        <w:ind w:left="426" w:hanging="210"/>
        <w:spacing w:after="0"/>
        <w:tabs>
          <w:tab w:leader="none" w:pos="426" w:val="left"/>
        </w:tabs>
        <w:numPr>
          <w:ilvl w:val="0"/>
          <w:numId w:val="33"/>
        </w:numPr>
        <w:rPr>
          <w:rFonts w:ascii="Arial" w:cs="Arial" w:eastAsia="Arial" w:hAnsi="Arial"/>
          <w:sz w:val="18"/>
          <w:szCs w:val="18"/>
          <w:color w:val="0072AF"/>
        </w:rPr>
      </w:pPr>
      <w:r>
        <w:rPr>
          <w:rFonts w:ascii="Arial" w:cs="Arial" w:eastAsia="Arial" w:hAnsi="Arial"/>
          <w:sz w:val="18"/>
          <w:szCs w:val="18"/>
          <w:color w:val="auto"/>
        </w:rPr>
        <w:t>Total debt reduced by $59 million and refinanced our 2024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58293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44"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72AF"/>
        </w:rPr>
        <w:t>2023 CEO Transition and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58293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ind w:left="6"/>
        <w:spacing w:after="0" w:line="267" w:lineRule="auto"/>
        <w:rPr>
          <w:sz w:val="20"/>
          <w:szCs w:val="20"/>
          <w:color w:val="auto"/>
        </w:rPr>
      </w:pPr>
      <w:r>
        <w:rPr>
          <w:rFonts w:ascii="Arial" w:cs="Arial" w:eastAsia="Arial" w:hAnsi="Arial"/>
          <w:sz w:val="18"/>
          <w:szCs w:val="18"/>
          <w:color w:val="auto"/>
        </w:rPr>
        <w:t>The Board decided Mr. Lautenbach would end his tenure as President and Chief Executive Officer of Pitney Bowes in October 2023. At the same time, Mr. Lautenbach also resigned as a member of the Board. The Board simultaneously appointed Jason Dies, Executive Vice President and Group Executive, to the position of Interim Chief Executive Officer. Following is a summary of the compensation actions taken in connection with the CEO transition.</w:t>
      </w:r>
    </w:p>
    <w:p>
      <w:pPr>
        <w:spacing w:after="0" w:line="21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72AF"/>
        </w:rPr>
        <w:t>Mr. Dies</w:t>
      </w:r>
    </w:p>
    <w:p>
      <w:pPr>
        <w:spacing w:after="0" w:line="185" w:lineRule="exact"/>
        <w:rPr>
          <w:sz w:val="20"/>
          <w:szCs w:val="20"/>
          <w:color w:val="auto"/>
        </w:rPr>
      </w:pPr>
    </w:p>
    <w:p>
      <w:pPr>
        <w:jc w:val="both"/>
        <w:ind w:left="6"/>
        <w:spacing w:after="0" w:line="260" w:lineRule="auto"/>
        <w:rPr>
          <w:sz w:val="20"/>
          <w:szCs w:val="20"/>
          <w:color w:val="auto"/>
        </w:rPr>
      </w:pPr>
      <w:r>
        <w:rPr>
          <w:rFonts w:ascii="Arial" w:cs="Arial" w:eastAsia="Arial" w:hAnsi="Arial"/>
          <w:sz w:val="18"/>
          <w:szCs w:val="18"/>
          <w:color w:val="auto"/>
        </w:rPr>
        <w:t>In connection with his Interim CEO appointment and to compensate for the increased responsibilities, the Committee provided a monthly cash stipend of $60,000, prorated for any partial months of service as Interim CEO, which in conjunction with other compensation Mr. Dies was eligible to receive from the Company at the time, was intended to provide competitive cash compensation comparable to a newly promoted CEO. Mr. Dies was also granted a long-term incentive (LTI) award of RSUs with a grant value of $200,000, subject to the same vesting conditions as the Restricted Stock Units (RSUs) previously granted to Mr. Dies in February 2023. His 2024 LTI target will also be increased by the same amount, resulting in a 2024 target long-term incentive award opportunity of $1,800,000.</w:t>
      </w:r>
    </w:p>
    <w:p>
      <w:pPr>
        <w:spacing w:after="0" w:line="23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72AF"/>
        </w:rPr>
        <w:t>Mr. Lautenbach</w:t>
      </w:r>
    </w:p>
    <w:p>
      <w:pPr>
        <w:spacing w:after="0" w:line="171" w:lineRule="exact"/>
        <w:rPr>
          <w:sz w:val="20"/>
          <w:szCs w:val="20"/>
          <w:color w:val="auto"/>
        </w:rPr>
      </w:pPr>
    </w:p>
    <w:p>
      <w:pPr>
        <w:jc w:val="both"/>
        <w:ind w:left="6"/>
        <w:spacing w:after="0" w:line="260" w:lineRule="auto"/>
        <w:rPr>
          <w:sz w:val="20"/>
          <w:szCs w:val="20"/>
          <w:color w:val="auto"/>
        </w:rPr>
      </w:pPr>
      <w:r>
        <w:rPr>
          <w:rFonts w:ascii="Arial" w:cs="Arial" w:eastAsia="Arial" w:hAnsi="Arial"/>
          <w:sz w:val="18"/>
          <w:szCs w:val="18"/>
          <w:color w:val="auto"/>
        </w:rPr>
        <w:t>In connection with his involuntary separation, Mr. Lautenbach and the Company entered into a Separation Agreement and General Release providing for the severance payments and benefits available under the Company’s Severance Pay Plan, determined in accordance with the Company’s general practices for determining severance pay, as well as benefits Mr. Lautenbach is entitled to upon retirement. Mr. Lautenbach received a cash severance payment in an amount equal to the sum of 78 weeks of both base salary plus his target annual incentive amount, payable in installments over the 78-week severance period. He also received a prorated annual incentive for 2023 based on actual achievement of performance-based targets which was payable at the time the 2023 annual incentive awards were paid to employees. Mr. Lautenbach was retirement eligible (since June 2021) at the time of his departure. The table below details the treatment of Mr. Lautenbach’s unvested LTI awards under the pre-existing terms of our equity plan and applicable grant agreements. Refer to Form 8-K filed October 2, 2023 for a copy of the complete Separation Agreement and General Release.</w:t>
      </w:r>
    </w:p>
    <w:p>
      <w:pPr>
        <w:spacing w:after="0" w:line="108" w:lineRule="exact"/>
        <w:rPr>
          <w:sz w:val="20"/>
          <w:szCs w:val="20"/>
          <w:color w:val="auto"/>
        </w:rPr>
      </w:pPr>
    </w:p>
    <w:p>
      <w:pPr>
        <w:jc w:val="both"/>
        <w:ind w:left="166" w:hanging="166"/>
        <w:spacing w:after="0"/>
        <w:tabs>
          <w:tab w:leader="none" w:pos="166" w:val="left"/>
        </w:tabs>
        <w:numPr>
          <w:ilvl w:val="0"/>
          <w:numId w:val="34"/>
        </w:numPr>
        <w:rPr>
          <w:rFonts w:ascii="Arial" w:cs="Arial" w:eastAsia="Arial" w:hAnsi="Arial"/>
          <w:sz w:val="22"/>
          <w:szCs w:val="22"/>
          <w:color w:val="auto"/>
          <w:vertAlign w:val="superscript"/>
        </w:rPr>
      </w:pPr>
      <w:r>
        <w:rPr>
          <w:rFonts w:ascii="Arial" w:cs="Arial" w:eastAsia="Arial" w:hAnsi="Arial"/>
          <w:sz w:val="14"/>
          <w:szCs w:val="14"/>
          <w:color w:val="auto"/>
        </w:rPr>
        <w:t>Comparable basis adjusts for: 1) the impact of foreign currency; 2) the impact of the divestiture of the Borderfree business effective July 1, 2022 and 3) a revenue presentation change for our digital services that was implemented in the fourth quarter of 2022. The change in revenue presentation of digital services impacts both our Global Ecommerce and SendTech Solutions segments. It does not impact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-401320</wp:posOffset>
            </wp:positionV>
            <wp:extent cx="16459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59"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120650</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55" w:name="page56"/>
    <w:bookmarkEnd w:id="55"/>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6"/>
          <w:szCs w:val="16"/>
          <w:color w:val="0072AF"/>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20955</wp:posOffset>
            </wp:positionV>
            <wp:extent cx="58293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0072AF"/>
        </w:rPr>
        <w:t>Treatment of Mr. Lautenbach’s Unvested LTI</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40" w:type="dxa"/>
            <w:vAlign w:val="bottom"/>
          </w:tcPr>
          <w:p>
            <w:pPr>
              <w:jc w:val="right"/>
              <w:ind w:right="121"/>
              <w:spacing w:after="0"/>
              <w:rPr>
                <w:sz w:val="20"/>
                <w:szCs w:val="20"/>
                <w:color w:val="auto"/>
              </w:rPr>
            </w:pPr>
            <w:r>
              <w:rPr>
                <w:rFonts w:ascii="Arial" w:cs="Arial" w:eastAsia="Arial" w:hAnsi="Arial"/>
                <w:sz w:val="14"/>
                <w:szCs w:val="14"/>
                <w:b w:val="1"/>
                <w:bCs w:val="1"/>
                <w:color w:val="auto"/>
              </w:rPr>
              <w:t>Unvested Quantity</w:t>
            </w:r>
          </w:p>
        </w:tc>
        <w:tc>
          <w:tcPr>
            <w:tcW w:w="5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60" w:type="dxa"/>
            <w:vAlign w:val="bottom"/>
          </w:tcPr>
          <w:p>
            <w:pPr>
              <w:jc w:val="right"/>
              <w:ind w:right="560"/>
              <w:spacing w:after="0"/>
              <w:rPr>
                <w:sz w:val="20"/>
                <w:szCs w:val="20"/>
                <w:color w:val="auto"/>
              </w:rPr>
            </w:pPr>
            <w:r>
              <w:rPr>
                <w:rFonts w:ascii="Arial" w:cs="Arial" w:eastAsia="Arial" w:hAnsi="Arial"/>
                <w:sz w:val="14"/>
                <w:szCs w:val="14"/>
                <w:b w:val="1"/>
                <w:bCs w:val="1"/>
                <w:color w:val="auto"/>
              </w:rPr>
              <w:t>LTI Grant Detail</w:t>
            </w:r>
          </w:p>
        </w:tc>
        <w:tc>
          <w:tcPr>
            <w:tcW w:w="1640" w:type="dxa"/>
            <w:vAlign w:val="bottom"/>
          </w:tcPr>
          <w:p>
            <w:pPr>
              <w:jc w:val="right"/>
              <w:ind w:right="201"/>
              <w:spacing w:after="0"/>
              <w:rPr>
                <w:sz w:val="20"/>
                <w:szCs w:val="20"/>
                <w:color w:val="auto"/>
              </w:rPr>
            </w:pPr>
            <w:r>
              <w:rPr>
                <w:rFonts w:ascii="Arial" w:cs="Arial" w:eastAsia="Arial" w:hAnsi="Arial"/>
                <w:sz w:val="14"/>
                <w:szCs w:val="14"/>
                <w:b w:val="1"/>
                <w:bCs w:val="1"/>
                <w:color w:val="auto"/>
              </w:rPr>
              <w:t>(Units/Options)</w:t>
            </w:r>
          </w:p>
        </w:tc>
        <w:tc>
          <w:tcPr>
            <w:tcW w:w="5260" w:type="dxa"/>
            <w:vAlign w:val="bottom"/>
          </w:tcPr>
          <w:p>
            <w:pPr>
              <w:ind w:left="200"/>
              <w:spacing w:after="0"/>
              <w:rPr>
                <w:sz w:val="20"/>
                <w:szCs w:val="20"/>
                <w:color w:val="auto"/>
              </w:rPr>
            </w:pPr>
            <w:r>
              <w:rPr>
                <w:rFonts w:ascii="Arial" w:cs="Arial" w:eastAsia="Arial" w:hAnsi="Arial"/>
                <w:sz w:val="14"/>
                <w:szCs w:val="14"/>
                <w:b w:val="1"/>
                <w:bCs w:val="1"/>
                <w:color w:val="auto"/>
              </w:rPr>
              <w:t>Treatment at Termination</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920" w:type="dxa"/>
            <w:vAlign w:val="bottom"/>
          </w:tcPr>
          <w:p>
            <w:pPr>
              <w:spacing w:after="0"/>
              <w:rPr>
                <w:sz w:val="6"/>
                <w:szCs w:val="6"/>
                <w:color w:val="auto"/>
              </w:rPr>
            </w:pPr>
          </w:p>
        </w:tc>
        <w:tc>
          <w:tcPr>
            <w:tcW w:w="2260" w:type="dxa"/>
            <w:vAlign w:val="bottom"/>
            <w:tcBorders>
              <w:bottom w:val="single" w:sz="8" w:color="0072AF"/>
            </w:tcBorders>
          </w:tcPr>
          <w:p>
            <w:pPr>
              <w:spacing w:after="0"/>
              <w:rPr>
                <w:sz w:val="6"/>
                <w:szCs w:val="6"/>
                <w:color w:val="auto"/>
              </w:rPr>
            </w:pPr>
          </w:p>
        </w:tc>
        <w:tc>
          <w:tcPr>
            <w:tcW w:w="1640" w:type="dxa"/>
            <w:vAlign w:val="bottom"/>
            <w:tcBorders>
              <w:bottom w:val="single" w:sz="8" w:color="0072AF"/>
            </w:tcBorders>
          </w:tcPr>
          <w:p>
            <w:pPr>
              <w:spacing w:after="0"/>
              <w:rPr>
                <w:sz w:val="6"/>
                <w:szCs w:val="6"/>
                <w:color w:val="auto"/>
              </w:rPr>
            </w:pPr>
          </w:p>
        </w:tc>
        <w:tc>
          <w:tcPr>
            <w:tcW w:w="5260" w:type="dxa"/>
            <w:vAlign w:val="bottom"/>
            <w:tcBorders>
              <w:bottom w:val="single" w:sz="8" w:color="0072AF"/>
            </w:tcBorders>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920" w:type="dxa"/>
            <w:vAlign w:val="bottom"/>
          </w:tcPr>
          <w:p>
            <w:pPr>
              <w:spacing w:after="0"/>
              <w:rPr>
                <w:sz w:val="22"/>
                <w:szCs w:val="22"/>
                <w:color w:val="auto"/>
              </w:rPr>
            </w:pPr>
          </w:p>
        </w:tc>
        <w:tc>
          <w:tcPr>
            <w:tcW w:w="2260" w:type="dxa"/>
            <w:vAlign w:val="bottom"/>
            <w:tcBorders>
              <w:right w:val="single" w:sz="8" w:color="0072AF"/>
            </w:tcBorders>
          </w:tcPr>
          <w:p>
            <w:pPr>
              <w:jc w:val="right"/>
              <w:ind w:right="60"/>
              <w:spacing w:after="0"/>
              <w:rPr>
                <w:sz w:val="20"/>
                <w:szCs w:val="20"/>
                <w:color w:val="auto"/>
              </w:rPr>
            </w:pPr>
            <w:r>
              <w:rPr>
                <w:rFonts w:ascii="Arial" w:cs="Arial" w:eastAsia="Arial" w:hAnsi="Arial"/>
                <w:sz w:val="16"/>
                <w:szCs w:val="16"/>
                <w:color w:val="auto"/>
              </w:rPr>
              <w:t>Non-Qualified Stock Options</w:t>
            </w:r>
          </w:p>
        </w:tc>
        <w:tc>
          <w:tcPr>
            <w:tcW w:w="1640" w:type="dxa"/>
            <w:vAlign w:val="bottom"/>
            <w:shd w:val="clear" w:color="auto" w:fill="CBCEE0"/>
          </w:tcPr>
          <w:p>
            <w:pPr>
              <w:jc w:val="right"/>
              <w:ind w:right="361"/>
              <w:spacing w:after="0"/>
              <w:rPr>
                <w:sz w:val="20"/>
                <w:szCs w:val="20"/>
                <w:color w:val="auto"/>
              </w:rPr>
            </w:pPr>
            <w:r>
              <w:rPr>
                <w:rFonts w:ascii="Arial" w:cs="Arial" w:eastAsia="Arial" w:hAnsi="Arial"/>
                <w:sz w:val="16"/>
                <w:szCs w:val="16"/>
                <w:color w:val="auto"/>
              </w:rPr>
              <w:t>101,293</w:t>
            </w:r>
          </w:p>
        </w:tc>
        <w:tc>
          <w:tcPr>
            <w:tcW w:w="5260" w:type="dxa"/>
            <w:vAlign w:val="bottom"/>
            <w:shd w:val="clear" w:color="auto" w:fill="CBCEE0"/>
          </w:tcPr>
          <w:p>
            <w:pPr>
              <w:ind w:left="200"/>
              <w:spacing w:after="0"/>
              <w:rPr>
                <w:sz w:val="20"/>
                <w:szCs w:val="20"/>
                <w:color w:val="auto"/>
              </w:rPr>
            </w:pPr>
            <w:r>
              <w:rPr>
                <w:rFonts w:ascii="Arial" w:cs="Arial" w:eastAsia="Arial" w:hAnsi="Arial"/>
                <w:sz w:val="16"/>
                <w:szCs w:val="16"/>
                <w:color w:val="auto"/>
              </w:rPr>
              <w:t>Vested at separation.</w:t>
            </w:r>
          </w:p>
        </w:tc>
        <w:tc>
          <w:tcPr>
            <w:tcW w:w="940" w:type="dxa"/>
            <w:vAlign w:val="bottom"/>
            <w:tcBorders>
              <w:left w:val="single" w:sz="8" w:color="0072AF"/>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920" w:type="dxa"/>
            <w:vAlign w:val="bottom"/>
          </w:tcPr>
          <w:p>
            <w:pPr>
              <w:spacing w:after="0"/>
              <w:rPr>
                <w:sz w:val="21"/>
                <w:szCs w:val="21"/>
                <w:color w:val="auto"/>
              </w:rPr>
            </w:pPr>
          </w:p>
        </w:tc>
        <w:tc>
          <w:tcPr>
            <w:tcW w:w="2260" w:type="dxa"/>
            <w:vAlign w:val="bottom"/>
            <w:tcBorders>
              <w:right w:val="single" w:sz="8" w:color="0072AF"/>
            </w:tcBorders>
          </w:tcPr>
          <w:p>
            <w:pPr>
              <w:jc w:val="right"/>
              <w:ind w:right="20"/>
              <w:spacing w:after="0"/>
              <w:rPr>
                <w:sz w:val="20"/>
                <w:szCs w:val="20"/>
                <w:color w:val="auto"/>
              </w:rPr>
            </w:pPr>
            <w:r>
              <w:rPr>
                <w:rFonts w:ascii="Arial" w:cs="Arial" w:eastAsia="Arial" w:hAnsi="Arial"/>
                <w:sz w:val="16"/>
                <w:szCs w:val="16"/>
                <w:color w:val="auto"/>
              </w:rPr>
              <w:t>(NSOs) granted 2021</w:t>
            </w:r>
          </w:p>
        </w:tc>
        <w:tc>
          <w:tcPr>
            <w:tcW w:w="1640" w:type="dxa"/>
            <w:vAlign w:val="bottom"/>
            <w:tcBorders>
              <w:bottom w:val="single" w:sz="8" w:color="CBCEE0"/>
            </w:tcBorders>
            <w:shd w:val="clear" w:color="auto" w:fill="CBCEE0"/>
          </w:tcPr>
          <w:p>
            <w:pPr>
              <w:spacing w:after="0"/>
              <w:rPr>
                <w:sz w:val="21"/>
                <w:szCs w:val="21"/>
                <w:color w:val="auto"/>
              </w:rPr>
            </w:pPr>
          </w:p>
        </w:tc>
        <w:tc>
          <w:tcPr>
            <w:tcW w:w="5260" w:type="dxa"/>
            <w:vAlign w:val="bottom"/>
            <w:tcBorders>
              <w:bottom w:val="single" w:sz="8" w:color="CBCEE0"/>
            </w:tcBorders>
            <w:shd w:val="clear" w:color="auto" w:fill="CBCEE0"/>
          </w:tcPr>
          <w:p>
            <w:pPr>
              <w:spacing w:after="0"/>
              <w:rPr>
                <w:sz w:val="21"/>
                <w:szCs w:val="21"/>
                <w:color w:val="auto"/>
              </w:rPr>
            </w:pPr>
          </w:p>
        </w:tc>
        <w:tc>
          <w:tcPr>
            <w:tcW w:w="940" w:type="dxa"/>
            <w:vAlign w:val="bottom"/>
            <w:tcBorders>
              <w:left w:val="single" w:sz="8" w:color="0072AF"/>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920" w:type="dxa"/>
            <w:vAlign w:val="bottom"/>
          </w:tcPr>
          <w:p>
            <w:pPr>
              <w:spacing w:after="0"/>
              <w:rPr>
                <w:sz w:val="23"/>
                <w:szCs w:val="23"/>
                <w:color w:val="auto"/>
              </w:rPr>
            </w:pPr>
          </w:p>
        </w:tc>
        <w:tc>
          <w:tcPr>
            <w:tcW w:w="2260" w:type="dxa"/>
            <w:vAlign w:val="bottom"/>
            <w:tcBorders>
              <w:right w:val="single" w:sz="8" w:color="0072AF"/>
            </w:tcBorders>
          </w:tcPr>
          <w:p>
            <w:pPr>
              <w:jc w:val="right"/>
              <w:ind w:right="20"/>
              <w:spacing w:after="0"/>
              <w:rPr>
                <w:sz w:val="20"/>
                <w:szCs w:val="20"/>
                <w:color w:val="auto"/>
              </w:rPr>
            </w:pPr>
            <w:r>
              <w:rPr>
                <w:rFonts w:ascii="Arial" w:cs="Arial" w:eastAsia="Arial" w:hAnsi="Arial"/>
                <w:sz w:val="16"/>
                <w:szCs w:val="16"/>
                <w:color w:val="auto"/>
              </w:rPr>
              <w:t>RSUs granted 2021</w:t>
            </w:r>
          </w:p>
        </w:tc>
        <w:tc>
          <w:tcPr>
            <w:tcW w:w="1640" w:type="dxa"/>
            <w:vAlign w:val="bottom"/>
          </w:tcPr>
          <w:p>
            <w:pPr>
              <w:jc w:val="right"/>
              <w:ind w:right="381"/>
              <w:spacing w:after="0"/>
              <w:rPr>
                <w:sz w:val="20"/>
                <w:szCs w:val="20"/>
                <w:color w:val="auto"/>
              </w:rPr>
            </w:pPr>
            <w:r>
              <w:rPr>
                <w:rFonts w:ascii="Arial" w:cs="Arial" w:eastAsia="Arial" w:hAnsi="Arial"/>
                <w:sz w:val="16"/>
                <w:szCs w:val="16"/>
                <w:color w:val="auto"/>
              </w:rPr>
              <w:t>52,988</w:t>
            </w:r>
          </w:p>
        </w:tc>
        <w:tc>
          <w:tcPr>
            <w:tcW w:w="5260" w:type="dxa"/>
            <w:vAlign w:val="bottom"/>
          </w:tcPr>
          <w:p>
            <w:pPr>
              <w:ind w:left="200"/>
              <w:spacing w:after="0"/>
              <w:rPr>
                <w:sz w:val="20"/>
                <w:szCs w:val="20"/>
                <w:color w:val="auto"/>
              </w:rPr>
            </w:pPr>
            <w:r>
              <w:rPr>
                <w:rFonts w:ascii="Arial" w:cs="Arial" w:eastAsia="Arial" w:hAnsi="Arial"/>
                <w:sz w:val="16"/>
                <w:szCs w:val="16"/>
                <w:color w:val="auto"/>
              </w:rPr>
              <w:t>Vested at separation.</w:t>
            </w:r>
          </w:p>
        </w:tc>
        <w:tc>
          <w:tcPr>
            <w:tcW w:w="940" w:type="dxa"/>
            <w:vAlign w:val="bottom"/>
            <w:tcBorders>
              <w:left w:val="single" w:sz="8" w:color="0072AF"/>
            </w:tcBorders>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920" w:type="dxa"/>
            <w:vAlign w:val="bottom"/>
          </w:tcPr>
          <w:p>
            <w:pPr>
              <w:spacing w:after="0"/>
              <w:rPr>
                <w:sz w:val="4"/>
                <w:szCs w:val="4"/>
                <w:color w:val="auto"/>
              </w:rPr>
            </w:pPr>
          </w:p>
        </w:tc>
        <w:tc>
          <w:tcPr>
            <w:tcW w:w="2260" w:type="dxa"/>
            <w:vAlign w:val="bottom"/>
            <w:tcBorders>
              <w:right w:val="single" w:sz="8" w:color="0072AF"/>
            </w:tcBorders>
          </w:tcPr>
          <w:p>
            <w:pPr>
              <w:spacing w:after="0"/>
              <w:rPr>
                <w:sz w:val="4"/>
                <w:szCs w:val="4"/>
                <w:color w:val="auto"/>
              </w:rPr>
            </w:pPr>
          </w:p>
        </w:tc>
        <w:tc>
          <w:tcPr>
            <w:tcW w:w="1640" w:type="dxa"/>
            <w:vAlign w:val="bottom"/>
          </w:tcPr>
          <w:p>
            <w:pPr>
              <w:spacing w:after="0"/>
              <w:rPr>
                <w:sz w:val="4"/>
                <w:szCs w:val="4"/>
                <w:color w:val="auto"/>
              </w:rPr>
            </w:pPr>
          </w:p>
        </w:tc>
        <w:tc>
          <w:tcPr>
            <w:tcW w:w="5260" w:type="dxa"/>
            <w:vAlign w:val="bottom"/>
          </w:tcPr>
          <w:p>
            <w:pPr>
              <w:spacing w:after="0"/>
              <w:rPr>
                <w:sz w:val="4"/>
                <w:szCs w:val="4"/>
                <w:color w:val="auto"/>
              </w:rPr>
            </w:pPr>
          </w:p>
        </w:tc>
        <w:tc>
          <w:tcPr>
            <w:tcW w:w="940" w:type="dxa"/>
            <w:vAlign w:val="bottom"/>
            <w:tcBorders>
              <w:left w:val="single" w:sz="8" w:color="0072AF"/>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920" w:type="dxa"/>
            <w:vAlign w:val="bottom"/>
          </w:tcPr>
          <w:p>
            <w:pPr>
              <w:spacing w:after="0"/>
              <w:rPr>
                <w:sz w:val="21"/>
                <w:szCs w:val="21"/>
                <w:color w:val="auto"/>
              </w:rPr>
            </w:pPr>
          </w:p>
        </w:tc>
        <w:tc>
          <w:tcPr>
            <w:tcW w:w="2260" w:type="dxa"/>
            <w:vAlign w:val="bottom"/>
            <w:tcBorders>
              <w:right w:val="single" w:sz="8" w:color="0072AF"/>
            </w:tcBorders>
          </w:tcPr>
          <w:p>
            <w:pPr>
              <w:jc w:val="right"/>
              <w:ind w:right="20"/>
              <w:spacing w:after="0"/>
              <w:rPr>
                <w:sz w:val="20"/>
                <w:szCs w:val="20"/>
                <w:color w:val="auto"/>
              </w:rPr>
            </w:pPr>
            <w:r>
              <w:rPr>
                <w:rFonts w:ascii="Arial" w:cs="Arial" w:eastAsia="Arial" w:hAnsi="Arial"/>
                <w:sz w:val="16"/>
                <w:szCs w:val="16"/>
                <w:color w:val="auto"/>
              </w:rPr>
              <w:t>CIUs granted 2021</w:t>
            </w:r>
          </w:p>
        </w:tc>
        <w:tc>
          <w:tcPr>
            <w:tcW w:w="1640" w:type="dxa"/>
            <w:vAlign w:val="bottom"/>
            <w:shd w:val="clear" w:color="auto" w:fill="CBCEE0"/>
          </w:tcPr>
          <w:p>
            <w:pPr>
              <w:jc w:val="right"/>
              <w:ind w:right="361"/>
              <w:spacing w:after="0"/>
              <w:rPr>
                <w:sz w:val="20"/>
                <w:szCs w:val="20"/>
                <w:color w:val="auto"/>
              </w:rPr>
            </w:pPr>
            <w:r>
              <w:rPr>
                <w:rFonts w:ascii="Arial" w:cs="Arial" w:eastAsia="Arial" w:hAnsi="Arial"/>
                <w:sz w:val="16"/>
                <w:szCs w:val="16"/>
                <w:color w:val="auto"/>
              </w:rPr>
              <w:t>4,230,000</w:t>
            </w:r>
          </w:p>
        </w:tc>
        <w:tc>
          <w:tcPr>
            <w:tcW w:w="5260" w:type="dxa"/>
            <w:vAlign w:val="bottom"/>
            <w:shd w:val="clear" w:color="auto" w:fill="CBCEE0"/>
          </w:tcPr>
          <w:p>
            <w:pPr>
              <w:ind w:left="200"/>
              <w:spacing w:after="0"/>
              <w:rPr>
                <w:sz w:val="20"/>
                <w:szCs w:val="20"/>
                <w:color w:val="auto"/>
              </w:rPr>
            </w:pPr>
            <w:r>
              <w:rPr>
                <w:rFonts w:ascii="Arial" w:cs="Arial" w:eastAsia="Arial" w:hAnsi="Arial"/>
                <w:sz w:val="16"/>
                <w:szCs w:val="16"/>
                <w:color w:val="auto"/>
              </w:rPr>
              <w:t>Will continue vesting and be paid based on the actual multiplier</w:t>
            </w:r>
          </w:p>
        </w:tc>
        <w:tc>
          <w:tcPr>
            <w:tcW w:w="940" w:type="dxa"/>
            <w:vAlign w:val="bottom"/>
            <w:tcBorders>
              <w:left w:val="single" w:sz="8" w:color="0072AF"/>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260" w:type="dxa"/>
            <w:vAlign w:val="bottom"/>
            <w:tcBorders>
              <w:right w:val="single" w:sz="8" w:color="0072AF"/>
            </w:tcBorders>
          </w:tcPr>
          <w:p>
            <w:pPr>
              <w:spacing w:after="0"/>
              <w:rPr>
                <w:sz w:val="16"/>
                <w:szCs w:val="16"/>
                <w:color w:val="auto"/>
              </w:rPr>
            </w:pPr>
          </w:p>
        </w:tc>
        <w:tc>
          <w:tcPr>
            <w:tcW w:w="1640" w:type="dxa"/>
            <w:vAlign w:val="bottom"/>
            <w:shd w:val="clear" w:color="auto" w:fill="CBCEE0"/>
          </w:tcPr>
          <w:p>
            <w:pPr>
              <w:spacing w:after="0"/>
              <w:rPr>
                <w:sz w:val="16"/>
                <w:szCs w:val="16"/>
                <w:color w:val="auto"/>
              </w:rPr>
            </w:pPr>
          </w:p>
        </w:tc>
        <w:tc>
          <w:tcPr>
            <w:tcW w:w="5260" w:type="dxa"/>
            <w:vAlign w:val="bottom"/>
            <w:shd w:val="clear" w:color="auto" w:fill="CBCEE0"/>
          </w:tcPr>
          <w:p>
            <w:pPr>
              <w:ind w:left="200"/>
              <w:spacing w:after="0"/>
              <w:rPr>
                <w:sz w:val="20"/>
                <w:szCs w:val="20"/>
                <w:color w:val="auto"/>
              </w:rPr>
            </w:pPr>
            <w:r>
              <w:rPr>
                <w:rFonts w:ascii="Arial" w:cs="Arial" w:eastAsia="Arial" w:hAnsi="Arial"/>
                <w:sz w:val="16"/>
                <w:szCs w:val="16"/>
                <w:color w:val="auto"/>
              </w:rPr>
              <w:t>determined by achievement of predefined objectives at the end of</w:t>
            </w:r>
          </w:p>
        </w:tc>
        <w:tc>
          <w:tcPr>
            <w:tcW w:w="940" w:type="dxa"/>
            <w:vAlign w:val="bottom"/>
            <w:tcBorders>
              <w:left w:val="single" w:sz="8" w:color="0072A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260" w:type="dxa"/>
            <w:vAlign w:val="bottom"/>
            <w:tcBorders>
              <w:right w:val="single" w:sz="8" w:color="0072AF"/>
            </w:tcBorders>
          </w:tcPr>
          <w:p>
            <w:pPr>
              <w:spacing w:after="0"/>
              <w:rPr>
                <w:sz w:val="16"/>
                <w:szCs w:val="16"/>
                <w:color w:val="auto"/>
              </w:rPr>
            </w:pPr>
          </w:p>
        </w:tc>
        <w:tc>
          <w:tcPr>
            <w:tcW w:w="1640" w:type="dxa"/>
            <w:vAlign w:val="bottom"/>
            <w:shd w:val="clear" w:color="auto" w:fill="CBCEE0"/>
          </w:tcPr>
          <w:p>
            <w:pPr>
              <w:spacing w:after="0"/>
              <w:rPr>
                <w:sz w:val="16"/>
                <w:szCs w:val="16"/>
                <w:color w:val="auto"/>
              </w:rPr>
            </w:pPr>
          </w:p>
        </w:tc>
        <w:tc>
          <w:tcPr>
            <w:tcW w:w="5260" w:type="dxa"/>
            <w:vAlign w:val="bottom"/>
            <w:shd w:val="clear" w:color="auto" w:fill="CBCEE0"/>
          </w:tcPr>
          <w:p>
            <w:pPr>
              <w:ind w:left="200"/>
              <w:spacing w:after="0"/>
              <w:rPr>
                <w:sz w:val="20"/>
                <w:szCs w:val="20"/>
                <w:color w:val="auto"/>
              </w:rPr>
            </w:pPr>
            <w:r>
              <w:rPr>
                <w:rFonts w:ascii="Arial" w:cs="Arial" w:eastAsia="Arial" w:hAnsi="Arial"/>
                <w:sz w:val="16"/>
                <w:szCs w:val="16"/>
                <w:color w:val="auto"/>
              </w:rPr>
              <w:t>the three-year performance period.</w:t>
            </w:r>
          </w:p>
        </w:tc>
        <w:tc>
          <w:tcPr>
            <w:tcW w:w="940" w:type="dxa"/>
            <w:vAlign w:val="bottom"/>
            <w:tcBorders>
              <w:left w:val="single" w:sz="8" w:color="0072A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260" w:type="dxa"/>
            <w:vAlign w:val="bottom"/>
            <w:tcBorders>
              <w:right w:val="single" w:sz="8" w:color="0072AF"/>
            </w:tcBorders>
          </w:tcPr>
          <w:p>
            <w:pPr>
              <w:spacing w:after="0"/>
              <w:rPr>
                <w:sz w:val="16"/>
                <w:szCs w:val="16"/>
                <w:color w:val="auto"/>
              </w:rPr>
            </w:pPr>
          </w:p>
        </w:tc>
        <w:tc>
          <w:tcPr>
            <w:tcW w:w="1640" w:type="dxa"/>
            <w:vAlign w:val="bottom"/>
            <w:shd w:val="clear" w:color="auto" w:fill="CBCEE0"/>
          </w:tcPr>
          <w:p>
            <w:pPr>
              <w:spacing w:after="0"/>
              <w:rPr>
                <w:sz w:val="16"/>
                <w:szCs w:val="16"/>
                <w:color w:val="auto"/>
              </w:rPr>
            </w:pPr>
          </w:p>
        </w:tc>
        <w:tc>
          <w:tcPr>
            <w:tcW w:w="5260" w:type="dxa"/>
            <w:vAlign w:val="bottom"/>
            <w:shd w:val="clear" w:color="auto" w:fill="CBCEE0"/>
          </w:tcPr>
          <w:p>
            <w:pPr>
              <w:ind w:left="200"/>
              <w:spacing w:after="0"/>
              <w:rPr>
                <w:sz w:val="20"/>
                <w:szCs w:val="20"/>
                <w:color w:val="auto"/>
              </w:rPr>
            </w:pPr>
            <w:r>
              <w:rPr>
                <w:rFonts w:ascii="Arial" w:cs="Arial" w:eastAsia="Arial" w:hAnsi="Arial"/>
                <w:sz w:val="16"/>
                <w:szCs w:val="16"/>
                <w:color w:val="auto"/>
              </w:rPr>
              <w:t>Note: The 2021 CIUs vested in February of 2024 at a value of</w:t>
            </w:r>
          </w:p>
        </w:tc>
        <w:tc>
          <w:tcPr>
            <w:tcW w:w="940" w:type="dxa"/>
            <w:vAlign w:val="bottom"/>
            <w:tcBorders>
              <w:left w:val="single" w:sz="8" w:color="0072AF"/>
            </w:tcBorders>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920" w:type="dxa"/>
            <w:vAlign w:val="bottom"/>
          </w:tcPr>
          <w:p>
            <w:pPr>
              <w:spacing w:after="0"/>
              <w:rPr>
                <w:sz w:val="21"/>
                <w:szCs w:val="21"/>
                <w:color w:val="auto"/>
              </w:rPr>
            </w:pPr>
          </w:p>
        </w:tc>
        <w:tc>
          <w:tcPr>
            <w:tcW w:w="2260" w:type="dxa"/>
            <w:vAlign w:val="bottom"/>
            <w:tcBorders>
              <w:right w:val="single" w:sz="8" w:color="0072AF"/>
            </w:tcBorders>
          </w:tcPr>
          <w:p>
            <w:pPr>
              <w:spacing w:after="0"/>
              <w:rPr>
                <w:sz w:val="21"/>
                <w:szCs w:val="21"/>
                <w:color w:val="auto"/>
              </w:rPr>
            </w:pPr>
          </w:p>
        </w:tc>
        <w:tc>
          <w:tcPr>
            <w:tcW w:w="1640" w:type="dxa"/>
            <w:vAlign w:val="bottom"/>
            <w:tcBorders>
              <w:bottom w:val="single" w:sz="8" w:color="CBCEE0"/>
            </w:tcBorders>
            <w:shd w:val="clear" w:color="auto" w:fill="CBCEE0"/>
          </w:tcPr>
          <w:p>
            <w:pPr>
              <w:spacing w:after="0"/>
              <w:rPr>
                <w:sz w:val="21"/>
                <w:szCs w:val="21"/>
                <w:color w:val="auto"/>
              </w:rPr>
            </w:pPr>
          </w:p>
        </w:tc>
        <w:tc>
          <w:tcPr>
            <w:tcW w:w="5260" w:type="dxa"/>
            <w:vAlign w:val="bottom"/>
            <w:tcBorders>
              <w:bottom w:val="single" w:sz="8" w:color="CBCEE0"/>
            </w:tcBorders>
            <w:shd w:val="clear" w:color="auto" w:fill="CBCEE0"/>
          </w:tcPr>
          <w:p>
            <w:pPr>
              <w:ind w:left="200"/>
              <w:spacing w:after="0"/>
              <w:rPr>
                <w:sz w:val="20"/>
                <w:szCs w:val="20"/>
                <w:color w:val="auto"/>
              </w:rPr>
            </w:pPr>
            <w:r>
              <w:rPr>
                <w:rFonts w:ascii="Arial" w:cs="Arial" w:eastAsia="Arial" w:hAnsi="Arial"/>
                <w:sz w:val="16"/>
                <w:szCs w:val="16"/>
                <w:color w:val="auto"/>
              </w:rPr>
              <w:t>$2,622,600.</w:t>
            </w:r>
          </w:p>
        </w:tc>
        <w:tc>
          <w:tcPr>
            <w:tcW w:w="940" w:type="dxa"/>
            <w:vAlign w:val="bottom"/>
            <w:tcBorders>
              <w:left w:val="single" w:sz="8" w:color="0072AF"/>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920" w:type="dxa"/>
            <w:vAlign w:val="bottom"/>
          </w:tcPr>
          <w:p>
            <w:pPr>
              <w:spacing w:after="0"/>
              <w:rPr>
                <w:sz w:val="21"/>
                <w:szCs w:val="21"/>
                <w:color w:val="auto"/>
              </w:rPr>
            </w:pPr>
          </w:p>
        </w:tc>
        <w:tc>
          <w:tcPr>
            <w:tcW w:w="2260" w:type="dxa"/>
            <w:vAlign w:val="bottom"/>
            <w:tcBorders>
              <w:right w:val="single" w:sz="8" w:color="0072AF"/>
            </w:tcBorders>
          </w:tcPr>
          <w:p>
            <w:pPr>
              <w:jc w:val="right"/>
              <w:ind w:right="20"/>
              <w:spacing w:after="0"/>
              <w:rPr>
                <w:sz w:val="20"/>
                <w:szCs w:val="20"/>
                <w:color w:val="auto"/>
              </w:rPr>
            </w:pPr>
            <w:r>
              <w:rPr>
                <w:rFonts w:ascii="Arial" w:cs="Arial" w:eastAsia="Arial" w:hAnsi="Arial"/>
                <w:sz w:val="16"/>
                <w:szCs w:val="16"/>
                <w:color w:val="auto"/>
              </w:rPr>
              <w:t>CIUs granted 2022</w:t>
            </w:r>
          </w:p>
        </w:tc>
        <w:tc>
          <w:tcPr>
            <w:tcW w:w="1640" w:type="dxa"/>
            <w:vAlign w:val="bottom"/>
          </w:tcPr>
          <w:p>
            <w:pPr>
              <w:jc w:val="right"/>
              <w:ind w:right="361"/>
              <w:spacing w:after="0"/>
              <w:rPr>
                <w:sz w:val="20"/>
                <w:szCs w:val="20"/>
                <w:color w:val="auto"/>
              </w:rPr>
            </w:pPr>
            <w:r>
              <w:rPr>
                <w:rFonts w:ascii="Arial" w:cs="Arial" w:eastAsia="Arial" w:hAnsi="Arial"/>
                <w:sz w:val="16"/>
                <w:szCs w:val="16"/>
                <w:color w:val="auto"/>
              </w:rPr>
              <w:t>4,230,000</w:t>
            </w:r>
          </w:p>
        </w:tc>
        <w:tc>
          <w:tcPr>
            <w:tcW w:w="5260" w:type="dxa"/>
            <w:vAlign w:val="bottom"/>
          </w:tcPr>
          <w:p>
            <w:pPr>
              <w:ind w:left="200"/>
              <w:spacing w:after="0"/>
              <w:rPr>
                <w:sz w:val="20"/>
                <w:szCs w:val="20"/>
                <w:color w:val="auto"/>
              </w:rPr>
            </w:pPr>
            <w:r>
              <w:rPr>
                <w:rFonts w:ascii="Arial" w:cs="Arial" w:eastAsia="Arial" w:hAnsi="Arial"/>
                <w:sz w:val="16"/>
                <w:szCs w:val="16"/>
                <w:color w:val="auto"/>
              </w:rPr>
              <w:t>Will continue vesting and be paid based on the actual multiplier</w:t>
            </w:r>
          </w:p>
        </w:tc>
        <w:tc>
          <w:tcPr>
            <w:tcW w:w="940" w:type="dxa"/>
            <w:vAlign w:val="bottom"/>
            <w:tcBorders>
              <w:left w:val="single" w:sz="8" w:color="0072AF"/>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260" w:type="dxa"/>
            <w:vAlign w:val="bottom"/>
            <w:tcBorders>
              <w:right w:val="single" w:sz="8" w:color="0072AF"/>
            </w:tcBorders>
          </w:tcPr>
          <w:p>
            <w:pPr>
              <w:spacing w:after="0"/>
              <w:rPr>
                <w:sz w:val="16"/>
                <w:szCs w:val="16"/>
                <w:color w:val="auto"/>
              </w:rPr>
            </w:pPr>
          </w:p>
        </w:tc>
        <w:tc>
          <w:tcPr>
            <w:tcW w:w="1640" w:type="dxa"/>
            <w:vAlign w:val="bottom"/>
          </w:tcPr>
          <w:p>
            <w:pPr>
              <w:spacing w:after="0"/>
              <w:rPr>
                <w:sz w:val="16"/>
                <w:szCs w:val="16"/>
                <w:color w:val="auto"/>
              </w:rPr>
            </w:pPr>
          </w:p>
        </w:tc>
        <w:tc>
          <w:tcPr>
            <w:tcW w:w="5260" w:type="dxa"/>
            <w:vAlign w:val="bottom"/>
          </w:tcPr>
          <w:p>
            <w:pPr>
              <w:ind w:left="200"/>
              <w:spacing w:after="0"/>
              <w:rPr>
                <w:sz w:val="20"/>
                <w:szCs w:val="20"/>
                <w:color w:val="auto"/>
              </w:rPr>
            </w:pPr>
            <w:r>
              <w:rPr>
                <w:rFonts w:ascii="Arial" w:cs="Arial" w:eastAsia="Arial" w:hAnsi="Arial"/>
                <w:sz w:val="16"/>
                <w:szCs w:val="16"/>
                <w:color w:val="auto"/>
              </w:rPr>
              <w:t>determined by achievement of predefined objectives at the end of</w:t>
            </w:r>
          </w:p>
        </w:tc>
        <w:tc>
          <w:tcPr>
            <w:tcW w:w="940" w:type="dxa"/>
            <w:vAlign w:val="bottom"/>
            <w:tcBorders>
              <w:left w:val="single" w:sz="8" w:color="0072AF"/>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2260" w:type="dxa"/>
            <w:vAlign w:val="bottom"/>
            <w:tcBorders>
              <w:right w:val="single" w:sz="8" w:color="0072AF"/>
            </w:tcBorders>
          </w:tcPr>
          <w:p>
            <w:pPr>
              <w:spacing w:after="0"/>
              <w:rPr>
                <w:sz w:val="18"/>
                <w:szCs w:val="18"/>
                <w:color w:val="auto"/>
              </w:rPr>
            </w:pPr>
          </w:p>
        </w:tc>
        <w:tc>
          <w:tcPr>
            <w:tcW w:w="164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6"/>
                <w:szCs w:val="16"/>
                <w:color w:val="auto"/>
              </w:rPr>
              <w:t>the three-year performance period.</w:t>
            </w:r>
          </w:p>
        </w:tc>
        <w:tc>
          <w:tcPr>
            <w:tcW w:w="940" w:type="dxa"/>
            <w:vAlign w:val="bottom"/>
            <w:tcBorders>
              <w:left w:val="single" w:sz="8" w:color="0072AF"/>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920" w:type="dxa"/>
            <w:vAlign w:val="bottom"/>
          </w:tcPr>
          <w:p>
            <w:pPr>
              <w:spacing w:after="0"/>
              <w:rPr>
                <w:sz w:val="4"/>
                <w:szCs w:val="4"/>
                <w:color w:val="auto"/>
              </w:rPr>
            </w:pPr>
          </w:p>
        </w:tc>
        <w:tc>
          <w:tcPr>
            <w:tcW w:w="2260" w:type="dxa"/>
            <w:vAlign w:val="bottom"/>
            <w:tcBorders>
              <w:right w:val="single" w:sz="8" w:color="0072AF"/>
            </w:tcBorders>
          </w:tcPr>
          <w:p>
            <w:pPr>
              <w:spacing w:after="0"/>
              <w:rPr>
                <w:sz w:val="4"/>
                <w:szCs w:val="4"/>
                <w:color w:val="auto"/>
              </w:rPr>
            </w:pPr>
          </w:p>
        </w:tc>
        <w:tc>
          <w:tcPr>
            <w:tcW w:w="1640" w:type="dxa"/>
            <w:vAlign w:val="bottom"/>
          </w:tcPr>
          <w:p>
            <w:pPr>
              <w:spacing w:after="0"/>
              <w:rPr>
                <w:sz w:val="4"/>
                <w:szCs w:val="4"/>
                <w:color w:val="auto"/>
              </w:rPr>
            </w:pPr>
          </w:p>
        </w:tc>
        <w:tc>
          <w:tcPr>
            <w:tcW w:w="5260" w:type="dxa"/>
            <w:vAlign w:val="bottom"/>
          </w:tcPr>
          <w:p>
            <w:pPr>
              <w:spacing w:after="0"/>
              <w:rPr>
                <w:sz w:val="4"/>
                <w:szCs w:val="4"/>
                <w:color w:val="auto"/>
              </w:rPr>
            </w:pPr>
          </w:p>
        </w:tc>
        <w:tc>
          <w:tcPr>
            <w:tcW w:w="940" w:type="dxa"/>
            <w:vAlign w:val="bottom"/>
            <w:tcBorders>
              <w:left w:val="single" w:sz="8" w:color="0072AF"/>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920" w:type="dxa"/>
            <w:vAlign w:val="bottom"/>
          </w:tcPr>
          <w:p>
            <w:pPr>
              <w:spacing w:after="0"/>
              <w:rPr>
                <w:sz w:val="24"/>
                <w:szCs w:val="24"/>
                <w:color w:val="auto"/>
              </w:rPr>
            </w:pPr>
          </w:p>
        </w:tc>
        <w:tc>
          <w:tcPr>
            <w:tcW w:w="2260" w:type="dxa"/>
            <w:vAlign w:val="bottom"/>
            <w:tcBorders>
              <w:right w:val="single" w:sz="8" w:color="0072AF"/>
            </w:tcBorders>
          </w:tcPr>
          <w:p>
            <w:pPr>
              <w:jc w:val="right"/>
              <w:ind w:right="20"/>
              <w:spacing w:after="0"/>
              <w:rPr>
                <w:sz w:val="20"/>
                <w:szCs w:val="20"/>
                <w:color w:val="auto"/>
              </w:rPr>
            </w:pPr>
            <w:r>
              <w:rPr>
                <w:rFonts w:ascii="Arial" w:cs="Arial" w:eastAsia="Arial" w:hAnsi="Arial"/>
                <w:sz w:val="16"/>
                <w:szCs w:val="16"/>
                <w:color w:val="auto"/>
              </w:rPr>
              <w:t>RSUs granted 2023</w:t>
            </w:r>
          </w:p>
        </w:tc>
        <w:tc>
          <w:tcPr>
            <w:tcW w:w="1640" w:type="dxa"/>
            <w:vAlign w:val="bottom"/>
            <w:tcBorders>
              <w:bottom w:val="single" w:sz="8" w:color="CBCEE0"/>
            </w:tcBorders>
            <w:shd w:val="clear" w:color="auto" w:fill="CBCEE0"/>
          </w:tcPr>
          <w:p>
            <w:pPr>
              <w:jc w:val="right"/>
              <w:ind w:right="361"/>
              <w:spacing w:after="0"/>
              <w:rPr>
                <w:sz w:val="20"/>
                <w:szCs w:val="20"/>
                <w:color w:val="auto"/>
              </w:rPr>
            </w:pPr>
            <w:r>
              <w:rPr>
                <w:rFonts w:ascii="Arial" w:cs="Arial" w:eastAsia="Arial" w:hAnsi="Arial"/>
                <w:sz w:val="16"/>
                <w:szCs w:val="16"/>
                <w:color w:val="auto"/>
              </w:rPr>
              <w:t>643,836</w:t>
            </w:r>
          </w:p>
        </w:tc>
        <w:tc>
          <w:tcPr>
            <w:tcW w:w="5260" w:type="dxa"/>
            <w:vAlign w:val="bottom"/>
            <w:tcBorders>
              <w:bottom w:val="single" w:sz="8" w:color="CBCEE0"/>
            </w:tcBorders>
            <w:shd w:val="clear" w:color="auto" w:fill="CBCEE0"/>
          </w:tcPr>
          <w:p>
            <w:pPr>
              <w:ind w:left="200"/>
              <w:spacing w:after="0"/>
              <w:rPr>
                <w:sz w:val="20"/>
                <w:szCs w:val="20"/>
                <w:color w:val="auto"/>
              </w:rPr>
            </w:pPr>
            <w:r>
              <w:rPr>
                <w:rFonts w:ascii="Arial" w:cs="Arial" w:eastAsia="Arial" w:hAnsi="Arial"/>
                <w:sz w:val="16"/>
                <w:szCs w:val="16"/>
                <w:color w:val="auto"/>
              </w:rPr>
              <w:t>Forfeited as not outstanding at least one year.</w:t>
            </w:r>
          </w:p>
        </w:tc>
        <w:tc>
          <w:tcPr>
            <w:tcW w:w="940" w:type="dxa"/>
            <w:vAlign w:val="bottom"/>
            <w:tcBorders>
              <w:left w:val="single" w:sz="8" w:color="0072AF"/>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920" w:type="dxa"/>
            <w:vAlign w:val="bottom"/>
          </w:tcPr>
          <w:p>
            <w:pPr>
              <w:spacing w:after="0"/>
              <w:rPr>
                <w:sz w:val="23"/>
                <w:szCs w:val="23"/>
                <w:color w:val="auto"/>
              </w:rPr>
            </w:pPr>
          </w:p>
        </w:tc>
        <w:tc>
          <w:tcPr>
            <w:tcW w:w="2260" w:type="dxa"/>
            <w:vAlign w:val="bottom"/>
            <w:tcBorders>
              <w:right w:val="single" w:sz="8" w:color="0072AF"/>
            </w:tcBorders>
          </w:tcPr>
          <w:p>
            <w:pPr>
              <w:jc w:val="right"/>
              <w:ind w:right="20"/>
              <w:spacing w:after="0"/>
              <w:rPr>
                <w:sz w:val="20"/>
                <w:szCs w:val="20"/>
                <w:color w:val="auto"/>
              </w:rPr>
            </w:pPr>
            <w:r>
              <w:rPr>
                <w:rFonts w:ascii="Arial" w:cs="Arial" w:eastAsia="Arial" w:hAnsi="Arial"/>
                <w:sz w:val="16"/>
                <w:szCs w:val="16"/>
                <w:color w:val="auto"/>
              </w:rPr>
              <w:t>CIUs granted 2023</w:t>
            </w:r>
          </w:p>
        </w:tc>
        <w:tc>
          <w:tcPr>
            <w:tcW w:w="1640" w:type="dxa"/>
            <w:vAlign w:val="bottom"/>
          </w:tcPr>
          <w:p>
            <w:pPr>
              <w:jc w:val="right"/>
              <w:ind w:right="361"/>
              <w:spacing w:after="0"/>
              <w:rPr>
                <w:sz w:val="20"/>
                <w:szCs w:val="20"/>
                <w:color w:val="auto"/>
              </w:rPr>
            </w:pPr>
            <w:r>
              <w:rPr>
                <w:rFonts w:ascii="Arial" w:cs="Arial" w:eastAsia="Arial" w:hAnsi="Arial"/>
                <w:sz w:val="16"/>
                <w:szCs w:val="16"/>
                <w:color w:val="auto"/>
              </w:rPr>
              <w:t>4,230,000</w:t>
            </w:r>
          </w:p>
        </w:tc>
        <w:tc>
          <w:tcPr>
            <w:tcW w:w="5260" w:type="dxa"/>
            <w:vAlign w:val="bottom"/>
          </w:tcPr>
          <w:p>
            <w:pPr>
              <w:ind w:left="200"/>
              <w:spacing w:after="0"/>
              <w:rPr>
                <w:sz w:val="20"/>
                <w:szCs w:val="20"/>
                <w:color w:val="auto"/>
              </w:rPr>
            </w:pPr>
            <w:r>
              <w:rPr>
                <w:rFonts w:ascii="Arial" w:cs="Arial" w:eastAsia="Arial" w:hAnsi="Arial"/>
                <w:sz w:val="16"/>
                <w:szCs w:val="16"/>
                <w:color w:val="auto"/>
              </w:rPr>
              <w:t>Forfeited as not outstanding at least one year.</w:t>
            </w:r>
          </w:p>
        </w:tc>
        <w:tc>
          <w:tcPr>
            <w:tcW w:w="940" w:type="dxa"/>
            <w:vAlign w:val="bottom"/>
            <w:tcBorders>
              <w:left w:val="single" w:sz="8" w:color="0072AF"/>
            </w:tcBorders>
          </w:tcPr>
          <w:p>
            <w:pPr>
              <w:spacing w:after="0"/>
              <w:rPr>
                <w:sz w:val="23"/>
                <w:szCs w:val="23"/>
                <w:color w:val="auto"/>
              </w:rPr>
            </w:pPr>
          </w:p>
        </w:tc>
        <w:tc>
          <w:tcPr>
            <w:tcW w:w="0" w:type="dxa"/>
            <w:vAlign w:val="bottom"/>
          </w:tcPr>
          <w:p>
            <w:pPr>
              <w:spacing w:after="0"/>
              <w:rPr>
                <w:sz w:val="1"/>
                <w:szCs w:val="1"/>
                <w:color w:val="auto"/>
              </w:rPr>
            </w:pPr>
          </w:p>
        </w:tc>
      </w:tr>
      <w:tr>
        <w:trPr>
          <w:trHeight w:val="70"/>
        </w:trPr>
        <w:tc>
          <w:tcPr>
            <w:tcW w:w="920" w:type="dxa"/>
            <w:vAlign w:val="bottom"/>
          </w:tcPr>
          <w:p>
            <w:pPr>
              <w:spacing w:after="0"/>
              <w:rPr>
                <w:sz w:val="6"/>
                <w:szCs w:val="6"/>
                <w:color w:val="auto"/>
              </w:rPr>
            </w:pPr>
          </w:p>
        </w:tc>
        <w:tc>
          <w:tcPr>
            <w:tcW w:w="2260" w:type="dxa"/>
            <w:vAlign w:val="bottom"/>
            <w:tcBorders>
              <w:right w:val="single" w:sz="8" w:color="0072AF"/>
            </w:tcBorders>
          </w:tcPr>
          <w:p>
            <w:pPr>
              <w:spacing w:after="0"/>
              <w:rPr>
                <w:sz w:val="6"/>
                <w:szCs w:val="6"/>
                <w:color w:val="auto"/>
              </w:rPr>
            </w:pPr>
          </w:p>
        </w:tc>
        <w:tc>
          <w:tcPr>
            <w:tcW w:w="1640" w:type="dxa"/>
            <w:vAlign w:val="bottom"/>
          </w:tcPr>
          <w:p>
            <w:pPr>
              <w:spacing w:after="0"/>
              <w:rPr>
                <w:sz w:val="6"/>
                <w:szCs w:val="6"/>
                <w:color w:val="auto"/>
              </w:rPr>
            </w:pPr>
          </w:p>
        </w:tc>
        <w:tc>
          <w:tcPr>
            <w:tcW w:w="5260" w:type="dxa"/>
            <w:vAlign w:val="bottom"/>
            <w:vMerge w:val="restart"/>
          </w:tcPr>
          <w:p>
            <w:pPr>
              <w:ind w:left="580"/>
              <w:spacing w:after="0"/>
              <w:rPr>
                <w:sz w:val="20"/>
                <w:szCs w:val="20"/>
                <w:color w:val="auto"/>
              </w:rPr>
            </w:pPr>
            <w:r>
              <w:rPr>
                <w:rFonts w:ascii="Arial" w:cs="Arial" w:eastAsia="Arial" w:hAnsi="Arial"/>
                <w:sz w:val="18"/>
                <w:szCs w:val="18"/>
                <w:color w:val="auto"/>
              </w:rPr>
              <w:t>55</w:t>
            </w:r>
          </w:p>
        </w:tc>
        <w:tc>
          <w:tcPr>
            <w:tcW w:w="940" w:type="dxa"/>
            <w:vAlign w:val="bottom"/>
            <w:tcBorders>
              <w:left w:val="single" w:sz="8" w:color="0072AF"/>
            </w:tcBorders>
          </w:tcPr>
          <w:p>
            <w:pPr>
              <w:spacing w:after="0"/>
              <w:rPr>
                <w:sz w:val="6"/>
                <w:szCs w:val="6"/>
                <w:color w:val="auto"/>
              </w:rPr>
            </w:pPr>
          </w:p>
        </w:tc>
        <w:tc>
          <w:tcPr>
            <w:tcW w:w="0" w:type="dxa"/>
            <w:vAlign w:val="bottom"/>
          </w:tcPr>
          <w:p>
            <w:pPr>
              <w:spacing w:after="0"/>
              <w:rPr>
                <w:sz w:val="1"/>
                <w:szCs w:val="1"/>
                <w:color w:val="auto"/>
              </w:rPr>
            </w:pPr>
          </w:p>
        </w:tc>
      </w:tr>
      <w:tr>
        <w:trPr>
          <w:trHeight w:val="436"/>
        </w:trPr>
        <w:tc>
          <w:tcPr>
            <w:tcW w:w="9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9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5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6400800</wp:posOffset>
            </wp:positionH>
            <wp:positionV relativeFrom="paragraph">
              <wp:posOffset>-2767965</wp:posOffset>
            </wp:positionV>
            <wp:extent cx="8255" cy="2743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27432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175260</wp:posOffset>
            </wp:positionV>
            <wp:extent cx="58293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2023 Stockholder Engagement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It is our normal practice to contact many of our stockholders in the spring and fall of each year to seek their views on various governance topics and executive compensation matters.</w:t>
      </w:r>
    </w:p>
    <w:p>
      <w:pPr>
        <w:spacing w:after="0" w:line="11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At the Company’s annual meeting of stockholders in 2023, votes received in favor of our say-on-pay proposal were below our expectations. Although there were no substantive changes in our 2022 executive compensation program, our advisory stockholder vote on executive compensation received less than majority support from our voting stockholders, with 46.5% of votes cast in favor. In comparison, in the prior year, our advisory say-on-pay proposal received support from 90.3% of the votes cast. In response to the 2023 say-on-pay vote, in addition to stockholder outreach initiatives, the Committee and management engaged in a comprehensive review of our executive compensation program.</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reached out to our top 50 investors, whose stockholdings collectively represented approximately 68% of the outstanding Company shares, to provide an opportunity to share their views or ask questions concerning the matters covered in the Proxy Statement, including those relating to executive compensation and corporate governance. We held meetings with nine stockholders collectively representing approximately 37% of our outstanding stock as of October 2023. Six of the nine meetings were attended by independent directors. The remainder of our stockholders contacted either confirmed they had no concerns, or declined or did not respond to our request for a discussion.</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Insights from the stockholders who attended an outreach session will continue to inform the Committee’s decision process with respect to the design and disclosure of its executive compensation programs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6077585" cy="14312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7758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175260</wp:posOffset>
            </wp:positionV>
            <wp:extent cx="58293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Board Responsiveness and Compensation Design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Below is a summary of the feedback we received from our stockholders after our 2022 and 2023 engagement conversations and the Committee’s response, which includes changes made to our executive compensation program design for 2023 and 2024. In addition to the constructive stockholder feedback summarized below, multiple stockholders expressed support for our compensation design and plans. Specifically, they recognized that the 2023 say-on-pay vote may have been impacted by the proxy contest ongoing at the same time.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2120" w:type="dxa"/>
            <w:vAlign w:val="bottom"/>
            <w:shd w:val="clear" w:color="auto" w:fill="BFD3E9"/>
          </w:tcPr>
          <w:p>
            <w:pPr>
              <w:ind w:left="40"/>
              <w:spacing w:after="0"/>
              <w:rPr>
                <w:sz w:val="20"/>
                <w:szCs w:val="20"/>
                <w:color w:val="auto"/>
              </w:rPr>
            </w:pPr>
            <w:r>
              <w:rPr>
                <w:rFonts w:ascii="Arial" w:cs="Arial" w:eastAsia="Arial" w:hAnsi="Arial"/>
                <w:sz w:val="18"/>
                <w:szCs w:val="18"/>
                <w:b w:val="1"/>
                <w:bCs w:val="1"/>
                <w:color w:val="0072AF"/>
              </w:rPr>
              <w:t>What we heard from</w:t>
            </w:r>
          </w:p>
        </w:tc>
        <w:tc>
          <w:tcPr>
            <w:tcW w:w="3120" w:type="dxa"/>
            <w:vAlign w:val="bottom"/>
            <w:shd w:val="clear" w:color="auto" w:fill="BFD3E9"/>
          </w:tcPr>
          <w:p>
            <w:pPr>
              <w:spacing w:after="0"/>
              <w:rPr>
                <w:sz w:val="24"/>
                <w:szCs w:val="24"/>
                <w:color w:val="auto"/>
              </w:rPr>
            </w:pPr>
          </w:p>
        </w:tc>
        <w:tc>
          <w:tcPr>
            <w:tcW w:w="3940" w:type="dxa"/>
            <w:vAlign w:val="bottom"/>
            <w:shd w:val="clear" w:color="auto" w:fill="BFD3E9"/>
          </w:tcPr>
          <w:p>
            <w:pPr>
              <w:ind w:left="800"/>
              <w:spacing w:after="0"/>
              <w:rPr>
                <w:sz w:val="20"/>
                <w:szCs w:val="20"/>
                <w:color w:val="auto"/>
              </w:rPr>
            </w:pPr>
            <w:r>
              <w:rPr>
                <w:rFonts w:ascii="Arial" w:cs="Arial" w:eastAsia="Arial" w:hAnsi="Arial"/>
                <w:sz w:val="18"/>
                <w:szCs w:val="18"/>
                <w:b w:val="1"/>
                <w:bCs w:val="1"/>
                <w:color w:val="0072AF"/>
              </w:rPr>
              <w:t>Committee Responsiveness:</w:t>
            </w:r>
          </w:p>
        </w:tc>
      </w:tr>
      <w:tr>
        <w:trPr>
          <w:trHeight w:val="247"/>
        </w:trPr>
        <w:tc>
          <w:tcPr>
            <w:tcW w:w="2120" w:type="dxa"/>
            <w:vAlign w:val="bottom"/>
            <w:shd w:val="clear" w:color="auto" w:fill="BFD3E9"/>
          </w:tcPr>
          <w:p>
            <w:pPr>
              <w:ind w:left="40"/>
              <w:spacing w:after="0"/>
              <w:rPr>
                <w:sz w:val="20"/>
                <w:szCs w:val="20"/>
                <w:color w:val="auto"/>
              </w:rPr>
            </w:pPr>
            <w:r>
              <w:rPr>
                <w:rFonts w:ascii="Arial" w:cs="Arial" w:eastAsia="Arial" w:hAnsi="Arial"/>
                <w:sz w:val="18"/>
                <w:szCs w:val="18"/>
                <w:b w:val="1"/>
                <w:bCs w:val="1"/>
                <w:color w:val="0072AF"/>
              </w:rPr>
              <w:t>stockholders:</w:t>
            </w:r>
          </w:p>
        </w:tc>
        <w:tc>
          <w:tcPr>
            <w:tcW w:w="3120" w:type="dxa"/>
            <w:vAlign w:val="bottom"/>
            <w:shd w:val="clear" w:color="auto" w:fill="BFD3E9"/>
          </w:tcPr>
          <w:p>
            <w:pPr>
              <w:ind w:left="340"/>
              <w:spacing w:after="0"/>
              <w:rPr>
                <w:sz w:val="20"/>
                <w:szCs w:val="20"/>
                <w:color w:val="auto"/>
              </w:rPr>
            </w:pPr>
            <w:r>
              <w:rPr>
                <w:rFonts w:ascii="Arial" w:cs="Arial" w:eastAsia="Arial" w:hAnsi="Arial"/>
                <w:sz w:val="18"/>
                <w:szCs w:val="18"/>
                <w:b w:val="1"/>
                <w:bCs w:val="1"/>
                <w:color w:val="0072AF"/>
              </w:rPr>
              <w:t>Previous Plan Features</w:t>
            </w:r>
          </w:p>
        </w:tc>
        <w:tc>
          <w:tcPr>
            <w:tcW w:w="3940" w:type="dxa"/>
            <w:vAlign w:val="bottom"/>
            <w:shd w:val="clear" w:color="auto" w:fill="BFD3E9"/>
          </w:tcPr>
          <w:p>
            <w:pPr>
              <w:ind w:left="800"/>
              <w:spacing w:after="0"/>
              <w:rPr>
                <w:sz w:val="20"/>
                <w:szCs w:val="20"/>
                <w:color w:val="auto"/>
              </w:rPr>
            </w:pPr>
            <w:r>
              <w:rPr>
                <w:rFonts w:ascii="Arial" w:cs="Arial" w:eastAsia="Arial" w:hAnsi="Arial"/>
                <w:sz w:val="18"/>
                <w:szCs w:val="18"/>
                <w:b w:val="1"/>
                <w:bCs w:val="1"/>
                <w:color w:val="0072AF"/>
              </w:rPr>
              <w:t>New Plan Features and Changes</w:t>
            </w:r>
          </w:p>
        </w:tc>
      </w:tr>
      <w:tr>
        <w:trPr>
          <w:trHeight w:val="69"/>
        </w:trPr>
        <w:tc>
          <w:tcPr>
            <w:tcW w:w="2120" w:type="dxa"/>
            <w:vAlign w:val="bottom"/>
            <w:tcBorders>
              <w:bottom w:val="single" w:sz="8" w:color="0072AF"/>
            </w:tcBorders>
            <w:shd w:val="clear" w:color="auto" w:fill="BFD3E9"/>
          </w:tcPr>
          <w:p>
            <w:pPr>
              <w:spacing w:after="0"/>
              <w:rPr>
                <w:sz w:val="6"/>
                <w:szCs w:val="6"/>
                <w:color w:val="auto"/>
              </w:rPr>
            </w:pPr>
          </w:p>
        </w:tc>
        <w:tc>
          <w:tcPr>
            <w:tcW w:w="3120" w:type="dxa"/>
            <w:vAlign w:val="bottom"/>
            <w:tcBorders>
              <w:bottom w:val="single" w:sz="8" w:color="0072AF"/>
            </w:tcBorders>
            <w:shd w:val="clear" w:color="auto" w:fill="BFD3E9"/>
          </w:tcPr>
          <w:p>
            <w:pPr>
              <w:spacing w:after="0"/>
              <w:rPr>
                <w:sz w:val="6"/>
                <w:szCs w:val="6"/>
                <w:color w:val="auto"/>
              </w:rPr>
            </w:pPr>
          </w:p>
        </w:tc>
        <w:tc>
          <w:tcPr>
            <w:tcW w:w="3940" w:type="dxa"/>
            <w:vAlign w:val="bottom"/>
            <w:tcBorders>
              <w:bottom w:val="single" w:sz="8" w:color="0072AF"/>
            </w:tcBorders>
            <w:shd w:val="clear" w:color="auto" w:fill="BFD3E9"/>
          </w:tcPr>
          <w:p>
            <w:pPr>
              <w:spacing w:after="0"/>
              <w:rPr>
                <w:sz w:val="6"/>
                <w:szCs w:val="6"/>
                <w:color w:val="auto"/>
              </w:rPr>
            </w:pPr>
          </w:p>
        </w:tc>
      </w:tr>
    </w:tbl>
    <w:p>
      <w:pPr>
        <w:spacing w:after="0" w:line="76" w:lineRule="exact"/>
        <w:rPr>
          <w:sz w:val="20"/>
          <w:szCs w:val="20"/>
          <w:color w:val="auto"/>
        </w:rPr>
      </w:pPr>
    </w:p>
    <w:p>
      <w:pPr>
        <w:sectPr>
          <w:pgSz w:w="11900" w:h="16838" w:orient="portrait"/>
          <w:cols w:equalWidth="0" w:num="1">
            <w:col w:w="9180"/>
          </w:cols>
          <w:pgMar w:left="1360" w:top="114" w:right="1359" w:bottom="1440" w:gutter="0" w:footer="0" w:header="0"/>
        </w:sectPr>
      </w:pPr>
    </w:p>
    <w:p>
      <w:pPr>
        <w:ind w:left="40"/>
        <w:spacing w:after="0" w:line="275" w:lineRule="auto"/>
        <w:rPr>
          <w:sz w:val="20"/>
          <w:szCs w:val="20"/>
          <w:color w:val="auto"/>
        </w:rPr>
      </w:pPr>
      <w:r>
        <w:rPr>
          <w:rFonts w:ascii="Arial" w:cs="Arial" w:eastAsia="Arial" w:hAnsi="Arial"/>
          <w:sz w:val="17"/>
          <w:szCs w:val="17"/>
          <w:color w:val="auto"/>
        </w:rPr>
        <w:t>Recommendation to shift from cash to equity for long-term incentives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LTI mix in 2023 was 60% cash-based and 40% equity-based. The shift to cash in recent years was due to a shortage of shares available for compensation and the impact granting equity has on stockholder dilution and our burn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437515</wp:posOffset>
            </wp:positionV>
            <wp:extent cx="58293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39" w:lineRule="auto"/>
        <w:rPr>
          <w:sz w:val="20"/>
          <w:szCs w:val="20"/>
          <w:color w:val="auto"/>
        </w:rPr>
      </w:pPr>
      <w:r>
        <w:rPr>
          <w:rFonts w:ascii="Arial" w:cs="Arial" w:eastAsia="Arial" w:hAnsi="Arial"/>
          <w:sz w:val="18"/>
          <w:szCs w:val="18"/>
          <w:color w:val="auto"/>
        </w:rPr>
        <w:t>The 2024 LTI mix for executive officers will shift from 60% cash-based to 100% equity-based as the Committee continues to balance the impact on stockholder dilution and our burn rate. The temporary shift of the LTI mix towards cash in recent years has reduced our burn rate and dilution levels sufficiently to allow this shift back to equity.</w:t>
      </w:r>
    </w:p>
    <w:p>
      <w:pPr>
        <w:spacing w:after="0" w:line="166" w:lineRule="exact"/>
        <w:rPr>
          <w:sz w:val="20"/>
          <w:szCs w:val="20"/>
          <w:color w:val="auto"/>
        </w:rPr>
      </w:pPr>
    </w:p>
    <w:p>
      <w:pPr>
        <w:sectPr>
          <w:pgSz w:w="11900" w:h="16838" w:orient="portrait"/>
          <w:cols w:equalWidth="0" w:num="3">
            <w:col w:w="1940" w:space="520"/>
            <w:col w:w="3060" w:space="520"/>
            <w:col w:w="3140"/>
          </w:cols>
          <w:pgMar w:left="1360" w:top="114" w:right="1359" w:bottom="1440" w:gutter="0" w:footer="0" w:header="0"/>
          <w:type w:val="continuous"/>
        </w:sectPr>
      </w:pPr>
    </w:p>
    <w:p>
      <w:pPr>
        <w:ind w:left="40"/>
        <w:spacing w:after="0" w:line="247" w:lineRule="auto"/>
        <w:rPr>
          <w:sz w:val="20"/>
          <w:szCs w:val="20"/>
          <w:color w:val="auto"/>
        </w:rPr>
      </w:pPr>
      <w:r>
        <w:rPr>
          <w:rFonts w:ascii="Arial" w:cs="Arial" w:eastAsia="Arial" w:hAnsi="Arial"/>
          <w:sz w:val="18"/>
          <w:szCs w:val="18"/>
          <w:color w:val="auto"/>
        </w:rPr>
        <w:t>Eliminate the duplication of measures in the short- and long-term plans</w:t>
      </w:r>
    </w:p>
    <w:p>
      <w:pPr>
        <w:spacing w:after="0" w:line="20" w:lineRule="exact"/>
        <w:rPr>
          <w:sz w:val="20"/>
          <w:szCs w:val="20"/>
          <w:color w:val="auto"/>
        </w:rPr>
      </w:pPr>
      <w:r>
        <w:rPr>
          <w:sz w:val="20"/>
          <w:szCs w:val="20"/>
          <w:color w:val="auto"/>
        </w:rPr>
        <w:br w:type="column"/>
      </w:r>
    </w:p>
    <w:p>
      <w:pPr>
        <w:ind w:right="20"/>
        <w:spacing w:after="0" w:line="247" w:lineRule="auto"/>
        <w:rPr>
          <w:sz w:val="20"/>
          <w:szCs w:val="20"/>
          <w:color w:val="auto"/>
        </w:rPr>
      </w:pPr>
      <w:r>
        <w:rPr>
          <w:rFonts w:ascii="Arial" w:cs="Arial" w:eastAsia="Arial" w:hAnsi="Arial"/>
          <w:sz w:val="18"/>
          <w:szCs w:val="18"/>
          <w:color w:val="auto"/>
        </w:rPr>
        <w:t>The annual incentive included three financial measures, and both the annual and long-term incentives included Adjusted FCF.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688340</wp:posOffset>
            </wp:positionV>
            <wp:extent cx="58293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39" w:lineRule="auto"/>
        <w:rPr>
          <w:sz w:val="20"/>
          <w:szCs w:val="20"/>
          <w:color w:val="auto"/>
        </w:rPr>
      </w:pPr>
      <w:r>
        <w:rPr>
          <w:rFonts w:ascii="Arial" w:cs="Arial" w:eastAsia="Arial" w:hAnsi="Arial"/>
          <w:sz w:val="18"/>
          <w:szCs w:val="18"/>
          <w:color w:val="auto"/>
        </w:rPr>
        <w:t>Beginning in 2024, to simplify the plan and continue to drive desired strategic outcomes, we will reduce the number of financial measures used to determine annual incentives to two. Neither measure will be used in the long-term plan, thereby eliminating the duplication of financial measures across plans.</w:t>
      </w:r>
    </w:p>
    <w:p>
      <w:pPr>
        <w:spacing w:after="0" w:line="170" w:lineRule="exact"/>
        <w:rPr>
          <w:sz w:val="20"/>
          <w:szCs w:val="20"/>
          <w:color w:val="auto"/>
        </w:rPr>
      </w:pPr>
    </w:p>
    <w:p>
      <w:pPr>
        <w:sectPr>
          <w:pgSz w:w="11900" w:h="16838" w:orient="portrait"/>
          <w:cols w:equalWidth="0" w:num="3">
            <w:col w:w="1940" w:space="520"/>
            <w:col w:w="2860" w:space="720"/>
            <w:col w:w="3140"/>
          </w:cols>
          <w:pgMar w:left="1360" w:top="114" w:right="1359" w:bottom="1440" w:gutter="0" w:footer="0" w:header="0"/>
          <w:type w:val="continuous"/>
        </w:sectPr>
      </w:pPr>
    </w:p>
    <w:p>
      <w:pPr>
        <w:ind w:left="40"/>
        <w:spacing w:after="0"/>
        <w:tabs>
          <w:tab w:leader="none" w:pos="2440" w:val="left"/>
        </w:tabs>
        <w:rPr>
          <w:sz w:val="20"/>
          <w:szCs w:val="20"/>
          <w:color w:val="auto"/>
        </w:rPr>
      </w:pPr>
      <w:r>
        <w:rPr>
          <w:rFonts w:ascii="Arial" w:cs="Arial" w:eastAsia="Arial" w:hAnsi="Arial"/>
          <w:sz w:val="18"/>
          <w:szCs w:val="18"/>
          <w:color w:val="auto"/>
        </w:rPr>
        <w:t>Review peer group to</w:t>
      </w:r>
      <w:r>
        <w:rPr>
          <w:sz w:val="20"/>
          <w:szCs w:val="20"/>
          <w:color w:val="auto"/>
        </w:rPr>
        <w:tab/>
      </w:r>
      <w:r>
        <w:rPr>
          <w:rFonts w:ascii="Arial" w:cs="Arial" w:eastAsia="Arial" w:hAnsi="Arial"/>
          <w:sz w:val="18"/>
          <w:szCs w:val="18"/>
          <w:color w:val="auto"/>
        </w:rPr>
        <w:t>Current peer group includes</w:t>
      </w:r>
    </w:p>
    <w:p>
      <w:pPr>
        <w:spacing w:after="0" w:line="9" w:lineRule="exact"/>
        <w:rPr>
          <w:sz w:val="20"/>
          <w:szCs w:val="20"/>
          <w:color w:val="auto"/>
        </w:rPr>
      </w:pPr>
    </w:p>
    <w:p>
      <w:pPr>
        <w:ind w:left="40"/>
        <w:spacing w:after="0"/>
        <w:tabs>
          <w:tab w:leader="none" w:pos="2440" w:val="left"/>
        </w:tabs>
        <w:rPr>
          <w:sz w:val="20"/>
          <w:szCs w:val="20"/>
          <w:color w:val="auto"/>
        </w:rPr>
      </w:pPr>
      <w:r>
        <w:rPr>
          <w:rFonts w:ascii="Arial" w:cs="Arial" w:eastAsia="Arial" w:hAnsi="Arial"/>
          <w:sz w:val="18"/>
          <w:szCs w:val="18"/>
          <w:color w:val="auto"/>
        </w:rPr>
        <w:t>ensure companies are</w:t>
      </w:r>
      <w:r>
        <w:rPr>
          <w:sz w:val="20"/>
          <w:szCs w:val="20"/>
          <w:color w:val="auto"/>
        </w:rPr>
        <w:tab/>
      </w:r>
      <w:r>
        <w:rPr>
          <w:rFonts w:ascii="Arial" w:cs="Arial" w:eastAsia="Arial" w:hAnsi="Arial"/>
          <w:sz w:val="18"/>
          <w:szCs w:val="18"/>
          <w:color w:val="auto"/>
        </w:rPr>
        <w:t>companies with significantly higher</w:t>
      </w:r>
    </w:p>
    <w:p>
      <w:pPr>
        <w:ind w:left="40"/>
        <w:spacing w:after="0" w:line="234" w:lineRule="auto"/>
        <w:tabs>
          <w:tab w:leader="none" w:pos="2440" w:val="left"/>
        </w:tabs>
        <w:rPr>
          <w:sz w:val="20"/>
          <w:szCs w:val="20"/>
          <w:color w:val="auto"/>
        </w:rPr>
      </w:pPr>
      <w:r>
        <w:rPr>
          <w:rFonts w:ascii="Arial" w:cs="Arial" w:eastAsia="Arial" w:hAnsi="Arial"/>
          <w:sz w:val="18"/>
          <w:szCs w:val="18"/>
          <w:color w:val="auto"/>
        </w:rPr>
        <w:t>aligned with Pitney</w:t>
      </w:r>
      <w:r>
        <w:rPr>
          <w:sz w:val="20"/>
          <w:szCs w:val="20"/>
          <w:color w:val="auto"/>
        </w:rPr>
        <w:tab/>
      </w:r>
      <w:r>
        <w:rPr>
          <w:rFonts w:ascii="Arial" w:cs="Arial" w:eastAsia="Arial" w:hAnsi="Arial"/>
          <w:sz w:val="18"/>
          <w:szCs w:val="18"/>
          <w:color w:val="auto"/>
        </w:rPr>
        <w:t>market capitalization.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Bowes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443230</wp:posOffset>
            </wp:positionV>
            <wp:extent cx="58293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rPr>
          <w:sz w:val="20"/>
          <w:szCs w:val="20"/>
          <w:color w:val="auto"/>
        </w:rPr>
      </w:pPr>
      <w:r>
        <w:rPr>
          <w:rFonts w:ascii="Arial" w:cs="Arial" w:eastAsia="Arial" w:hAnsi="Arial"/>
          <w:sz w:val="18"/>
          <w:szCs w:val="18"/>
          <w:color w:val="auto"/>
        </w:rPr>
        <w:t xml:space="preserve">Effective 2024, the peer group was changed to eliminate companies with outsized market capitalizations; refer to discussion in “Peer Group for Assessing Compensation of NEOs” starting on page </w:t>
      </w:r>
      <w:r>
        <w:rPr>
          <w:rFonts w:ascii="Arial" w:cs="Arial" w:eastAsia="Arial" w:hAnsi="Arial"/>
          <w:sz w:val="18"/>
          <w:szCs w:val="18"/>
          <w:u w:val="single" w:color="auto"/>
          <w:color w:val="0000EE"/>
        </w:rPr>
        <w:t>71</w:t>
      </w:r>
      <w:r>
        <w:rPr>
          <w:rFonts w:ascii="Arial" w:cs="Arial" w:eastAsia="Arial" w:hAnsi="Arial"/>
          <w:sz w:val="18"/>
          <w:szCs w:val="18"/>
          <w:color w:val="auto"/>
        </w:rPr>
        <w:t xml:space="preserve"> related to peer group changes.</w:t>
      </w:r>
    </w:p>
    <w:p>
      <w:pPr>
        <w:spacing w:after="0" w:line="171" w:lineRule="exact"/>
        <w:rPr>
          <w:sz w:val="20"/>
          <w:szCs w:val="20"/>
          <w:color w:val="auto"/>
        </w:rPr>
      </w:pPr>
    </w:p>
    <w:p>
      <w:pPr>
        <w:sectPr>
          <w:pgSz w:w="11900" w:h="16838" w:orient="portrait"/>
          <w:cols w:equalWidth="0" w:num="2">
            <w:col w:w="5320" w:space="720"/>
            <w:col w:w="3140"/>
          </w:cols>
          <w:pgMar w:left="1360" w:top="114" w:right="1359" w:bottom="1440" w:gutter="0" w:footer="0" w:header="0"/>
          <w:type w:val="continuous"/>
        </w:sectPr>
      </w:pPr>
    </w:p>
    <w:p>
      <w:pPr>
        <w:ind w:left="40"/>
        <w:spacing w:after="0" w:line="244" w:lineRule="auto"/>
        <w:rPr>
          <w:sz w:val="20"/>
          <w:szCs w:val="20"/>
          <w:color w:val="auto"/>
        </w:rPr>
      </w:pPr>
      <w:r>
        <w:rPr>
          <w:rFonts w:ascii="Arial" w:cs="Arial" w:eastAsia="Arial" w:hAnsi="Arial"/>
          <w:sz w:val="18"/>
          <w:szCs w:val="18"/>
          <w:color w:val="auto"/>
        </w:rPr>
        <w:t>The RSU performance threshold has a one-year performance period allowing for three years of vesting</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Arial" w:cs="Arial" w:eastAsia="Arial" w:hAnsi="Arial"/>
          <w:sz w:val="18"/>
          <w:szCs w:val="18"/>
          <w:color w:val="auto"/>
        </w:rPr>
        <w:t>Performance-based RSUs vest pro-rata over three years after an initial one-year performance period.</w:t>
      </w:r>
    </w:p>
    <w:p>
      <w:pPr>
        <w:spacing w:after="0" w:line="20" w:lineRule="exact"/>
        <w:rPr>
          <w:sz w:val="20"/>
          <w:szCs w:val="20"/>
          <w:color w:val="auto"/>
        </w:rPr>
      </w:pPr>
      <w:r>
        <w:rPr>
          <w:sz w:val="20"/>
          <w:szCs w:val="20"/>
          <w:color w:val="auto"/>
        </w:rPr>
        <w:br w:type="column"/>
      </w:r>
    </w:p>
    <w:p>
      <w:pPr>
        <w:ind w:right="100"/>
        <w:spacing w:after="0" w:line="242" w:lineRule="auto"/>
        <w:rPr>
          <w:sz w:val="20"/>
          <w:szCs w:val="20"/>
          <w:color w:val="auto"/>
        </w:rPr>
      </w:pPr>
      <w:r>
        <w:rPr>
          <w:rFonts w:ascii="Arial" w:cs="Arial" w:eastAsia="Arial" w:hAnsi="Arial"/>
          <w:sz w:val="18"/>
          <w:szCs w:val="18"/>
          <w:color w:val="auto"/>
        </w:rPr>
        <w:t>In 2024, for executive officers a majority of the LTI grant will consist of Performance Stock Units based 100% on financial measures with a 3-year Total Shareholder Return (TSR) modifier.</w:t>
      </w:r>
    </w:p>
    <w:p>
      <w:pPr>
        <w:spacing w:after="0" w:line="200" w:lineRule="exact"/>
        <w:rPr>
          <w:sz w:val="20"/>
          <w:szCs w:val="20"/>
          <w:color w:val="auto"/>
        </w:rPr>
      </w:pPr>
    </w:p>
    <w:p>
      <w:pPr>
        <w:sectPr>
          <w:pgSz w:w="11900" w:h="16838" w:orient="portrait"/>
          <w:cols w:equalWidth="0" w:num="3">
            <w:col w:w="1960" w:space="500"/>
            <w:col w:w="2860" w:space="720"/>
            <w:col w:w="3140"/>
          </w:cols>
          <w:pgMar w:left="1360" w:top="114" w:right="1359" w:bottom="1440" w:gutter="0" w:footer="0" w:header="0"/>
          <w:type w:val="continuous"/>
        </w:sectPr>
      </w:pPr>
    </w:p>
    <w:p>
      <w:pPr>
        <w:spacing w:after="0" w:line="168"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We consider the insights we receive from this feedback and the results of our annual advisory say-on-pay proposal to be a critical component to the Committee’s design and oversight of the Company’s executive compensation programs. We continually evaluate opportunities to enhance our compensation programs to attract top talent and provide further alignment with the interests of our stockholders.</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175260</wp:posOffset>
            </wp:positionV>
            <wp:extent cx="58293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Executive Compensation Program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Compensation Philosophy</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executive compensation program is designed to recognize and reward outstanding achievement and to attract, retain, and motivate our leaders. We structure our executive compensation program to link executive compensation to the performance of the Company as a whole. We believe executives with higher levels of responsibility and a greater ability to influence enterprise results should receive a greater percentage of their compensation in the form of performance-based compensation. Compensation for our NEOs varies from year to year, primarily based on the achievement of enterprise-wide objectives and individual performance. We emphasize enterprise-wide performance to break down internal barriers that can arise in organizations that emphasize individual business unit performance. We believe our compensation structure aligns individual pay with Company performance and shareholder value creation, while encouraging individuals to drive strategic outcomes for the Company alongside calculated risk-taking.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Below is an overview of key aspects of our pay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5829300" cy="36004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829300" cy="3600450"/>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34" w:lineRule="exact"/>
        <w:rPr>
          <w:sz w:val="20"/>
          <w:szCs w:val="20"/>
          <w:color w:val="auto"/>
        </w:rPr>
      </w:pPr>
    </w:p>
    <w:p>
      <w:pPr>
        <w:ind w:left="40" w:right="220"/>
        <w:spacing w:after="0" w:line="297" w:lineRule="auto"/>
        <w:rPr>
          <w:sz w:val="20"/>
          <w:szCs w:val="20"/>
          <w:color w:val="auto"/>
        </w:rPr>
      </w:pPr>
      <w:r>
        <w:rPr>
          <w:rFonts w:ascii="Arial" w:cs="Arial" w:eastAsia="Arial" w:hAnsi="Arial"/>
          <w:sz w:val="19"/>
          <w:szCs w:val="19"/>
          <w:b w:val="1"/>
          <w:bCs w:val="1"/>
          <w:color w:val="auto"/>
        </w:rPr>
        <w:t>Overall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Pay Mix</w:t>
      </w:r>
    </w:p>
    <w:p>
      <w:pPr>
        <w:spacing w:after="0" w:line="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line="297" w:lineRule="auto"/>
        <w:rPr>
          <w:sz w:val="20"/>
          <w:szCs w:val="20"/>
          <w:color w:val="auto"/>
        </w:rPr>
      </w:pPr>
      <w:r>
        <w:rPr>
          <w:rFonts w:ascii="Arial" w:cs="Arial" w:eastAsia="Arial" w:hAnsi="Arial"/>
          <w:sz w:val="19"/>
          <w:szCs w:val="19"/>
          <w:b w:val="1"/>
          <w:bCs w:val="1"/>
          <w:color w:val="auto"/>
        </w:rPr>
        <w:t>Pay for Performance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182" w:hanging="182"/>
        <w:spacing w:after="0"/>
        <w:tabs>
          <w:tab w:leader="none" w:pos="182" w:val="left"/>
        </w:tabs>
        <w:numPr>
          <w:ilvl w:val="0"/>
          <w:numId w:val="35"/>
        </w:numPr>
        <w:rPr>
          <w:rFonts w:ascii="Arial" w:cs="Arial" w:eastAsia="Arial" w:hAnsi="Arial"/>
          <w:sz w:val="16"/>
          <w:szCs w:val="16"/>
          <w:color w:val="0072AF"/>
        </w:rPr>
      </w:pPr>
      <w:r>
        <w:rPr>
          <w:rFonts w:ascii="Arial" w:cs="Arial" w:eastAsia="Arial" w:hAnsi="Arial"/>
          <w:sz w:val="18"/>
          <w:szCs w:val="18"/>
          <w:color w:val="auto"/>
        </w:rPr>
        <w:t>Compensation levels should be competitive so we can both attract and retain talent;</w:t>
      </w:r>
    </w:p>
    <w:p>
      <w:pPr>
        <w:spacing w:after="0" w:line="211" w:lineRule="exact"/>
        <w:rPr>
          <w:rFonts w:ascii="Arial" w:cs="Arial" w:eastAsia="Arial" w:hAnsi="Arial"/>
          <w:sz w:val="16"/>
          <w:szCs w:val="16"/>
          <w:color w:val="0072AF"/>
        </w:rPr>
      </w:pPr>
    </w:p>
    <w:p>
      <w:pPr>
        <w:ind w:left="182" w:hanging="182"/>
        <w:spacing w:after="0"/>
        <w:tabs>
          <w:tab w:leader="none" w:pos="182" w:val="left"/>
        </w:tabs>
        <w:numPr>
          <w:ilvl w:val="0"/>
          <w:numId w:val="35"/>
        </w:numPr>
        <w:rPr>
          <w:rFonts w:ascii="Arial" w:cs="Arial" w:eastAsia="Arial" w:hAnsi="Arial"/>
          <w:sz w:val="16"/>
          <w:szCs w:val="16"/>
          <w:color w:val="0072AF"/>
        </w:rPr>
      </w:pPr>
      <w:r>
        <w:rPr>
          <w:rFonts w:ascii="Arial" w:cs="Arial" w:eastAsia="Arial" w:hAnsi="Arial"/>
          <w:sz w:val="18"/>
          <w:szCs w:val="18"/>
          <w:color w:val="auto"/>
        </w:rPr>
        <w:t>Compensation should reflect leadership position and scope of responsibility;</w:t>
      </w:r>
    </w:p>
    <w:p>
      <w:pPr>
        <w:spacing w:after="0" w:line="157" w:lineRule="exact"/>
        <w:rPr>
          <w:rFonts w:ascii="Arial" w:cs="Arial" w:eastAsia="Arial" w:hAnsi="Arial"/>
          <w:sz w:val="16"/>
          <w:szCs w:val="16"/>
          <w:color w:val="0072AF"/>
        </w:rPr>
      </w:pPr>
    </w:p>
    <w:p>
      <w:pPr>
        <w:ind w:left="182" w:right="460" w:hanging="182"/>
        <w:spacing w:after="0" w:line="271" w:lineRule="auto"/>
        <w:tabs>
          <w:tab w:leader="none" w:pos="182" w:val="left"/>
        </w:tabs>
        <w:numPr>
          <w:ilvl w:val="0"/>
          <w:numId w:val="35"/>
        </w:numPr>
        <w:rPr>
          <w:rFonts w:ascii="Arial" w:cs="Arial" w:eastAsia="Arial" w:hAnsi="Arial"/>
          <w:sz w:val="16"/>
          <w:szCs w:val="16"/>
          <w:color w:val="0072AF"/>
        </w:rPr>
      </w:pPr>
      <w:r>
        <w:rPr>
          <w:rFonts w:ascii="Arial" w:cs="Arial" w:eastAsia="Arial" w:hAnsi="Arial"/>
          <w:sz w:val="18"/>
          <w:szCs w:val="18"/>
          <w:color w:val="auto"/>
        </w:rPr>
        <w:t>Executive compensation should be linked to the performance of the Company as a whole; and</w:t>
      </w:r>
    </w:p>
    <w:p>
      <w:pPr>
        <w:spacing w:after="0" w:line="99" w:lineRule="exact"/>
        <w:rPr>
          <w:rFonts w:ascii="Arial" w:cs="Arial" w:eastAsia="Arial" w:hAnsi="Arial"/>
          <w:sz w:val="16"/>
          <w:szCs w:val="16"/>
          <w:color w:val="0072AF"/>
        </w:rPr>
      </w:pPr>
    </w:p>
    <w:p>
      <w:pPr>
        <w:ind w:left="182" w:right="640" w:hanging="182"/>
        <w:spacing w:after="0" w:line="271" w:lineRule="auto"/>
        <w:tabs>
          <w:tab w:leader="none" w:pos="182" w:val="left"/>
        </w:tabs>
        <w:numPr>
          <w:ilvl w:val="0"/>
          <w:numId w:val="35"/>
        </w:numPr>
        <w:rPr>
          <w:rFonts w:ascii="Arial" w:cs="Arial" w:eastAsia="Arial" w:hAnsi="Arial"/>
          <w:sz w:val="16"/>
          <w:szCs w:val="16"/>
          <w:color w:val="0072AF"/>
        </w:rPr>
      </w:pPr>
      <w:r>
        <w:rPr>
          <w:rFonts w:ascii="Arial" w:cs="Arial" w:eastAsia="Arial" w:hAnsi="Arial"/>
          <w:sz w:val="18"/>
          <w:szCs w:val="18"/>
          <w:color w:val="auto"/>
        </w:rPr>
        <w:t>Compensation should motivate our executives to deliver our short and long-term business objectives and strategy.</w:t>
      </w:r>
    </w:p>
    <w:p>
      <w:pPr>
        <w:spacing w:after="0" w:line="180" w:lineRule="exact"/>
        <w:rPr>
          <w:rFonts w:ascii="Arial" w:cs="Arial" w:eastAsia="Arial" w:hAnsi="Arial"/>
          <w:sz w:val="16"/>
          <w:szCs w:val="16"/>
          <w:color w:val="0072AF"/>
        </w:rPr>
      </w:pPr>
    </w:p>
    <w:p>
      <w:pPr>
        <w:ind w:left="182" w:right="520" w:hanging="182"/>
        <w:spacing w:after="0" w:line="271" w:lineRule="auto"/>
        <w:tabs>
          <w:tab w:leader="none" w:pos="182" w:val="left"/>
        </w:tabs>
        <w:numPr>
          <w:ilvl w:val="0"/>
          <w:numId w:val="35"/>
        </w:numPr>
        <w:rPr>
          <w:rFonts w:ascii="Arial" w:cs="Arial" w:eastAsia="Arial" w:hAnsi="Arial"/>
          <w:sz w:val="16"/>
          <w:szCs w:val="16"/>
          <w:color w:val="0072AF"/>
        </w:rPr>
      </w:pPr>
      <w:r>
        <w:rPr>
          <w:rFonts w:ascii="Arial" w:cs="Arial" w:eastAsia="Arial" w:hAnsi="Arial"/>
          <w:sz w:val="18"/>
          <w:szCs w:val="18"/>
          <w:color w:val="auto"/>
        </w:rPr>
        <w:t>Compensation should be tied to short-term performance and creation of long-term stockholder value and return;</w:t>
      </w:r>
    </w:p>
    <w:p>
      <w:pPr>
        <w:spacing w:after="0" w:line="153" w:lineRule="exact"/>
        <w:rPr>
          <w:rFonts w:ascii="Arial" w:cs="Arial" w:eastAsia="Arial" w:hAnsi="Arial"/>
          <w:sz w:val="16"/>
          <w:szCs w:val="16"/>
          <w:color w:val="0072AF"/>
        </w:rPr>
      </w:pPr>
    </w:p>
    <w:p>
      <w:pPr>
        <w:ind w:left="182" w:right="200" w:hanging="182"/>
        <w:spacing w:after="0" w:line="253" w:lineRule="auto"/>
        <w:tabs>
          <w:tab w:leader="none" w:pos="182" w:val="left"/>
        </w:tabs>
        <w:numPr>
          <w:ilvl w:val="0"/>
          <w:numId w:val="35"/>
        </w:numPr>
        <w:rPr>
          <w:rFonts w:ascii="Arial" w:cs="Arial" w:eastAsia="Arial" w:hAnsi="Arial"/>
          <w:sz w:val="16"/>
          <w:szCs w:val="16"/>
          <w:color w:val="0072AF"/>
        </w:rPr>
      </w:pPr>
      <w:r>
        <w:rPr>
          <w:rFonts w:ascii="Arial" w:cs="Arial" w:eastAsia="Arial" w:hAnsi="Arial"/>
          <w:sz w:val="18"/>
          <w:szCs w:val="18"/>
          <w:color w:val="auto"/>
        </w:rPr>
        <w:t>Performance-based compensation should be a significant portion of total compensation for executives with higher levels of responsibility and a greater ability to influence enterprise results; and</w:t>
      </w:r>
    </w:p>
    <w:p>
      <w:pPr>
        <w:spacing w:after="0" w:line="114" w:lineRule="exact"/>
        <w:rPr>
          <w:rFonts w:ascii="Arial" w:cs="Arial" w:eastAsia="Arial" w:hAnsi="Arial"/>
          <w:sz w:val="16"/>
          <w:szCs w:val="16"/>
          <w:color w:val="0072AF"/>
        </w:rPr>
      </w:pPr>
    </w:p>
    <w:p>
      <w:pPr>
        <w:ind w:left="182" w:right="680" w:hanging="182"/>
        <w:spacing w:after="0" w:line="271" w:lineRule="auto"/>
        <w:tabs>
          <w:tab w:leader="none" w:pos="182" w:val="left"/>
        </w:tabs>
        <w:numPr>
          <w:ilvl w:val="0"/>
          <w:numId w:val="35"/>
        </w:numPr>
        <w:rPr>
          <w:rFonts w:ascii="Arial" w:cs="Arial" w:eastAsia="Arial" w:hAnsi="Arial"/>
          <w:sz w:val="16"/>
          <w:szCs w:val="16"/>
          <w:color w:val="0072AF"/>
        </w:rPr>
      </w:pPr>
      <w:r>
        <w:rPr>
          <w:rFonts w:ascii="Arial" w:cs="Arial" w:eastAsia="Arial" w:hAnsi="Arial"/>
          <w:sz w:val="18"/>
          <w:szCs w:val="18"/>
          <w:color w:val="auto"/>
        </w:rPr>
        <w:t>Executives should own meaningful amounts of Pitney Bowes stock to align their interests with stockholders</w:t>
      </w:r>
    </w:p>
    <w:p>
      <w:pPr>
        <w:spacing w:after="0" w:line="180" w:lineRule="exact"/>
        <w:rPr>
          <w:rFonts w:ascii="Arial" w:cs="Arial" w:eastAsia="Arial" w:hAnsi="Arial"/>
          <w:sz w:val="16"/>
          <w:szCs w:val="16"/>
          <w:color w:val="0072AF"/>
        </w:rPr>
      </w:pPr>
    </w:p>
    <w:p>
      <w:pPr>
        <w:ind w:left="182" w:hanging="182"/>
        <w:spacing w:after="0"/>
        <w:tabs>
          <w:tab w:leader="none" w:pos="182" w:val="left"/>
        </w:tabs>
        <w:numPr>
          <w:ilvl w:val="0"/>
          <w:numId w:val="35"/>
        </w:numPr>
        <w:rPr>
          <w:rFonts w:ascii="Arial" w:cs="Arial" w:eastAsia="Arial" w:hAnsi="Arial"/>
          <w:sz w:val="16"/>
          <w:szCs w:val="16"/>
          <w:color w:val="0072AF"/>
        </w:rPr>
      </w:pPr>
      <w:r>
        <w:rPr>
          <w:rFonts w:ascii="Arial" w:cs="Arial" w:eastAsia="Arial" w:hAnsi="Arial"/>
          <w:sz w:val="18"/>
          <w:szCs w:val="18"/>
          <w:color w:val="auto"/>
        </w:rPr>
        <w:t>Incentive compensation should reward both short-term and long-term performance;</w:t>
      </w:r>
    </w:p>
    <w:p>
      <w:pPr>
        <w:spacing w:after="0" w:line="157" w:lineRule="exact"/>
        <w:rPr>
          <w:rFonts w:ascii="Arial" w:cs="Arial" w:eastAsia="Arial" w:hAnsi="Arial"/>
          <w:sz w:val="16"/>
          <w:szCs w:val="16"/>
          <w:color w:val="0072AF"/>
        </w:rPr>
      </w:pPr>
    </w:p>
    <w:p>
      <w:pPr>
        <w:ind w:left="182" w:right="360" w:hanging="182"/>
        <w:spacing w:after="0" w:line="271" w:lineRule="auto"/>
        <w:tabs>
          <w:tab w:leader="none" w:pos="182" w:val="left"/>
        </w:tabs>
        <w:numPr>
          <w:ilvl w:val="0"/>
          <w:numId w:val="35"/>
        </w:numPr>
        <w:rPr>
          <w:rFonts w:ascii="Arial" w:cs="Arial" w:eastAsia="Arial" w:hAnsi="Arial"/>
          <w:sz w:val="16"/>
          <w:szCs w:val="16"/>
          <w:color w:val="0072AF"/>
        </w:rPr>
      </w:pPr>
      <w:r>
        <w:rPr>
          <w:rFonts w:ascii="Arial" w:cs="Arial" w:eastAsia="Arial" w:hAnsi="Arial"/>
          <w:sz w:val="18"/>
          <w:szCs w:val="18"/>
          <w:color w:val="auto"/>
        </w:rPr>
        <w:t>A significant portion of our compensation should be variable based on performance; and</w:t>
      </w:r>
    </w:p>
    <w:p>
      <w:pPr>
        <w:spacing w:after="0" w:line="99" w:lineRule="exact"/>
        <w:rPr>
          <w:rFonts w:ascii="Arial" w:cs="Arial" w:eastAsia="Arial" w:hAnsi="Arial"/>
          <w:sz w:val="16"/>
          <w:szCs w:val="16"/>
          <w:color w:val="0072AF"/>
        </w:rPr>
      </w:pPr>
    </w:p>
    <w:p>
      <w:pPr>
        <w:ind w:left="182" w:right="680" w:hanging="182"/>
        <w:spacing w:after="0" w:line="271" w:lineRule="auto"/>
        <w:tabs>
          <w:tab w:leader="none" w:pos="182" w:val="left"/>
        </w:tabs>
        <w:numPr>
          <w:ilvl w:val="0"/>
          <w:numId w:val="35"/>
        </w:numPr>
        <w:rPr>
          <w:rFonts w:ascii="Arial" w:cs="Arial" w:eastAsia="Arial" w:hAnsi="Arial"/>
          <w:sz w:val="16"/>
          <w:szCs w:val="16"/>
          <w:color w:val="0072AF"/>
        </w:rPr>
      </w:pPr>
      <w:r>
        <w:rPr>
          <w:rFonts w:ascii="Arial" w:cs="Arial" w:eastAsia="Arial" w:hAnsi="Arial"/>
          <w:sz w:val="18"/>
          <w:szCs w:val="18"/>
          <w:color w:val="auto"/>
        </w:rPr>
        <w:t>The annual and long-term incentive components should be linked to operational outcomes, financial results or stock price performance.</w:t>
      </w:r>
    </w:p>
    <w:p>
      <w:pPr>
        <w:spacing w:after="0" w:line="200" w:lineRule="exact"/>
        <w:rPr>
          <w:sz w:val="20"/>
          <w:szCs w:val="20"/>
          <w:color w:val="auto"/>
        </w:rPr>
      </w:pPr>
    </w:p>
    <w:p>
      <w:pPr>
        <w:sectPr>
          <w:pgSz w:w="11900" w:h="16838" w:orient="portrait"/>
          <w:cols w:equalWidth="0" w:num="2">
            <w:col w:w="1260" w:space="718"/>
            <w:col w:w="7202"/>
          </w:cols>
          <w:pgMar w:left="1360" w:top="114" w:right="1359" w:bottom="1440" w:gutter="0" w:footer="0" w:header="0"/>
          <w:type w:val="continuous"/>
        </w:sectPr>
      </w:pPr>
    </w:p>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127635</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59" w:name="page60"/>
    <w:bookmarkEnd w:id="59"/>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6"/>
          <w:szCs w:val="16"/>
          <w:color w:val="0072AF"/>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20955</wp:posOffset>
            </wp:positionV>
            <wp:extent cx="58293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072AF"/>
        </w:rPr>
        <w:t>Compensation Governance Best Practices</w:t>
      </w:r>
    </w:p>
    <w:p>
      <w:pPr>
        <w:spacing w:after="0" w:line="189" w:lineRule="exact"/>
        <w:rPr>
          <w:sz w:val="20"/>
          <w:szCs w:val="20"/>
          <w:color w:val="auto"/>
        </w:rPr>
      </w:pPr>
    </w:p>
    <w:p>
      <w:pPr>
        <w:jc w:val="both"/>
        <w:ind w:left="920" w:right="940"/>
        <w:spacing w:after="0" w:line="253" w:lineRule="auto"/>
        <w:rPr>
          <w:sz w:val="20"/>
          <w:szCs w:val="20"/>
          <w:color w:val="auto"/>
        </w:rPr>
      </w:pPr>
      <w:r>
        <w:rPr>
          <w:rFonts w:ascii="Arial" w:cs="Arial" w:eastAsia="Arial" w:hAnsi="Arial"/>
          <w:sz w:val="18"/>
          <w:szCs w:val="18"/>
          <w:color w:val="auto"/>
        </w:rPr>
        <w:t>We believe our executive compensation program demonstrates a strong link between pay and performance in its design and exhibits strong governance pay practices. The following lists the principal pay for performance and governance practices adopted by the Board of Pitney Bowes.</w:t>
      </w:r>
    </w:p>
    <w:p>
      <w:pPr>
        <w:sectPr>
          <w:pgSz w:w="11900" w:h="16838" w:orient="portrait"/>
          <w:cols w:equalWidth="0" w:num="1">
            <w:col w:w="11020"/>
          </w:cols>
          <w:pgMar w:left="440" w:top="114" w:right="439" w:bottom="1440" w:gutter="0" w:footer="0" w:header="0"/>
        </w:sectPr>
      </w:pPr>
    </w:p>
    <w:p>
      <w:pPr>
        <w:spacing w:after="0" w:line="115" w:lineRule="exact"/>
        <w:rPr>
          <w:sz w:val="20"/>
          <w:szCs w:val="20"/>
          <w:color w:val="auto"/>
        </w:rPr>
      </w:pPr>
    </w:p>
    <w:p>
      <w:pPr>
        <w:ind w:left="1500" w:right="260"/>
        <w:spacing w:after="0" w:line="271" w:lineRule="auto"/>
        <w:rPr>
          <w:sz w:val="20"/>
          <w:szCs w:val="20"/>
          <w:color w:val="auto"/>
        </w:rPr>
      </w:pPr>
      <w:r>
        <w:rPr>
          <w:rFonts w:ascii="Arial" w:cs="Arial" w:eastAsia="Arial" w:hAnsi="Arial"/>
          <w:sz w:val="18"/>
          <w:szCs w:val="18"/>
          <w:color w:val="auto"/>
        </w:rPr>
        <w:t>100% of annual incentive opportunity tied to pre-established quantitative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-284480</wp:posOffset>
            </wp:positionV>
            <wp:extent cx="240030" cy="2400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-284480</wp:posOffset>
            </wp:positionV>
            <wp:extent cx="214630" cy="2146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82" w:lineRule="exact"/>
        <w:rPr>
          <w:sz w:val="20"/>
          <w:szCs w:val="20"/>
          <w:color w:val="auto"/>
        </w:rPr>
      </w:pPr>
    </w:p>
    <w:p>
      <w:pPr>
        <w:ind w:left="1500" w:right="120"/>
        <w:spacing w:after="0" w:line="247" w:lineRule="auto"/>
        <w:rPr>
          <w:sz w:val="20"/>
          <w:szCs w:val="20"/>
          <w:color w:val="auto"/>
        </w:rPr>
      </w:pPr>
      <w:r>
        <w:rPr>
          <w:rFonts w:ascii="Arial" w:cs="Arial" w:eastAsia="Arial" w:hAnsi="Arial"/>
          <w:sz w:val="18"/>
          <w:szCs w:val="18"/>
          <w:color w:val="auto"/>
        </w:rPr>
        <w:t>100% of long-term incentive opportunity tied to pre-established financial metrics, growth in our share price, and relative Total Shareholder Return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-528320</wp:posOffset>
            </wp:positionV>
            <wp:extent cx="240030" cy="2400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-528320</wp:posOffset>
            </wp:positionV>
            <wp:extent cx="214630" cy="2146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right="1420"/>
        <w:spacing w:after="0" w:line="271" w:lineRule="auto"/>
        <w:rPr>
          <w:sz w:val="20"/>
          <w:szCs w:val="20"/>
          <w:color w:val="auto"/>
        </w:rPr>
      </w:pPr>
      <w:r>
        <w:rPr>
          <w:rFonts w:ascii="Arial" w:cs="Arial" w:eastAsia="Arial" w:hAnsi="Arial"/>
          <w:sz w:val="18"/>
          <w:szCs w:val="18"/>
          <w:color w:val="auto"/>
        </w:rPr>
        <w:t>No individual supplemental executive retirement plans</w:t>
      </w:r>
    </w:p>
    <w:p>
      <w:pPr>
        <w:spacing w:after="0" w:line="302" w:lineRule="exact"/>
        <w:rPr>
          <w:sz w:val="20"/>
          <w:szCs w:val="20"/>
          <w:color w:val="auto"/>
        </w:rPr>
      </w:pPr>
    </w:p>
    <w:p>
      <w:pPr>
        <w:ind w:right="1440"/>
        <w:spacing w:after="0" w:line="271" w:lineRule="auto"/>
        <w:rPr>
          <w:sz w:val="20"/>
          <w:szCs w:val="20"/>
          <w:color w:val="auto"/>
        </w:rPr>
      </w:pPr>
      <w:r>
        <w:rPr>
          <w:rFonts w:ascii="Arial" w:cs="Arial" w:eastAsia="Arial" w:hAnsi="Arial"/>
          <w:sz w:val="18"/>
          <w:szCs w:val="18"/>
          <w:color w:val="auto"/>
        </w:rPr>
        <w:t>No crediting extra years of service in our benefit plans, including our pension plans</w:t>
      </w:r>
    </w:p>
    <w:p>
      <w:pPr>
        <w:spacing w:after="0" w:line="584" w:lineRule="exact"/>
        <w:rPr>
          <w:sz w:val="20"/>
          <w:szCs w:val="20"/>
          <w:color w:val="auto"/>
        </w:rPr>
      </w:pPr>
    </w:p>
    <w:p>
      <w:pPr>
        <w:sectPr>
          <w:pgSz w:w="11900" w:h="16838" w:orient="portrait"/>
          <w:cols w:equalWidth="0" w:num="2">
            <w:col w:w="5060" w:space="720"/>
            <w:col w:w="5240"/>
          </w:cols>
          <w:pgMar w:left="440" w:top="114" w:right="439" w:bottom="1440" w:gutter="0" w:footer="0" w:header="0"/>
          <w:type w:val="continuous"/>
        </w:sectPr>
      </w:pP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ind w:left="1500"/>
              <w:spacing w:after="0"/>
              <w:rPr>
                <w:sz w:val="20"/>
                <w:szCs w:val="20"/>
                <w:color w:val="auto"/>
              </w:rPr>
            </w:pPr>
            <w:r>
              <w:rPr>
                <w:rFonts w:ascii="Arial" w:cs="Arial" w:eastAsia="Arial" w:hAnsi="Arial"/>
                <w:sz w:val="18"/>
                <w:szCs w:val="18"/>
                <w:color w:val="auto"/>
              </w:rPr>
              <w:t>Double trigger vesting in our Change of</w:t>
            </w:r>
          </w:p>
        </w:tc>
        <w:tc>
          <w:tcPr>
            <w:tcW w:w="5880" w:type="dxa"/>
            <w:vAlign w:val="bottom"/>
          </w:tcPr>
          <w:p>
            <w:pPr>
              <w:ind w:left="640"/>
              <w:spacing w:after="0"/>
              <w:rPr>
                <w:sz w:val="20"/>
                <w:szCs w:val="20"/>
                <w:color w:val="auto"/>
              </w:rPr>
            </w:pPr>
            <w:r>
              <w:rPr>
                <w:rFonts w:ascii="Arial" w:cs="Arial" w:eastAsia="Arial" w:hAnsi="Arial"/>
                <w:sz w:val="18"/>
                <w:szCs w:val="18"/>
                <w:color w:val="auto"/>
              </w:rPr>
              <w:t>No tax gross-up on Change of Control payments</w:t>
            </w:r>
          </w:p>
        </w:tc>
      </w:tr>
      <w:tr>
        <w:trPr>
          <w:trHeight w:val="239"/>
        </w:trPr>
        <w:tc>
          <w:tcPr>
            <w:tcW w:w="5140" w:type="dxa"/>
            <w:vAlign w:val="bottom"/>
          </w:tcPr>
          <w:p>
            <w:pPr>
              <w:ind w:left="1500"/>
              <w:spacing w:after="0"/>
              <w:rPr>
                <w:sz w:val="20"/>
                <w:szCs w:val="20"/>
                <w:color w:val="auto"/>
              </w:rPr>
            </w:pPr>
            <w:r>
              <w:rPr>
                <w:rFonts w:ascii="Arial" w:cs="Arial" w:eastAsia="Arial" w:hAnsi="Arial"/>
                <w:sz w:val="18"/>
                <w:szCs w:val="18"/>
                <w:color w:val="auto"/>
              </w:rPr>
              <w:t>Control provisions</w:t>
            </w:r>
          </w:p>
        </w:tc>
        <w:tc>
          <w:tcPr>
            <w:tcW w:w="5880" w:type="dxa"/>
            <w:vAlign w:val="bottom"/>
          </w:tcPr>
          <w:p>
            <w:pPr>
              <w:spacing w:after="0"/>
              <w:rPr>
                <w:sz w:val="20"/>
                <w:szCs w:val="20"/>
                <w:color w:val="auto"/>
              </w:rPr>
            </w:pPr>
          </w:p>
        </w:tc>
      </w:tr>
      <w:tr>
        <w:trPr>
          <w:trHeight w:val="531"/>
        </w:trPr>
        <w:tc>
          <w:tcPr>
            <w:tcW w:w="5140" w:type="dxa"/>
            <w:vAlign w:val="bottom"/>
          </w:tcPr>
          <w:p>
            <w:pPr>
              <w:ind w:left="1500"/>
              <w:spacing w:after="0"/>
              <w:rPr>
                <w:sz w:val="20"/>
                <w:szCs w:val="20"/>
                <w:color w:val="auto"/>
              </w:rPr>
            </w:pPr>
            <w:r>
              <w:rPr>
                <w:rFonts w:ascii="Arial" w:cs="Arial" w:eastAsia="Arial" w:hAnsi="Arial"/>
                <w:sz w:val="18"/>
                <w:szCs w:val="18"/>
                <w:color w:val="auto"/>
              </w:rPr>
              <w:t>Significant stock ownership requirements</w:t>
            </w:r>
          </w:p>
        </w:tc>
        <w:tc>
          <w:tcPr>
            <w:tcW w:w="5880" w:type="dxa"/>
            <w:vAlign w:val="bottom"/>
          </w:tcPr>
          <w:p>
            <w:pPr>
              <w:ind w:left="640"/>
              <w:spacing w:after="0"/>
              <w:rPr>
                <w:sz w:val="20"/>
                <w:szCs w:val="20"/>
                <w:color w:val="auto"/>
              </w:rPr>
            </w:pPr>
            <w:r>
              <w:rPr>
                <w:rFonts w:ascii="Arial" w:cs="Arial" w:eastAsia="Arial" w:hAnsi="Arial"/>
                <w:sz w:val="18"/>
                <w:szCs w:val="18"/>
                <w:color w:val="auto"/>
              </w:rPr>
              <w:t>No hedging, pledging, or short-term speculative</w:t>
            </w:r>
          </w:p>
        </w:tc>
      </w:tr>
      <w:tr>
        <w:trPr>
          <w:trHeight w:val="239"/>
        </w:trPr>
        <w:tc>
          <w:tcPr>
            <w:tcW w:w="5140" w:type="dxa"/>
            <w:vAlign w:val="bottom"/>
          </w:tcPr>
          <w:p>
            <w:pPr>
              <w:ind w:left="1500"/>
              <w:spacing w:after="0"/>
              <w:rPr>
                <w:sz w:val="20"/>
                <w:szCs w:val="20"/>
                <w:color w:val="auto"/>
              </w:rPr>
            </w:pPr>
            <w:r>
              <w:rPr>
                <w:rFonts w:ascii="Arial" w:cs="Arial" w:eastAsia="Arial" w:hAnsi="Arial"/>
                <w:sz w:val="18"/>
                <w:szCs w:val="18"/>
                <w:color w:val="auto"/>
              </w:rPr>
              <w:t>for senior executives and directors</w:t>
            </w:r>
          </w:p>
        </w:tc>
        <w:tc>
          <w:tcPr>
            <w:tcW w:w="5880" w:type="dxa"/>
            <w:vAlign w:val="bottom"/>
          </w:tcPr>
          <w:p>
            <w:pPr>
              <w:ind w:left="640"/>
              <w:spacing w:after="0"/>
              <w:rPr>
                <w:sz w:val="20"/>
                <w:szCs w:val="20"/>
                <w:color w:val="auto"/>
              </w:rPr>
            </w:pPr>
            <w:r>
              <w:rPr>
                <w:rFonts w:ascii="Arial" w:cs="Arial" w:eastAsia="Arial" w:hAnsi="Arial"/>
                <w:sz w:val="18"/>
                <w:szCs w:val="18"/>
                <w:color w:val="auto"/>
              </w:rPr>
              <w:t>trading of Company stock</w:t>
            </w:r>
          </w:p>
        </w:tc>
      </w:tr>
      <w:tr>
        <w:trPr>
          <w:trHeight w:val="531"/>
        </w:trPr>
        <w:tc>
          <w:tcPr>
            <w:tcW w:w="5140" w:type="dxa"/>
            <w:vAlign w:val="bottom"/>
          </w:tcPr>
          <w:p>
            <w:pPr>
              <w:ind w:left="1500"/>
              <w:spacing w:after="0"/>
              <w:rPr>
                <w:sz w:val="20"/>
                <w:szCs w:val="20"/>
                <w:color w:val="auto"/>
              </w:rPr>
            </w:pPr>
            <w:r>
              <w:rPr>
                <w:rFonts w:ascii="Arial" w:cs="Arial" w:eastAsia="Arial" w:hAnsi="Arial"/>
                <w:sz w:val="18"/>
                <w:szCs w:val="18"/>
                <w:color w:val="auto"/>
              </w:rPr>
              <w:t>Market comparison of executive</w:t>
            </w:r>
          </w:p>
        </w:tc>
        <w:tc>
          <w:tcPr>
            <w:tcW w:w="5880" w:type="dxa"/>
            <w:vAlign w:val="bottom"/>
          </w:tcPr>
          <w:p>
            <w:pPr>
              <w:ind w:left="640"/>
              <w:spacing w:after="0"/>
              <w:rPr>
                <w:sz w:val="20"/>
                <w:szCs w:val="20"/>
                <w:color w:val="auto"/>
              </w:rPr>
            </w:pPr>
            <w:r>
              <w:rPr>
                <w:rFonts w:ascii="Arial" w:cs="Arial" w:eastAsia="Arial" w:hAnsi="Arial"/>
                <w:sz w:val="18"/>
                <w:szCs w:val="18"/>
                <w:color w:val="auto"/>
              </w:rPr>
              <w:t>No employment agreements with our executive</w:t>
            </w:r>
          </w:p>
        </w:tc>
      </w:tr>
      <w:tr>
        <w:trPr>
          <w:trHeight w:val="203"/>
        </w:trPr>
        <w:tc>
          <w:tcPr>
            <w:tcW w:w="5140" w:type="dxa"/>
            <w:vAlign w:val="bottom"/>
          </w:tcPr>
          <w:p>
            <w:pPr>
              <w:ind w:left="1500"/>
              <w:spacing w:after="0" w:line="202" w:lineRule="exact"/>
              <w:rPr>
                <w:sz w:val="20"/>
                <w:szCs w:val="20"/>
                <w:color w:val="auto"/>
              </w:rPr>
            </w:pPr>
            <w:r>
              <w:rPr>
                <w:rFonts w:ascii="Arial" w:cs="Arial" w:eastAsia="Arial" w:hAnsi="Arial"/>
                <w:sz w:val="18"/>
                <w:szCs w:val="18"/>
                <w:color w:val="auto"/>
              </w:rPr>
              <w:t>compensation against a peer group and</w:t>
            </w:r>
          </w:p>
        </w:tc>
        <w:tc>
          <w:tcPr>
            <w:tcW w:w="5880" w:type="dxa"/>
            <w:vAlign w:val="bottom"/>
          </w:tcPr>
          <w:p>
            <w:pPr>
              <w:ind w:left="640"/>
              <w:spacing w:after="0" w:line="202" w:lineRule="exact"/>
              <w:rPr>
                <w:sz w:val="20"/>
                <w:szCs w:val="20"/>
                <w:color w:val="auto"/>
              </w:rPr>
            </w:pPr>
            <w:r>
              <w:rPr>
                <w:rFonts w:ascii="Arial" w:cs="Arial" w:eastAsia="Arial" w:hAnsi="Arial"/>
                <w:sz w:val="18"/>
                <w:szCs w:val="18"/>
                <w:color w:val="auto"/>
              </w:rPr>
              <w:t>officers</w:t>
            </w:r>
          </w:p>
        </w:tc>
      </w:tr>
      <w:tr>
        <w:trPr>
          <w:trHeight w:val="239"/>
        </w:trPr>
        <w:tc>
          <w:tcPr>
            <w:tcW w:w="5140" w:type="dxa"/>
            <w:vAlign w:val="bottom"/>
          </w:tcPr>
          <w:p>
            <w:pPr>
              <w:ind w:left="1500"/>
              <w:spacing w:after="0"/>
              <w:rPr>
                <w:sz w:val="20"/>
                <w:szCs w:val="20"/>
                <w:color w:val="auto"/>
              </w:rPr>
            </w:pPr>
            <w:r>
              <w:rPr>
                <w:rFonts w:ascii="Arial" w:cs="Arial" w:eastAsia="Arial" w:hAnsi="Arial"/>
                <w:sz w:val="18"/>
                <w:szCs w:val="18"/>
                <w:color w:val="auto"/>
              </w:rPr>
              <w:t>survey data</w:t>
            </w:r>
          </w:p>
        </w:tc>
        <w:tc>
          <w:tcPr>
            <w:tcW w:w="5880" w:type="dxa"/>
            <w:vAlign w:val="bottom"/>
          </w:tcPr>
          <w:p>
            <w:pPr>
              <w:spacing w:after="0"/>
              <w:rPr>
                <w:sz w:val="20"/>
                <w:szCs w:val="20"/>
                <w:color w:val="auto"/>
              </w:rPr>
            </w:pPr>
          </w:p>
        </w:tc>
      </w:tr>
      <w:tr>
        <w:trPr>
          <w:trHeight w:val="531"/>
        </w:trPr>
        <w:tc>
          <w:tcPr>
            <w:tcW w:w="5140" w:type="dxa"/>
            <w:vAlign w:val="bottom"/>
          </w:tcPr>
          <w:p>
            <w:pPr>
              <w:ind w:left="1500"/>
              <w:spacing w:after="0"/>
              <w:rPr>
                <w:sz w:val="20"/>
                <w:szCs w:val="20"/>
                <w:color w:val="auto"/>
              </w:rPr>
            </w:pPr>
            <w:r>
              <w:rPr>
                <w:rFonts w:ascii="Arial" w:cs="Arial" w:eastAsia="Arial" w:hAnsi="Arial"/>
                <w:sz w:val="18"/>
                <w:szCs w:val="18"/>
                <w:color w:val="auto"/>
              </w:rPr>
              <w:t>Independent compensation consultant</w:t>
            </w:r>
          </w:p>
        </w:tc>
        <w:tc>
          <w:tcPr>
            <w:tcW w:w="5880" w:type="dxa"/>
            <w:vAlign w:val="bottom"/>
          </w:tcPr>
          <w:p>
            <w:pPr>
              <w:ind w:left="640"/>
              <w:spacing w:after="0"/>
              <w:rPr>
                <w:sz w:val="20"/>
                <w:szCs w:val="20"/>
                <w:color w:val="auto"/>
              </w:rPr>
            </w:pPr>
            <w:r>
              <w:rPr>
                <w:rFonts w:ascii="Arial" w:cs="Arial" w:eastAsia="Arial" w:hAnsi="Arial"/>
                <w:sz w:val="18"/>
                <w:szCs w:val="18"/>
                <w:color w:val="auto"/>
              </w:rPr>
              <w:t>No stock option repricing, reloads, or exchanges</w:t>
            </w:r>
          </w:p>
        </w:tc>
      </w:tr>
      <w:tr>
        <w:trPr>
          <w:trHeight w:val="203"/>
        </w:trPr>
        <w:tc>
          <w:tcPr>
            <w:tcW w:w="5140" w:type="dxa"/>
            <w:vAlign w:val="bottom"/>
          </w:tcPr>
          <w:p>
            <w:pPr>
              <w:ind w:left="1500"/>
              <w:spacing w:after="0" w:line="202" w:lineRule="exact"/>
              <w:rPr>
                <w:sz w:val="20"/>
                <w:szCs w:val="20"/>
                <w:color w:val="auto"/>
              </w:rPr>
            </w:pPr>
            <w:r>
              <w:rPr>
                <w:rFonts w:ascii="Arial" w:cs="Arial" w:eastAsia="Arial" w:hAnsi="Arial"/>
                <w:sz w:val="18"/>
                <w:szCs w:val="18"/>
                <w:color w:val="auto"/>
              </w:rPr>
              <w:t>performing no other services for the</w:t>
            </w:r>
          </w:p>
        </w:tc>
        <w:tc>
          <w:tcPr>
            <w:tcW w:w="5880" w:type="dxa"/>
            <w:vAlign w:val="bottom"/>
          </w:tcPr>
          <w:p>
            <w:pPr>
              <w:spacing w:after="0"/>
              <w:rPr>
                <w:sz w:val="17"/>
                <w:szCs w:val="17"/>
                <w:color w:val="auto"/>
              </w:rPr>
            </w:pPr>
          </w:p>
        </w:tc>
      </w:tr>
      <w:tr>
        <w:trPr>
          <w:trHeight w:val="239"/>
        </w:trPr>
        <w:tc>
          <w:tcPr>
            <w:tcW w:w="5140" w:type="dxa"/>
            <w:vAlign w:val="bottom"/>
          </w:tcPr>
          <w:p>
            <w:pPr>
              <w:ind w:left="1500"/>
              <w:spacing w:after="0"/>
              <w:rPr>
                <w:sz w:val="20"/>
                <w:szCs w:val="20"/>
                <w:color w:val="auto"/>
              </w:rPr>
            </w:pPr>
            <w:r>
              <w:rPr>
                <w:rFonts w:ascii="Arial" w:cs="Arial" w:eastAsia="Arial" w:hAnsi="Arial"/>
                <w:sz w:val="18"/>
                <w:szCs w:val="18"/>
                <w:color w:val="auto"/>
              </w:rPr>
              <w:t>Company</w:t>
            </w:r>
          </w:p>
        </w:tc>
        <w:tc>
          <w:tcPr>
            <w:tcW w:w="5880" w:type="dxa"/>
            <w:vAlign w:val="bottom"/>
          </w:tcPr>
          <w:p>
            <w:pPr>
              <w:spacing w:after="0"/>
              <w:rPr>
                <w:sz w:val="20"/>
                <w:szCs w:val="20"/>
                <w:color w:val="auto"/>
              </w:rPr>
            </w:pPr>
          </w:p>
        </w:tc>
      </w:tr>
      <w:tr>
        <w:trPr>
          <w:trHeight w:val="531"/>
        </w:trPr>
        <w:tc>
          <w:tcPr>
            <w:tcW w:w="5140" w:type="dxa"/>
            <w:vAlign w:val="bottom"/>
          </w:tcPr>
          <w:p>
            <w:pPr>
              <w:ind w:left="1500"/>
              <w:spacing w:after="0"/>
              <w:rPr>
                <w:sz w:val="20"/>
                <w:szCs w:val="20"/>
                <w:color w:val="auto"/>
              </w:rPr>
            </w:pPr>
            <w:r>
              <w:rPr>
                <w:rFonts w:ascii="Arial" w:cs="Arial" w:eastAsia="Arial" w:hAnsi="Arial"/>
                <w:sz w:val="18"/>
                <w:szCs w:val="18"/>
                <w:color w:val="auto"/>
              </w:rPr>
              <w:t>Clawback provisions that permit the</w:t>
            </w:r>
          </w:p>
        </w:tc>
        <w:tc>
          <w:tcPr>
            <w:tcW w:w="5880" w:type="dxa"/>
            <w:vAlign w:val="bottom"/>
          </w:tcPr>
          <w:p>
            <w:pPr>
              <w:ind w:left="640"/>
              <w:spacing w:after="0"/>
              <w:rPr>
                <w:sz w:val="20"/>
                <w:szCs w:val="20"/>
                <w:color w:val="auto"/>
              </w:rPr>
            </w:pPr>
            <w:r>
              <w:rPr>
                <w:rFonts w:ascii="Arial" w:cs="Arial" w:eastAsia="Arial" w:hAnsi="Arial"/>
                <w:sz w:val="18"/>
                <w:szCs w:val="18"/>
                <w:color w:val="auto"/>
              </w:rPr>
              <w:t>No transferability of restricted securities</w:t>
            </w:r>
          </w:p>
        </w:tc>
      </w:tr>
      <w:tr>
        <w:trPr>
          <w:trHeight w:val="203"/>
        </w:trPr>
        <w:tc>
          <w:tcPr>
            <w:tcW w:w="5140" w:type="dxa"/>
            <w:vAlign w:val="bottom"/>
          </w:tcPr>
          <w:p>
            <w:pPr>
              <w:ind w:left="1500"/>
              <w:spacing w:after="0" w:line="202" w:lineRule="exact"/>
              <w:rPr>
                <w:sz w:val="20"/>
                <w:szCs w:val="20"/>
                <w:color w:val="auto"/>
              </w:rPr>
            </w:pPr>
            <w:r>
              <w:rPr>
                <w:rFonts w:ascii="Arial" w:cs="Arial" w:eastAsia="Arial" w:hAnsi="Arial"/>
                <w:sz w:val="18"/>
                <w:szCs w:val="18"/>
                <w:color w:val="auto"/>
              </w:rPr>
              <w:t>Company to recover incentive-based</w:t>
            </w:r>
          </w:p>
        </w:tc>
        <w:tc>
          <w:tcPr>
            <w:tcW w:w="5880" w:type="dxa"/>
            <w:vAlign w:val="bottom"/>
          </w:tcPr>
          <w:p>
            <w:pPr>
              <w:spacing w:after="0"/>
              <w:rPr>
                <w:sz w:val="17"/>
                <w:szCs w:val="17"/>
                <w:color w:val="auto"/>
              </w:rPr>
            </w:pPr>
          </w:p>
        </w:tc>
      </w:tr>
      <w:tr>
        <w:trPr>
          <w:trHeight w:val="203"/>
        </w:trPr>
        <w:tc>
          <w:tcPr>
            <w:tcW w:w="5140" w:type="dxa"/>
            <w:vAlign w:val="bottom"/>
          </w:tcPr>
          <w:p>
            <w:pPr>
              <w:ind w:left="1500"/>
              <w:spacing w:after="0" w:line="202" w:lineRule="exact"/>
              <w:rPr>
                <w:sz w:val="20"/>
                <w:szCs w:val="20"/>
                <w:color w:val="auto"/>
              </w:rPr>
            </w:pPr>
            <w:r>
              <w:rPr>
                <w:rFonts w:ascii="Arial" w:cs="Arial" w:eastAsia="Arial" w:hAnsi="Arial"/>
                <w:sz w:val="18"/>
                <w:szCs w:val="18"/>
                <w:color w:val="auto"/>
              </w:rPr>
              <w:t>compensation from senior executives for</w:t>
            </w:r>
          </w:p>
        </w:tc>
        <w:tc>
          <w:tcPr>
            <w:tcW w:w="5880" w:type="dxa"/>
            <w:vAlign w:val="bottom"/>
          </w:tcPr>
          <w:p>
            <w:pPr>
              <w:spacing w:after="0"/>
              <w:rPr>
                <w:sz w:val="17"/>
                <w:szCs w:val="17"/>
                <w:color w:val="auto"/>
              </w:rPr>
            </w:pPr>
          </w:p>
        </w:tc>
      </w:tr>
      <w:tr>
        <w:trPr>
          <w:trHeight w:val="203"/>
        </w:trPr>
        <w:tc>
          <w:tcPr>
            <w:tcW w:w="5140" w:type="dxa"/>
            <w:vAlign w:val="bottom"/>
          </w:tcPr>
          <w:p>
            <w:pPr>
              <w:ind w:left="1500"/>
              <w:spacing w:after="0" w:line="202" w:lineRule="exact"/>
              <w:rPr>
                <w:sz w:val="20"/>
                <w:szCs w:val="20"/>
                <w:color w:val="auto"/>
              </w:rPr>
            </w:pPr>
            <w:r>
              <w:rPr>
                <w:rFonts w:ascii="Arial" w:cs="Arial" w:eastAsia="Arial" w:hAnsi="Arial"/>
                <w:sz w:val="18"/>
                <w:szCs w:val="18"/>
                <w:color w:val="auto"/>
              </w:rPr>
              <w:t>gross misconduct and require recovery in</w:t>
            </w:r>
          </w:p>
        </w:tc>
        <w:tc>
          <w:tcPr>
            <w:tcW w:w="5880" w:type="dxa"/>
            <w:vAlign w:val="bottom"/>
          </w:tcPr>
          <w:p>
            <w:pPr>
              <w:spacing w:after="0"/>
              <w:rPr>
                <w:sz w:val="17"/>
                <w:szCs w:val="17"/>
                <w:color w:val="auto"/>
              </w:rPr>
            </w:pPr>
          </w:p>
        </w:tc>
      </w:tr>
      <w:tr>
        <w:trPr>
          <w:trHeight w:val="203"/>
        </w:trPr>
        <w:tc>
          <w:tcPr>
            <w:tcW w:w="5140" w:type="dxa"/>
            <w:vAlign w:val="bottom"/>
          </w:tcPr>
          <w:p>
            <w:pPr>
              <w:ind w:left="1500"/>
              <w:spacing w:after="0" w:line="202" w:lineRule="exact"/>
              <w:rPr>
                <w:sz w:val="20"/>
                <w:szCs w:val="20"/>
                <w:color w:val="auto"/>
              </w:rPr>
            </w:pPr>
            <w:r>
              <w:rPr>
                <w:rFonts w:ascii="Arial" w:cs="Arial" w:eastAsia="Arial" w:hAnsi="Arial"/>
                <w:sz w:val="18"/>
                <w:szCs w:val="18"/>
                <w:color w:val="auto"/>
              </w:rPr>
              <w:t>the event of a financial restatement</w:t>
            </w:r>
          </w:p>
        </w:tc>
        <w:tc>
          <w:tcPr>
            <w:tcW w:w="5880" w:type="dxa"/>
            <w:vAlign w:val="bottom"/>
          </w:tcPr>
          <w:p>
            <w:pPr>
              <w:spacing w:after="0"/>
              <w:rPr>
                <w:sz w:val="17"/>
                <w:szCs w:val="17"/>
                <w:color w:val="auto"/>
              </w:rPr>
            </w:pPr>
          </w:p>
        </w:tc>
      </w:tr>
      <w:tr>
        <w:trPr>
          <w:trHeight w:val="239"/>
        </w:trPr>
        <w:tc>
          <w:tcPr>
            <w:tcW w:w="5140" w:type="dxa"/>
            <w:vAlign w:val="bottom"/>
          </w:tcPr>
          <w:p>
            <w:pPr>
              <w:ind w:left="1500"/>
              <w:spacing w:after="0"/>
              <w:rPr>
                <w:sz w:val="20"/>
                <w:szCs w:val="20"/>
                <w:color w:val="auto"/>
              </w:rPr>
            </w:pPr>
            <w:r>
              <w:rPr>
                <w:rFonts w:ascii="Arial" w:cs="Arial" w:eastAsia="Arial" w:hAnsi="Arial"/>
                <w:sz w:val="18"/>
                <w:szCs w:val="18"/>
                <w:color w:val="auto"/>
              </w:rPr>
              <w:t>consistent with SEC requirements</w:t>
            </w:r>
          </w:p>
        </w:tc>
        <w:tc>
          <w:tcPr>
            <w:tcW w:w="5880" w:type="dxa"/>
            <w:vAlign w:val="bottom"/>
          </w:tcPr>
          <w:p>
            <w:pPr>
              <w:spacing w:after="0"/>
              <w:rPr>
                <w:sz w:val="20"/>
                <w:szCs w:val="20"/>
                <w:color w:val="auto"/>
              </w:rPr>
            </w:pPr>
          </w:p>
        </w:tc>
      </w:tr>
      <w:tr>
        <w:trPr>
          <w:trHeight w:val="531"/>
        </w:trPr>
        <w:tc>
          <w:tcPr>
            <w:tcW w:w="5140" w:type="dxa"/>
            <w:vAlign w:val="bottom"/>
          </w:tcPr>
          <w:p>
            <w:pPr>
              <w:ind w:left="1500"/>
              <w:spacing w:after="0"/>
              <w:rPr>
                <w:sz w:val="20"/>
                <w:szCs w:val="20"/>
                <w:color w:val="auto"/>
              </w:rPr>
            </w:pPr>
            <w:r>
              <w:rPr>
                <w:rFonts w:ascii="Arial" w:cs="Arial" w:eastAsia="Arial" w:hAnsi="Arial"/>
                <w:sz w:val="18"/>
                <w:szCs w:val="18"/>
                <w:color w:val="auto"/>
              </w:rPr>
              <w:t>Annual stockholder advisory vote on</w:t>
            </w:r>
          </w:p>
        </w:tc>
        <w:tc>
          <w:tcPr>
            <w:tcW w:w="5880" w:type="dxa"/>
            <w:vAlign w:val="bottom"/>
          </w:tcPr>
          <w:p>
            <w:pPr>
              <w:ind w:left="640"/>
              <w:spacing w:after="0"/>
              <w:rPr>
                <w:sz w:val="20"/>
                <w:szCs w:val="20"/>
                <w:color w:val="auto"/>
              </w:rPr>
            </w:pPr>
            <w:r>
              <w:rPr>
                <w:rFonts w:ascii="Arial" w:cs="Arial" w:eastAsia="Arial" w:hAnsi="Arial"/>
                <w:sz w:val="18"/>
                <w:szCs w:val="18"/>
                <w:color w:val="auto"/>
              </w:rPr>
              <w:t>No dividends on unvested stock awards</w:t>
            </w:r>
          </w:p>
        </w:tc>
      </w:tr>
      <w:tr>
        <w:trPr>
          <w:trHeight w:val="239"/>
        </w:trPr>
        <w:tc>
          <w:tcPr>
            <w:tcW w:w="5140" w:type="dxa"/>
            <w:vAlign w:val="bottom"/>
          </w:tcPr>
          <w:p>
            <w:pPr>
              <w:ind w:left="1500"/>
              <w:spacing w:after="0"/>
              <w:rPr>
                <w:sz w:val="20"/>
                <w:szCs w:val="20"/>
                <w:color w:val="auto"/>
              </w:rPr>
            </w:pPr>
            <w:r>
              <w:rPr>
                <w:rFonts w:ascii="Arial" w:cs="Arial" w:eastAsia="Arial" w:hAnsi="Arial"/>
                <w:sz w:val="18"/>
                <w:szCs w:val="18"/>
                <w:color w:val="auto"/>
              </w:rPr>
              <w:t>executive compensation</w:t>
            </w:r>
          </w:p>
        </w:tc>
        <w:tc>
          <w:tcPr>
            <w:tcW w:w="5880" w:type="dxa"/>
            <w:vAlign w:val="bottom"/>
          </w:tcPr>
          <w:p>
            <w:pPr>
              <w:spacing w:after="0"/>
              <w:rPr>
                <w:sz w:val="20"/>
                <w:szCs w:val="20"/>
                <w:color w:val="auto"/>
              </w:rPr>
            </w:pPr>
          </w:p>
        </w:tc>
      </w:tr>
      <w:tr>
        <w:trPr>
          <w:trHeight w:val="531"/>
        </w:trPr>
        <w:tc>
          <w:tcPr>
            <w:tcW w:w="5140" w:type="dxa"/>
            <w:vAlign w:val="bottom"/>
          </w:tcPr>
          <w:p>
            <w:pPr>
              <w:ind w:left="1500"/>
              <w:spacing w:after="0"/>
              <w:rPr>
                <w:sz w:val="20"/>
                <w:szCs w:val="20"/>
                <w:color w:val="auto"/>
              </w:rPr>
            </w:pPr>
            <w:r>
              <w:rPr>
                <w:rFonts w:ascii="Arial" w:cs="Arial" w:eastAsia="Arial" w:hAnsi="Arial"/>
                <w:sz w:val="18"/>
                <w:szCs w:val="18"/>
                <w:color w:val="auto"/>
              </w:rPr>
              <w:t>Semi-annual stockholder outreach with an</w:t>
            </w:r>
          </w:p>
        </w:tc>
        <w:tc>
          <w:tcPr>
            <w:tcW w:w="5880" w:type="dxa"/>
            <w:vAlign w:val="bottom"/>
          </w:tcPr>
          <w:p>
            <w:pPr>
              <w:ind w:left="640"/>
              <w:spacing w:after="0"/>
              <w:rPr>
                <w:sz w:val="20"/>
                <w:szCs w:val="20"/>
                <w:color w:val="auto"/>
              </w:rPr>
            </w:pPr>
            <w:r>
              <w:rPr>
                <w:rFonts w:ascii="Arial" w:cs="Arial" w:eastAsia="Arial" w:hAnsi="Arial"/>
                <w:sz w:val="18"/>
                <w:szCs w:val="18"/>
                <w:color w:val="auto"/>
              </w:rPr>
              <w:t>No material executive perquisites</w:t>
            </w:r>
          </w:p>
        </w:tc>
      </w:tr>
      <w:tr>
        <w:trPr>
          <w:trHeight w:val="203"/>
        </w:trPr>
        <w:tc>
          <w:tcPr>
            <w:tcW w:w="5140" w:type="dxa"/>
            <w:vAlign w:val="bottom"/>
          </w:tcPr>
          <w:p>
            <w:pPr>
              <w:ind w:left="1500"/>
              <w:spacing w:after="0" w:line="202" w:lineRule="exact"/>
              <w:rPr>
                <w:sz w:val="20"/>
                <w:szCs w:val="20"/>
                <w:color w:val="auto"/>
              </w:rPr>
            </w:pPr>
            <w:r>
              <w:rPr>
                <w:rFonts w:ascii="Arial" w:cs="Arial" w:eastAsia="Arial" w:hAnsi="Arial"/>
                <w:sz w:val="18"/>
                <w:szCs w:val="18"/>
                <w:color w:val="auto"/>
              </w:rPr>
              <w:t>available line of direct communication with</w:t>
            </w:r>
          </w:p>
        </w:tc>
        <w:tc>
          <w:tcPr>
            <w:tcW w:w="5880" w:type="dxa"/>
            <w:vAlign w:val="bottom"/>
          </w:tcPr>
          <w:p>
            <w:pPr>
              <w:spacing w:after="0"/>
              <w:rPr>
                <w:sz w:val="17"/>
                <w:szCs w:val="17"/>
                <w:color w:val="auto"/>
              </w:rPr>
            </w:pPr>
          </w:p>
        </w:tc>
      </w:tr>
      <w:tr>
        <w:trPr>
          <w:trHeight w:val="239"/>
        </w:trPr>
        <w:tc>
          <w:tcPr>
            <w:tcW w:w="5140" w:type="dxa"/>
            <w:vAlign w:val="bottom"/>
          </w:tcPr>
          <w:p>
            <w:pPr>
              <w:ind w:left="1500"/>
              <w:spacing w:after="0"/>
              <w:rPr>
                <w:sz w:val="20"/>
                <w:szCs w:val="20"/>
                <w:color w:val="auto"/>
              </w:rPr>
            </w:pPr>
            <w:r>
              <w:rPr>
                <w:rFonts w:ascii="Arial" w:cs="Arial" w:eastAsia="Arial" w:hAnsi="Arial"/>
                <w:sz w:val="18"/>
                <w:szCs w:val="18"/>
                <w:color w:val="auto"/>
              </w:rPr>
              <w:t>the Board</w:t>
            </w:r>
          </w:p>
        </w:tc>
        <w:tc>
          <w:tcPr>
            <w:tcW w:w="5880" w:type="dxa"/>
            <w:vAlign w:val="bottom"/>
          </w:tcPr>
          <w:p>
            <w:pPr>
              <w:spacing w:after="0"/>
              <w:rPr>
                <w:sz w:val="20"/>
                <w:szCs w:val="20"/>
                <w:color w:val="auto"/>
              </w:rPr>
            </w:pPr>
          </w:p>
        </w:tc>
      </w:tr>
      <w:tr>
        <w:trPr>
          <w:trHeight w:val="531"/>
        </w:trPr>
        <w:tc>
          <w:tcPr>
            <w:tcW w:w="5140" w:type="dxa"/>
            <w:vAlign w:val="bottom"/>
          </w:tcPr>
          <w:p>
            <w:pPr>
              <w:ind w:left="1500"/>
              <w:spacing w:after="0"/>
              <w:rPr>
                <w:sz w:val="20"/>
                <w:szCs w:val="20"/>
                <w:color w:val="auto"/>
              </w:rPr>
            </w:pPr>
            <w:r>
              <w:rPr>
                <w:rFonts w:ascii="Arial" w:cs="Arial" w:eastAsia="Arial" w:hAnsi="Arial"/>
                <w:sz w:val="18"/>
                <w:szCs w:val="18"/>
                <w:color w:val="auto"/>
              </w:rPr>
              <w:t>One-year minimum vesting period for all</w:t>
            </w:r>
          </w:p>
        </w:tc>
        <w:tc>
          <w:tcPr>
            <w:tcW w:w="5880" w:type="dxa"/>
            <w:vAlign w:val="bottom"/>
          </w:tcPr>
          <w:p>
            <w:pPr>
              <w:spacing w:after="0"/>
              <w:rPr>
                <w:sz w:val="24"/>
                <w:szCs w:val="24"/>
                <w:color w:val="auto"/>
              </w:rPr>
            </w:pPr>
          </w:p>
        </w:tc>
      </w:tr>
      <w:tr>
        <w:trPr>
          <w:trHeight w:val="203"/>
        </w:trPr>
        <w:tc>
          <w:tcPr>
            <w:tcW w:w="5140" w:type="dxa"/>
            <w:vAlign w:val="bottom"/>
          </w:tcPr>
          <w:p>
            <w:pPr>
              <w:ind w:left="1500"/>
              <w:spacing w:after="0" w:line="202" w:lineRule="exact"/>
              <w:rPr>
                <w:sz w:val="20"/>
                <w:szCs w:val="20"/>
                <w:color w:val="auto"/>
              </w:rPr>
            </w:pPr>
            <w:r>
              <w:rPr>
                <w:rFonts w:ascii="Arial" w:cs="Arial" w:eastAsia="Arial" w:hAnsi="Arial"/>
                <w:sz w:val="18"/>
                <w:szCs w:val="18"/>
                <w:color w:val="auto"/>
              </w:rPr>
              <w:t>long-term incentive compensation awards,</w:t>
            </w:r>
          </w:p>
        </w:tc>
        <w:tc>
          <w:tcPr>
            <w:tcW w:w="5880" w:type="dxa"/>
            <w:vAlign w:val="bottom"/>
          </w:tcPr>
          <w:p>
            <w:pPr>
              <w:spacing w:after="0"/>
              <w:rPr>
                <w:sz w:val="17"/>
                <w:szCs w:val="17"/>
                <w:color w:val="auto"/>
              </w:rPr>
            </w:pPr>
          </w:p>
        </w:tc>
      </w:tr>
      <w:tr>
        <w:trPr>
          <w:trHeight w:val="203"/>
        </w:trPr>
        <w:tc>
          <w:tcPr>
            <w:tcW w:w="5140" w:type="dxa"/>
            <w:vAlign w:val="bottom"/>
          </w:tcPr>
          <w:p>
            <w:pPr>
              <w:ind w:left="1500"/>
              <w:spacing w:after="0" w:line="202" w:lineRule="exact"/>
              <w:rPr>
                <w:sz w:val="20"/>
                <w:szCs w:val="20"/>
                <w:color w:val="auto"/>
              </w:rPr>
            </w:pPr>
            <w:r>
              <w:rPr>
                <w:rFonts w:ascii="Arial" w:cs="Arial" w:eastAsia="Arial" w:hAnsi="Arial"/>
                <w:sz w:val="18"/>
                <w:szCs w:val="18"/>
                <w:color w:val="auto"/>
              </w:rPr>
              <w:t>with accelerated vesting for certain</w:t>
            </w:r>
          </w:p>
        </w:tc>
        <w:tc>
          <w:tcPr>
            <w:tcW w:w="5880" w:type="dxa"/>
            <w:vAlign w:val="bottom"/>
          </w:tcPr>
          <w:p>
            <w:pPr>
              <w:spacing w:after="0"/>
              <w:rPr>
                <w:sz w:val="17"/>
                <w:szCs w:val="17"/>
                <w:color w:val="auto"/>
              </w:rPr>
            </w:pPr>
          </w:p>
        </w:tc>
      </w:tr>
      <w:tr>
        <w:trPr>
          <w:trHeight w:val="239"/>
        </w:trPr>
        <w:tc>
          <w:tcPr>
            <w:tcW w:w="5140" w:type="dxa"/>
            <w:vAlign w:val="bottom"/>
          </w:tcPr>
          <w:p>
            <w:pPr>
              <w:ind w:left="1500"/>
              <w:spacing w:after="0"/>
              <w:rPr>
                <w:sz w:val="20"/>
                <w:szCs w:val="20"/>
                <w:color w:val="auto"/>
              </w:rPr>
            </w:pPr>
            <w:r>
              <w:rPr>
                <w:rFonts w:ascii="Arial" w:cs="Arial" w:eastAsia="Arial" w:hAnsi="Arial"/>
                <w:sz w:val="18"/>
                <w:szCs w:val="18"/>
                <w:color w:val="auto"/>
              </w:rPr>
              <w:t>qualifying termination events.</w:t>
            </w:r>
          </w:p>
        </w:tc>
        <w:tc>
          <w:tcPr>
            <w:tcW w:w="5880" w:type="dxa"/>
            <w:vAlign w:val="bottom"/>
          </w:tcPr>
          <w:p>
            <w:pPr>
              <w:spacing w:after="0"/>
              <w:rPr>
                <w:sz w:val="20"/>
                <w:szCs w:val="20"/>
                <w:color w:val="auto"/>
              </w:rPr>
            </w:pPr>
          </w:p>
        </w:tc>
      </w:tr>
      <w:tr>
        <w:trPr>
          <w:trHeight w:val="531"/>
        </w:trPr>
        <w:tc>
          <w:tcPr>
            <w:tcW w:w="5140" w:type="dxa"/>
            <w:vAlign w:val="bottom"/>
          </w:tcPr>
          <w:p>
            <w:pPr>
              <w:ind w:left="1500"/>
              <w:spacing w:after="0"/>
              <w:rPr>
                <w:sz w:val="20"/>
                <w:szCs w:val="20"/>
                <w:color w:val="auto"/>
              </w:rPr>
            </w:pPr>
            <w:r>
              <w:rPr>
                <w:rFonts w:ascii="Arial" w:cs="Arial" w:eastAsia="Arial" w:hAnsi="Arial"/>
                <w:sz w:val="18"/>
                <w:szCs w:val="18"/>
                <w:color w:val="auto"/>
              </w:rPr>
              <w:t>One-year minimum post-vesting retention</w:t>
            </w:r>
          </w:p>
        </w:tc>
        <w:tc>
          <w:tcPr>
            <w:tcW w:w="5880" w:type="dxa"/>
            <w:vAlign w:val="bottom"/>
          </w:tcPr>
          <w:p>
            <w:pPr>
              <w:spacing w:after="0"/>
              <w:rPr>
                <w:sz w:val="24"/>
                <w:szCs w:val="24"/>
                <w:color w:val="auto"/>
              </w:rPr>
            </w:pPr>
          </w:p>
        </w:tc>
      </w:tr>
      <w:tr>
        <w:trPr>
          <w:trHeight w:val="202"/>
        </w:trPr>
        <w:tc>
          <w:tcPr>
            <w:tcW w:w="5140" w:type="dxa"/>
            <w:vAlign w:val="bottom"/>
          </w:tcPr>
          <w:p>
            <w:pPr>
              <w:ind w:left="1500"/>
              <w:spacing w:after="0" w:line="202" w:lineRule="exact"/>
              <w:rPr>
                <w:sz w:val="20"/>
                <w:szCs w:val="20"/>
                <w:color w:val="auto"/>
              </w:rPr>
            </w:pPr>
            <w:r>
              <w:rPr>
                <w:rFonts w:ascii="Arial" w:cs="Arial" w:eastAsia="Arial" w:hAnsi="Arial"/>
                <w:sz w:val="18"/>
                <w:szCs w:val="18"/>
                <w:color w:val="auto"/>
              </w:rPr>
              <w:t>period for all equity-based long-term</w:t>
            </w:r>
          </w:p>
        </w:tc>
        <w:tc>
          <w:tcPr>
            <w:tcW w:w="5880" w:type="dxa"/>
            <w:vAlign w:val="bottom"/>
          </w:tcPr>
          <w:p>
            <w:pPr>
              <w:spacing w:after="0"/>
              <w:rPr>
                <w:sz w:val="17"/>
                <w:szCs w:val="17"/>
                <w:color w:val="auto"/>
              </w:rPr>
            </w:pPr>
          </w:p>
        </w:tc>
      </w:tr>
      <w:tr>
        <w:trPr>
          <w:trHeight w:val="239"/>
        </w:trPr>
        <w:tc>
          <w:tcPr>
            <w:tcW w:w="5140" w:type="dxa"/>
            <w:vAlign w:val="bottom"/>
          </w:tcPr>
          <w:p>
            <w:pPr>
              <w:ind w:left="1500"/>
              <w:spacing w:after="0"/>
              <w:rPr>
                <w:sz w:val="20"/>
                <w:szCs w:val="20"/>
                <w:color w:val="auto"/>
              </w:rPr>
            </w:pPr>
            <w:r>
              <w:rPr>
                <w:rFonts w:ascii="Arial" w:cs="Arial" w:eastAsia="Arial" w:hAnsi="Arial"/>
                <w:sz w:val="18"/>
                <w:szCs w:val="18"/>
                <w:color w:val="auto"/>
              </w:rPr>
              <w:t>incentive awards for executive officers</w:t>
            </w:r>
          </w:p>
        </w:tc>
        <w:tc>
          <w:tcPr>
            <w:tcW w:w="5880" w:type="dxa"/>
            <w:vAlign w:val="bottom"/>
          </w:tcPr>
          <w:p>
            <w:pPr>
              <w:spacing w:after="0"/>
              <w:rPr>
                <w:sz w:val="20"/>
                <w:szCs w:val="20"/>
                <w:color w:val="auto"/>
              </w:rPr>
            </w:pPr>
          </w:p>
        </w:tc>
      </w:tr>
      <w:tr>
        <w:trPr>
          <w:trHeight w:val="531"/>
        </w:trPr>
        <w:tc>
          <w:tcPr>
            <w:tcW w:w="5140" w:type="dxa"/>
            <w:vAlign w:val="bottom"/>
          </w:tcPr>
          <w:p>
            <w:pPr>
              <w:ind w:left="1500"/>
              <w:spacing w:after="0"/>
              <w:rPr>
                <w:sz w:val="20"/>
                <w:szCs w:val="20"/>
                <w:color w:val="auto"/>
              </w:rPr>
            </w:pPr>
            <w:r>
              <w:rPr>
                <w:rFonts w:ascii="Arial" w:cs="Arial" w:eastAsia="Arial" w:hAnsi="Arial"/>
                <w:sz w:val="18"/>
                <w:szCs w:val="18"/>
                <w:color w:val="auto"/>
              </w:rPr>
              <w:t>Executive stock ownership policy that</w:t>
            </w:r>
          </w:p>
        </w:tc>
        <w:tc>
          <w:tcPr>
            <w:tcW w:w="5880" w:type="dxa"/>
            <w:vAlign w:val="bottom"/>
          </w:tcPr>
          <w:p>
            <w:pPr>
              <w:spacing w:after="0"/>
              <w:rPr>
                <w:sz w:val="24"/>
                <w:szCs w:val="24"/>
                <w:color w:val="auto"/>
              </w:rPr>
            </w:pPr>
          </w:p>
        </w:tc>
      </w:tr>
      <w:tr>
        <w:trPr>
          <w:trHeight w:val="203"/>
        </w:trPr>
        <w:tc>
          <w:tcPr>
            <w:tcW w:w="5140" w:type="dxa"/>
            <w:vAlign w:val="bottom"/>
          </w:tcPr>
          <w:p>
            <w:pPr>
              <w:ind w:left="1500"/>
              <w:spacing w:after="0" w:line="202" w:lineRule="exact"/>
              <w:rPr>
                <w:sz w:val="20"/>
                <w:szCs w:val="20"/>
                <w:color w:val="auto"/>
              </w:rPr>
            </w:pPr>
            <w:r>
              <w:rPr>
                <w:rFonts w:ascii="Arial" w:cs="Arial" w:eastAsia="Arial" w:hAnsi="Arial"/>
                <w:sz w:val="18"/>
                <w:szCs w:val="18"/>
                <w:color w:val="auto"/>
              </w:rPr>
              <w:t>aligns executives’ and directors’ interests</w:t>
            </w:r>
          </w:p>
        </w:tc>
        <w:tc>
          <w:tcPr>
            <w:tcW w:w="5880" w:type="dxa"/>
            <w:vAlign w:val="bottom"/>
          </w:tcPr>
          <w:p>
            <w:pPr>
              <w:spacing w:after="0"/>
              <w:rPr>
                <w:sz w:val="17"/>
                <w:szCs w:val="17"/>
                <w:color w:val="auto"/>
              </w:rPr>
            </w:pPr>
          </w:p>
        </w:tc>
      </w:tr>
      <w:tr>
        <w:trPr>
          <w:trHeight w:val="239"/>
        </w:trPr>
        <w:tc>
          <w:tcPr>
            <w:tcW w:w="5140" w:type="dxa"/>
            <w:vAlign w:val="bottom"/>
          </w:tcPr>
          <w:p>
            <w:pPr>
              <w:ind w:left="1500"/>
              <w:spacing w:after="0"/>
              <w:rPr>
                <w:sz w:val="20"/>
                <w:szCs w:val="20"/>
                <w:color w:val="auto"/>
              </w:rPr>
            </w:pPr>
            <w:r>
              <w:rPr>
                <w:rFonts w:ascii="Arial" w:cs="Arial" w:eastAsia="Arial" w:hAnsi="Arial"/>
                <w:sz w:val="18"/>
                <w:szCs w:val="18"/>
                <w:color w:val="auto"/>
              </w:rPr>
              <w:t>with those of our stockholders</w:t>
            </w:r>
          </w:p>
        </w:tc>
        <w:tc>
          <w:tcPr>
            <w:tcW w:w="5880" w:type="dxa"/>
            <w:vAlign w:val="bottom"/>
          </w:tcPr>
          <w:p>
            <w:pPr>
              <w:spacing w:after="0"/>
              <w:rPr>
                <w:sz w:val="20"/>
                <w:szCs w:val="20"/>
                <w:color w:val="auto"/>
              </w:rPr>
            </w:pPr>
          </w:p>
        </w:tc>
      </w:tr>
      <w:tr>
        <w:trPr>
          <w:trHeight w:val="526"/>
        </w:trPr>
        <w:tc>
          <w:tcPr>
            <w:tcW w:w="5140" w:type="dxa"/>
            <w:vAlign w:val="bottom"/>
          </w:tcPr>
          <w:p>
            <w:pPr>
              <w:spacing w:after="0"/>
              <w:rPr>
                <w:sz w:val="24"/>
                <w:szCs w:val="24"/>
                <w:color w:val="auto"/>
              </w:rPr>
            </w:pPr>
          </w:p>
        </w:tc>
        <w:tc>
          <w:tcPr>
            <w:tcW w:w="5880" w:type="dxa"/>
            <w:vAlign w:val="bottom"/>
          </w:tcPr>
          <w:p>
            <w:pPr>
              <w:ind w:left="260"/>
              <w:spacing w:after="0"/>
              <w:rPr>
                <w:sz w:val="20"/>
                <w:szCs w:val="20"/>
                <w:color w:val="auto"/>
              </w:rPr>
            </w:pPr>
            <w:r>
              <w:rPr>
                <w:rFonts w:ascii="Arial" w:cs="Arial" w:eastAsia="Arial" w:hAnsi="Arial"/>
                <w:sz w:val="18"/>
                <w:szCs w:val="18"/>
                <w:color w:val="auto"/>
              </w:rPr>
              <w:t>59</w:t>
            </w:r>
          </w:p>
        </w:tc>
      </w:tr>
      <w:tr>
        <w:trPr>
          <w:trHeight w:val="165"/>
        </w:trPr>
        <w:tc>
          <w:tcPr>
            <w:tcW w:w="5140" w:type="dxa"/>
            <w:vAlign w:val="bottom"/>
            <w:tcBorders>
              <w:bottom w:val="single" w:sz="8" w:color="auto"/>
            </w:tcBorders>
          </w:tcPr>
          <w:p>
            <w:pPr>
              <w:spacing w:after="0"/>
              <w:rPr>
                <w:sz w:val="14"/>
                <w:szCs w:val="14"/>
                <w:color w:val="auto"/>
              </w:rPr>
            </w:pPr>
          </w:p>
        </w:tc>
        <w:tc>
          <w:tcPr>
            <w:tcW w:w="588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-6531610</wp:posOffset>
            </wp:positionV>
            <wp:extent cx="240030" cy="2400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-6531610</wp:posOffset>
            </wp:positionV>
            <wp:extent cx="214630" cy="2146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-6043295</wp:posOffset>
            </wp:positionV>
            <wp:extent cx="240030" cy="2400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-6043295</wp:posOffset>
            </wp:positionV>
            <wp:extent cx="214630" cy="2146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-5554345</wp:posOffset>
            </wp:positionV>
            <wp:extent cx="240030" cy="2400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-5554345</wp:posOffset>
            </wp:positionV>
            <wp:extent cx="214630" cy="2146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-4937125</wp:posOffset>
            </wp:positionV>
            <wp:extent cx="240030" cy="2400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-4937125</wp:posOffset>
            </wp:positionV>
            <wp:extent cx="214630" cy="2146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-4319905</wp:posOffset>
            </wp:positionV>
            <wp:extent cx="240030" cy="2400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-4319905</wp:posOffset>
            </wp:positionV>
            <wp:extent cx="214630" cy="2146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-3317240</wp:posOffset>
            </wp:positionV>
            <wp:extent cx="240030" cy="2400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-3317240</wp:posOffset>
            </wp:positionV>
            <wp:extent cx="214630" cy="2146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-2828290</wp:posOffset>
            </wp:positionV>
            <wp:extent cx="240030" cy="2400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-2828290</wp:posOffset>
            </wp:positionV>
            <wp:extent cx="214630" cy="2146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-2211070</wp:posOffset>
            </wp:positionV>
            <wp:extent cx="240030" cy="2400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-1465580</wp:posOffset>
            </wp:positionV>
            <wp:extent cx="240030" cy="2400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-848360</wp:posOffset>
            </wp:positionV>
            <wp:extent cx="240030" cy="2400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175260</wp:posOffset>
            </wp:positionV>
            <wp:extent cx="58293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Overview of 2023 Compensation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Committee finalized the pay structure for 2023 prior to the annual meeting of stockholders in May 2023, after which the composition of both the Board and the Committee materially changed. Since the reconstitution of the Board, the Committee has taken the opportunity to reflect on prior pay structures and engage stockholders to consider points of feedback to amend the pay plans going forward.</w:t>
      </w:r>
    </w:p>
    <w:p>
      <w:pPr>
        <w:spacing w:after="0" w:line="13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Committee, comprised of only independent directors, makes all compensation decisions regarding executive officers, including the Company’s NEOs, other than the CEO. The independent Board members, based on recommendations by the Committee, determine compensation actions impacting the CEO. The Committee considers recommendations from the CEO regarding the compensation of other NEOs. No member of the management team, including the CEO, has a role in determining his or her own compensation.</w:t>
      </w:r>
    </w:p>
    <w:p>
      <w:pPr>
        <w:spacing w:after="0" w:line="14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outlines the 2023 components of direct compensation for our NEOs and how they align with our compensation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8890" cy="2654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265430"/>
                    </a:xfrm>
                    <a:prstGeom prst="rect">
                      <a:avLst/>
                    </a:prstGeom>
                    <a:noFill/>
                  </pic:spPr>
                </pic:pic>
              </a:graphicData>
            </a:graphic>
          </wp:anchor>
        </w:drawing>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40" w:type="dxa"/>
            <w:vAlign w:val="bottom"/>
          </w:tcPr>
          <w:p>
            <w:pPr>
              <w:ind w:left="100"/>
              <w:spacing w:after="0"/>
              <w:rPr>
                <w:sz w:val="20"/>
                <w:szCs w:val="20"/>
                <w:color w:val="auto"/>
              </w:rPr>
            </w:pPr>
            <w:r>
              <w:rPr>
                <w:rFonts w:ascii="Arial" w:cs="Arial" w:eastAsia="Arial" w:hAnsi="Arial"/>
                <w:sz w:val="18"/>
                <w:szCs w:val="18"/>
                <w:b w:val="1"/>
                <w:bCs w:val="1"/>
                <w:color w:val="auto"/>
              </w:rPr>
              <w:t>Pay Element</w:t>
            </w:r>
          </w:p>
        </w:tc>
        <w:tc>
          <w:tcPr>
            <w:tcW w:w="2820" w:type="dxa"/>
            <w:vAlign w:val="bottom"/>
            <w:gridSpan w:val="2"/>
          </w:tcPr>
          <w:p>
            <w:pPr>
              <w:ind w:left="140"/>
              <w:spacing w:after="0"/>
              <w:rPr>
                <w:sz w:val="20"/>
                <w:szCs w:val="20"/>
                <w:color w:val="auto"/>
              </w:rPr>
            </w:pPr>
            <w:r>
              <w:rPr>
                <w:rFonts w:ascii="Arial" w:cs="Arial" w:eastAsia="Arial" w:hAnsi="Arial"/>
                <w:sz w:val="18"/>
                <w:szCs w:val="18"/>
                <w:b w:val="1"/>
                <w:bCs w:val="1"/>
                <w:color w:val="auto"/>
              </w:rPr>
              <w:t>Key Characteristics</w:t>
            </w:r>
          </w:p>
        </w:tc>
        <w:tc>
          <w:tcPr>
            <w:tcW w:w="2880" w:type="dxa"/>
            <w:vAlign w:val="bottom"/>
            <w:gridSpan w:val="2"/>
          </w:tcPr>
          <w:p>
            <w:pPr>
              <w:ind w:left="60"/>
              <w:spacing w:after="0"/>
              <w:rPr>
                <w:sz w:val="20"/>
                <w:szCs w:val="20"/>
                <w:color w:val="auto"/>
              </w:rPr>
            </w:pPr>
            <w:r>
              <w:rPr>
                <w:rFonts w:ascii="Arial" w:cs="Arial" w:eastAsia="Arial" w:hAnsi="Arial"/>
                <w:sz w:val="18"/>
                <w:szCs w:val="18"/>
                <w:b w:val="1"/>
                <w:bCs w:val="1"/>
                <w:color w:val="auto"/>
              </w:rPr>
              <w:t>What it Rewards</w:t>
            </w:r>
          </w:p>
        </w:tc>
        <w:tc>
          <w:tcPr>
            <w:tcW w:w="0" w:type="dxa"/>
            <w:vAlign w:val="bottom"/>
          </w:tcPr>
          <w:p>
            <w:pPr>
              <w:spacing w:after="0"/>
              <w:rPr>
                <w:sz w:val="1"/>
                <w:szCs w:val="1"/>
                <w:color w:val="auto"/>
              </w:rPr>
            </w:pPr>
          </w:p>
        </w:tc>
      </w:tr>
      <w:tr>
        <w:trPr>
          <w:trHeight w:val="69"/>
        </w:trPr>
        <w:tc>
          <w:tcPr>
            <w:tcW w:w="720" w:type="dxa"/>
            <w:vAlign w:val="bottom"/>
            <w:tcBorders>
              <w:bottom w:val="single" w:sz="8" w:color="0072AF"/>
            </w:tcBorders>
          </w:tcPr>
          <w:p>
            <w:pPr>
              <w:spacing w:after="0"/>
              <w:rPr>
                <w:sz w:val="6"/>
                <w:szCs w:val="6"/>
                <w:color w:val="auto"/>
              </w:rPr>
            </w:pPr>
          </w:p>
        </w:tc>
        <w:tc>
          <w:tcPr>
            <w:tcW w:w="920" w:type="dxa"/>
            <w:vAlign w:val="bottom"/>
            <w:tcBorders>
              <w:bottom w:val="single" w:sz="8" w:color="0072AF"/>
            </w:tcBorders>
          </w:tcPr>
          <w:p>
            <w:pPr>
              <w:spacing w:after="0"/>
              <w:rPr>
                <w:sz w:val="6"/>
                <w:szCs w:val="6"/>
                <w:color w:val="auto"/>
              </w:rPr>
            </w:pPr>
          </w:p>
        </w:tc>
        <w:tc>
          <w:tcPr>
            <w:tcW w:w="1840" w:type="dxa"/>
            <w:vAlign w:val="bottom"/>
            <w:tcBorders>
              <w:bottom w:val="single" w:sz="8" w:color="0072AF"/>
            </w:tcBorders>
          </w:tcPr>
          <w:p>
            <w:pPr>
              <w:spacing w:after="0"/>
              <w:rPr>
                <w:sz w:val="6"/>
                <w:szCs w:val="6"/>
                <w:color w:val="auto"/>
              </w:rPr>
            </w:pPr>
          </w:p>
        </w:tc>
        <w:tc>
          <w:tcPr>
            <w:tcW w:w="260" w:type="dxa"/>
            <w:vAlign w:val="bottom"/>
            <w:tcBorders>
              <w:bottom w:val="single" w:sz="8" w:color="0072AF"/>
            </w:tcBorders>
          </w:tcPr>
          <w:p>
            <w:pPr>
              <w:spacing w:after="0"/>
              <w:rPr>
                <w:sz w:val="6"/>
                <w:szCs w:val="6"/>
                <w:color w:val="auto"/>
              </w:rPr>
            </w:pPr>
          </w:p>
        </w:tc>
        <w:tc>
          <w:tcPr>
            <w:tcW w:w="2560" w:type="dxa"/>
            <w:vAlign w:val="bottom"/>
            <w:tcBorders>
              <w:bottom w:val="single" w:sz="8" w:color="0072AF"/>
            </w:tcBorders>
          </w:tcPr>
          <w:p>
            <w:pPr>
              <w:spacing w:after="0"/>
              <w:rPr>
                <w:sz w:val="6"/>
                <w:szCs w:val="6"/>
                <w:color w:val="auto"/>
              </w:rPr>
            </w:pPr>
          </w:p>
        </w:tc>
        <w:tc>
          <w:tcPr>
            <w:tcW w:w="2880" w:type="dxa"/>
            <w:vAlign w:val="bottom"/>
            <w:tcBorders>
              <w:bottom w:val="single" w:sz="8" w:color="0072AF"/>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20" w:type="dxa"/>
            <w:vAlign w:val="bottom"/>
            <w:tcBorders>
              <w:left w:val="single" w:sz="8" w:color="0072AF"/>
              <w:right w:val="single" w:sz="8" w:color="0072AF"/>
            </w:tcBorders>
            <w:shd w:val="clear" w:color="auto" w:fill="BFD3E9"/>
          </w:tcPr>
          <w:p>
            <w:pPr>
              <w:spacing w:after="0"/>
              <w:rPr>
                <w:sz w:val="24"/>
                <w:szCs w:val="24"/>
                <w:color w:val="auto"/>
              </w:rPr>
            </w:pPr>
          </w:p>
        </w:tc>
        <w:tc>
          <w:tcPr>
            <w:tcW w:w="920" w:type="dxa"/>
            <w:vAlign w:val="bottom"/>
            <w:tcBorders>
              <w:right w:val="single" w:sz="8" w:color="0072AF"/>
            </w:tcBorders>
            <w:shd w:val="clear" w:color="auto" w:fill="BFD3E9"/>
          </w:tcPr>
          <w:p>
            <w:pPr>
              <w:spacing w:after="0"/>
              <w:rPr>
                <w:sz w:val="24"/>
                <w:szCs w:val="24"/>
                <w:color w:val="auto"/>
              </w:rPr>
            </w:pPr>
          </w:p>
        </w:tc>
        <w:tc>
          <w:tcPr>
            <w:tcW w:w="1840" w:type="dxa"/>
            <w:vAlign w:val="bottom"/>
          </w:tcPr>
          <w:p>
            <w:pPr>
              <w:ind w:left="100"/>
              <w:spacing w:after="0"/>
              <w:rPr>
                <w:sz w:val="20"/>
                <w:szCs w:val="20"/>
                <w:color w:val="auto"/>
              </w:rPr>
            </w:pPr>
            <w:r>
              <w:rPr>
                <w:rFonts w:ascii="Arial" w:cs="Arial" w:eastAsia="Arial" w:hAnsi="Arial"/>
                <w:sz w:val="16"/>
                <w:szCs w:val="16"/>
                <w:b w:val="1"/>
                <w:bCs w:val="1"/>
                <w:color w:val="auto"/>
              </w:rPr>
              <w:t>Base Salary</w:t>
            </w:r>
          </w:p>
        </w:tc>
        <w:tc>
          <w:tcPr>
            <w:tcW w:w="260" w:type="dxa"/>
            <w:vAlign w:val="bottom"/>
          </w:tcPr>
          <w:p>
            <w:pPr>
              <w:ind w:left="140"/>
              <w:spacing w:after="0"/>
              <w:rPr>
                <w:sz w:val="20"/>
                <w:szCs w:val="20"/>
                <w:color w:val="auto"/>
              </w:rPr>
            </w:pPr>
            <w:r>
              <w:rPr>
                <w:rFonts w:ascii="Arial" w:cs="Arial" w:eastAsia="Arial" w:hAnsi="Arial"/>
                <w:sz w:val="16"/>
                <w:szCs w:val="16"/>
                <w:color w:val="0072AF"/>
              </w:rPr>
              <w:t>•</w:t>
            </w:r>
          </w:p>
        </w:tc>
        <w:tc>
          <w:tcPr>
            <w:tcW w:w="2560" w:type="dxa"/>
            <w:vAlign w:val="bottom"/>
          </w:tcPr>
          <w:p>
            <w:pPr>
              <w:ind w:left="40"/>
              <w:spacing w:after="0"/>
              <w:rPr>
                <w:sz w:val="20"/>
                <w:szCs w:val="20"/>
                <w:color w:val="auto"/>
              </w:rPr>
            </w:pPr>
            <w:r>
              <w:rPr>
                <w:rFonts w:ascii="Arial" w:cs="Arial" w:eastAsia="Arial" w:hAnsi="Arial"/>
                <w:sz w:val="16"/>
                <w:szCs w:val="16"/>
                <w:color w:val="auto"/>
              </w:rPr>
              <w:t>Fixed cash compensation</w:t>
            </w:r>
          </w:p>
        </w:tc>
        <w:tc>
          <w:tcPr>
            <w:tcW w:w="2880" w:type="dxa"/>
            <w:vAlign w:val="bottom"/>
            <w:gridSpan w:val="2"/>
          </w:tcPr>
          <w:p>
            <w:pPr>
              <w:ind w:left="60"/>
              <w:spacing w:after="0"/>
              <w:rPr>
                <w:sz w:val="20"/>
                <w:szCs w:val="20"/>
                <w:color w:val="auto"/>
              </w:rPr>
            </w:pPr>
            <w:r>
              <w:rPr>
                <w:rFonts w:ascii="Arial" w:cs="Arial" w:eastAsia="Arial" w:hAnsi="Arial"/>
                <w:sz w:val="16"/>
                <w:szCs w:val="16"/>
                <w:color w:val="0072AF"/>
              </w:rPr>
              <w:t xml:space="preserve">• </w:t>
            </w:r>
            <w:r>
              <w:rPr>
                <w:rFonts w:ascii="Arial" w:cs="Arial" w:eastAsia="Arial" w:hAnsi="Arial"/>
                <w:sz w:val="16"/>
                <w:szCs w:val="16"/>
                <w:color w:val="000000"/>
              </w:rPr>
              <w:t>Performance of daily job duties</w:t>
            </w:r>
          </w:p>
        </w:tc>
        <w:tc>
          <w:tcPr>
            <w:tcW w:w="0" w:type="dxa"/>
            <w:vAlign w:val="bottom"/>
          </w:tcPr>
          <w:p>
            <w:pPr>
              <w:spacing w:after="0"/>
              <w:rPr>
                <w:sz w:val="1"/>
                <w:szCs w:val="1"/>
                <w:color w:val="auto"/>
              </w:rPr>
            </w:pPr>
          </w:p>
        </w:tc>
      </w:tr>
      <w:tr>
        <w:trPr>
          <w:trHeight w:val="493"/>
        </w:trPr>
        <w:tc>
          <w:tcPr>
            <w:tcW w:w="720" w:type="dxa"/>
            <w:vAlign w:val="bottom"/>
            <w:tcBorders>
              <w:left w:val="single" w:sz="8" w:color="0072AF"/>
              <w:right w:val="single" w:sz="8" w:color="0072AF"/>
            </w:tcBorders>
            <w:shd w:val="clear" w:color="auto" w:fill="BFD3E9"/>
          </w:tcPr>
          <w:p>
            <w:pPr>
              <w:jc w:val="center"/>
              <w:spacing w:after="0"/>
              <w:rPr>
                <w:sz w:val="20"/>
                <w:szCs w:val="20"/>
                <w:color w:val="auto"/>
              </w:rPr>
            </w:pPr>
            <w:r>
              <w:rPr>
                <w:rFonts w:ascii="Arial" w:cs="Arial" w:eastAsia="Arial" w:hAnsi="Arial"/>
                <w:sz w:val="18"/>
                <w:szCs w:val="18"/>
                <w:b w:val="1"/>
                <w:bCs w:val="1"/>
                <w:color w:val="auto"/>
              </w:rPr>
              <w:t>Fixed</w:t>
            </w:r>
          </w:p>
        </w:tc>
        <w:tc>
          <w:tcPr>
            <w:tcW w:w="920" w:type="dxa"/>
            <w:vAlign w:val="bottom"/>
            <w:tcBorders>
              <w:right w:val="single" w:sz="8" w:color="0072AF"/>
            </w:tcBorders>
            <w:shd w:val="clear" w:color="auto" w:fill="BFD3E9"/>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ind w:left="140"/>
              <w:spacing w:after="0"/>
              <w:rPr>
                <w:sz w:val="20"/>
                <w:szCs w:val="20"/>
                <w:color w:val="auto"/>
              </w:rPr>
            </w:pPr>
            <w:r>
              <w:rPr>
                <w:rFonts w:ascii="Arial" w:cs="Arial" w:eastAsia="Arial" w:hAnsi="Arial"/>
                <w:sz w:val="16"/>
                <w:szCs w:val="16"/>
                <w:color w:val="0072AF"/>
              </w:rPr>
              <w:t>•</w:t>
            </w:r>
          </w:p>
        </w:tc>
        <w:tc>
          <w:tcPr>
            <w:tcW w:w="2560" w:type="dxa"/>
            <w:vAlign w:val="bottom"/>
          </w:tcPr>
          <w:p>
            <w:pPr>
              <w:ind w:left="40"/>
              <w:spacing w:after="0"/>
              <w:rPr>
                <w:sz w:val="20"/>
                <w:szCs w:val="20"/>
                <w:color w:val="auto"/>
              </w:rPr>
            </w:pPr>
            <w:r>
              <w:rPr>
                <w:rFonts w:ascii="Arial" w:cs="Arial" w:eastAsia="Arial" w:hAnsi="Arial"/>
                <w:sz w:val="16"/>
                <w:szCs w:val="16"/>
                <w:color w:val="auto"/>
              </w:rPr>
              <w:t>Increases driven by an</w:t>
            </w:r>
          </w:p>
        </w:tc>
        <w:tc>
          <w:tcPr>
            <w:tcW w:w="2880" w:type="dxa"/>
            <w:vAlign w:val="bottom"/>
            <w:gridSpan w:val="2"/>
          </w:tcPr>
          <w:p>
            <w:pPr>
              <w:ind w:left="60"/>
              <w:spacing w:after="0"/>
              <w:rPr>
                <w:sz w:val="20"/>
                <w:szCs w:val="20"/>
                <w:color w:val="auto"/>
              </w:rPr>
            </w:pPr>
            <w:r>
              <w:rPr>
                <w:rFonts w:ascii="Arial" w:cs="Arial" w:eastAsia="Arial" w:hAnsi="Arial"/>
                <w:sz w:val="16"/>
                <w:szCs w:val="16"/>
                <w:color w:val="0072AF"/>
              </w:rPr>
              <w:t xml:space="preserve">• </w:t>
            </w:r>
            <w:r>
              <w:rPr>
                <w:rFonts w:ascii="Arial" w:cs="Arial" w:eastAsia="Arial" w:hAnsi="Arial"/>
                <w:sz w:val="16"/>
                <w:szCs w:val="16"/>
                <w:color w:val="000000"/>
              </w:rPr>
              <w:t>Highly developed skills and abilities</w:t>
            </w:r>
          </w:p>
        </w:tc>
        <w:tc>
          <w:tcPr>
            <w:tcW w:w="0" w:type="dxa"/>
            <w:vAlign w:val="bottom"/>
          </w:tcPr>
          <w:p>
            <w:pPr>
              <w:spacing w:after="0"/>
              <w:rPr>
                <w:sz w:val="1"/>
                <w:szCs w:val="1"/>
                <w:color w:val="auto"/>
              </w:rPr>
            </w:pPr>
          </w:p>
        </w:tc>
      </w:tr>
      <w:tr>
        <w:trPr>
          <w:trHeight w:val="188"/>
        </w:trPr>
        <w:tc>
          <w:tcPr>
            <w:tcW w:w="720" w:type="dxa"/>
            <w:vAlign w:val="bottom"/>
            <w:tcBorders>
              <w:left w:val="single" w:sz="8" w:color="0072AF"/>
              <w:right w:val="single" w:sz="8" w:color="0072AF"/>
            </w:tcBorders>
            <w:shd w:val="clear" w:color="auto" w:fill="BFD3E9"/>
          </w:tcPr>
          <w:p>
            <w:pPr>
              <w:spacing w:after="0"/>
              <w:rPr>
                <w:sz w:val="16"/>
                <w:szCs w:val="16"/>
                <w:color w:val="auto"/>
              </w:rPr>
            </w:pPr>
          </w:p>
        </w:tc>
        <w:tc>
          <w:tcPr>
            <w:tcW w:w="920" w:type="dxa"/>
            <w:vAlign w:val="bottom"/>
            <w:tcBorders>
              <w:right w:val="single" w:sz="8" w:color="0072AF"/>
            </w:tcBorders>
            <w:shd w:val="clear" w:color="auto" w:fill="BFD3E9"/>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tcPr>
          <w:p>
            <w:pPr>
              <w:ind w:left="40"/>
              <w:spacing w:after="0"/>
              <w:rPr>
                <w:sz w:val="20"/>
                <w:szCs w:val="20"/>
                <w:color w:val="auto"/>
              </w:rPr>
            </w:pPr>
            <w:r>
              <w:rPr>
                <w:rFonts w:ascii="Arial" w:cs="Arial" w:eastAsia="Arial" w:hAnsi="Arial"/>
                <w:sz w:val="16"/>
                <w:szCs w:val="16"/>
                <w:color w:val="auto"/>
              </w:rPr>
              <w:t>executive’s individual</w:t>
            </w:r>
          </w:p>
        </w:tc>
        <w:tc>
          <w:tcPr>
            <w:tcW w:w="180" w:type="dxa"/>
            <w:vAlign w:val="bottom"/>
          </w:tcPr>
          <w:p>
            <w:pPr>
              <w:spacing w:after="0"/>
              <w:rPr>
                <w:sz w:val="16"/>
                <w:szCs w:val="16"/>
                <w:color w:val="auto"/>
              </w:rPr>
            </w:pPr>
          </w:p>
        </w:tc>
        <w:tc>
          <w:tcPr>
            <w:tcW w:w="2700" w:type="dxa"/>
            <w:vAlign w:val="bottom"/>
          </w:tcPr>
          <w:p>
            <w:pPr>
              <w:ind w:left="40"/>
              <w:spacing w:after="0"/>
              <w:rPr>
                <w:sz w:val="20"/>
                <w:szCs w:val="20"/>
                <w:color w:val="auto"/>
              </w:rPr>
            </w:pPr>
            <w:r>
              <w:rPr>
                <w:rFonts w:ascii="Arial" w:cs="Arial" w:eastAsia="Arial" w:hAnsi="Arial"/>
                <w:sz w:val="16"/>
                <w:szCs w:val="16"/>
                <w:color w:val="auto"/>
              </w:rPr>
              <w:t>critical to the success of the</w:t>
            </w:r>
          </w:p>
        </w:tc>
        <w:tc>
          <w:tcPr>
            <w:tcW w:w="0" w:type="dxa"/>
            <w:vAlign w:val="bottom"/>
          </w:tcPr>
          <w:p>
            <w:pPr>
              <w:spacing w:after="0"/>
              <w:rPr>
                <w:sz w:val="1"/>
                <w:szCs w:val="1"/>
                <w:color w:val="auto"/>
              </w:rPr>
            </w:pPr>
          </w:p>
        </w:tc>
      </w:tr>
      <w:tr>
        <w:trPr>
          <w:trHeight w:val="189"/>
        </w:trPr>
        <w:tc>
          <w:tcPr>
            <w:tcW w:w="720" w:type="dxa"/>
            <w:vAlign w:val="bottom"/>
            <w:tcBorders>
              <w:left w:val="single" w:sz="8" w:color="0072AF"/>
              <w:right w:val="single" w:sz="8" w:color="0072AF"/>
            </w:tcBorders>
            <w:shd w:val="clear" w:color="auto" w:fill="BFD3E9"/>
          </w:tcPr>
          <w:p>
            <w:pPr>
              <w:spacing w:after="0"/>
              <w:rPr>
                <w:sz w:val="16"/>
                <w:szCs w:val="16"/>
                <w:color w:val="auto"/>
              </w:rPr>
            </w:pPr>
          </w:p>
        </w:tc>
        <w:tc>
          <w:tcPr>
            <w:tcW w:w="920" w:type="dxa"/>
            <w:vAlign w:val="bottom"/>
            <w:tcBorders>
              <w:right w:val="single" w:sz="8" w:color="0072AF"/>
            </w:tcBorders>
            <w:shd w:val="clear" w:color="auto" w:fill="BFD3E9"/>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tcPr>
          <w:p>
            <w:pPr>
              <w:ind w:left="40"/>
              <w:spacing w:after="0"/>
              <w:rPr>
                <w:sz w:val="20"/>
                <w:szCs w:val="20"/>
                <w:color w:val="auto"/>
              </w:rPr>
            </w:pPr>
            <w:r>
              <w:rPr>
                <w:rFonts w:ascii="Arial" w:cs="Arial" w:eastAsia="Arial" w:hAnsi="Arial"/>
                <w:sz w:val="16"/>
                <w:szCs w:val="16"/>
                <w:color w:val="auto"/>
              </w:rPr>
              <w:t>performance and/or</w:t>
            </w:r>
          </w:p>
        </w:tc>
        <w:tc>
          <w:tcPr>
            <w:tcW w:w="180" w:type="dxa"/>
            <w:vAlign w:val="bottom"/>
          </w:tcPr>
          <w:p>
            <w:pPr>
              <w:spacing w:after="0"/>
              <w:rPr>
                <w:sz w:val="16"/>
                <w:szCs w:val="16"/>
                <w:color w:val="auto"/>
              </w:rPr>
            </w:pPr>
          </w:p>
        </w:tc>
        <w:tc>
          <w:tcPr>
            <w:tcW w:w="2700" w:type="dxa"/>
            <w:vAlign w:val="bottom"/>
          </w:tcPr>
          <w:p>
            <w:pPr>
              <w:ind w:left="40"/>
              <w:spacing w:after="0"/>
              <w:rPr>
                <w:sz w:val="20"/>
                <w:szCs w:val="20"/>
                <w:color w:val="auto"/>
              </w:rPr>
            </w:pPr>
            <w:r>
              <w:rPr>
                <w:rFonts w:ascii="Arial" w:cs="Arial" w:eastAsia="Arial" w:hAnsi="Arial"/>
                <w:sz w:val="16"/>
                <w:szCs w:val="16"/>
                <w:color w:val="auto"/>
              </w:rPr>
              <w:t>Company</w:t>
            </w:r>
          </w:p>
        </w:tc>
        <w:tc>
          <w:tcPr>
            <w:tcW w:w="0" w:type="dxa"/>
            <w:vAlign w:val="bottom"/>
          </w:tcPr>
          <w:p>
            <w:pPr>
              <w:spacing w:after="0"/>
              <w:rPr>
                <w:sz w:val="1"/>
                <w:szCs w:val="1"/>
                <w:color w:val="auto"/>
              </w:rPr>
            </w:pPr>
          </w:p>
        </w:tc>
      </w:tr>
      <w:tr>
        <w:trPr>
          <w:trHeight w:val="215"/>
        </w:trPr>
        <w:tc>
          <w:tcPr>
            <w:tcW w:w="720" w:type="dxa"/>
            <w:vAlign w:val="bottom"/>
            <w:tcBorders>
              <w:left w:val="single" w:sz="8" w:color="0072AF"/>
              <w:right w:val="single" w:sz="8" w:color="0072AF"/>
            </w:tcBorders>
            <w:shd w:val="clear" w:color="auto" w:fill="BFD3E9"/>
          </w:tcPr>
          <w:p>
            <w:pPr>
              <w:spacing w:after="0"/>
              <w:rPr>
                <w:sz w:val="18"/>
                <w:szCs w:val="18"/>
                <w:color w:val="auto"/>
              </w:rPr>
            </w:pPr>
          </w:p>
        </w:tc>
        <w:tc>
          <w:tcPr>
            <w:tcW w:w="920" w:type="dxa"/>
            <w:vAlign w:val="bottom"/>
            <w:tcBorders>
              <w:right w:val="single" w:sz="8" w:color="0072AF"/>
            </w:tcBorders>
            <w:shd w:val="clear" w:color="auto" w:fill="BFD3E9"/>
          </w:tcPr>
          <w:p>
            <w:pPr>
              <w:spacing w:after="0"/>
              <w:rPr>
                <w:sz w:val="18"/>
                <w:szCs w:val="18"/>
                <w:color w:val="auto"/>
              </w:rPr>
            </w:pP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tcPr>
          <w:p>
            <w:pPr>
              <w:ind w:left="40"/>
              <w:spacing w:after="0"/>
              <w:rPr>
                <w:sz w:val="20"/>
                <w:szCs w:val="20"/>
                <w:color w:val="auto"/>
              </w:rPr>
            </w:pPr>
            <w:r>
              <w:rPr>
                <w:rFonts w:ascii="Arial" w:cs="Arial" w:eastAsia="Arial" w:hAnsi="Arial"/>
                <w:sz w:val="16"/>
                <w:szCs w:val="16"/>
                <w:color w:val="auto"/>
              </w:rPr>
              <w:t>competitiveness to the market</w:t>
            </w:r>
          </w:p>
        </w:tc>
        <w:tc>
          <w:tcPr>
            <w:tcW w:w="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720" w:type="dxa"/>
            <w:vAlign w:val="bottom"/>
            <w:tcBorders>
              <w:left w:val="single" w:sz="8" w:color="0072AF"/>
              <w:bottom w:val="single" w:sz="8" w:color="0072AF"/>
              <w:right w:val="single" w:sz="8" w:color="0072AF"/>
            </w:tcBorders>
            <w:shd w:val="clear" w:color="auto" w:fill="BFD3E9"/>
          </w:tcPr>
          <w:p>
            <w:pPr>
              <w:spacing w:after="0"/>
              <w:rPr>
                <w:sz w:val="7"/>
                <w:szCs w:val="7"/>
                <w:color w:val="auto"/>
              </w:rPr>
            </w:pPr>
          </w:p>
        </w:tc>
        <w:tc>
          <w:tcPr>
            <w:tcW w:w="920" w:type="dxa"/>
            <w:vAlign w:val="bottom"/>
            <w:tcBorders>
              <w:bottom w:val="single" w:sz="8" w:color="BFD3E9"/>
              <w:right w:val="single" w:sz="8" w:color="0072AF"/>
            </w:tcBorders>
            <w:vMerge w:val="restart"/>
            <w:shd w:val="clear" w:color="auto" w:fill="BFD3E9"/>
          </w:tcPr>
          <w:p>
            <w:pPr>
              <w:jc w:val="center"/>
              <w:spacing w:after="0"/>
              <w:rPr>
                <w:sz w:val="20"/>
                <w:szCs w:val="20"/>
                <w:color w:val="auto"/>
              </w:rPr>
            </w:pPr>
            <w:r>
              <w:rPr>
                <w:rFonts w:ascii="Arial" w:cs="Arial" w:eastAsia="Arial" w:hAnsi="Arial"/>
                <w:sz w:val="18"/>
                <w:szCs w:val="18"/>
                <w:b w:val="1"/>
                <w:bCs w:val="1"/>
                <w:color w:val="auto"/>
              </w:rPr>
              <w:t>Short-</w:t>
            </w:r>
          </w:p>
        </w:tc>
        <w:tc>
          <w:tcPr>
            <w:tcW w:w="1840" w:type="dxa"/>
            <w:vAlign w:val="bottom"/>
            <w:tcBorders>
              <w:bottom w:val="single" w:sz="8" w:color="0072AF"/>
            </w:tcBorders>
          </w:tcPr>
          <w:p>
            <w:pPr>
              <w:spacing w:after="0"/>
              <w:rPr>
                <w:sz w:val="7"/>
                <w:szCs w:val="7"/>
                <w:color w:val="auto"/>
              </w:rPr>
            </w:pPr>
          </w:p>
        </w:tc>
        <w:tc>
          <w:tcPr>
            <w:tcW w:w="260" w:type="dxa"/>
            <w:vAlign w:val="bottom"/>
            <w:tcBorders>
              <w:bottom w:val="single" w:sz="8" w:color="0072AF"/>
            </w:tcBorders>
          </w:tcPr>
          <w:p>
            <w:pPr>
              <w:spacing w:after="0"/>
              <w:rPr>
                <w:sz w:val="7"/>
                <w:szCs w:val="7"/>
                <w:color w:val="auto"/>
              </w:rPr>
            </w:pPr>
          </w:p>
        </w:tc>
        <w:tc>
          <w:tcPr>
            <w:tcW w:w="2560" w:type="dxa"/>
            <w:vAlign w:val="bottom"/>
            <w:tcBorders>
              <w:bottom w:val="single" w:sz="8" w:color="0072AF"/>
            </w:tcBorders>
          </w:tcPr>
          <w:p>
            <w:pPr>
              <w:spacing w:after="0"/>
              <w:rPr>
                <w:sz w:val="7"/>
                <w:szCs w:val="7"/>
                <w:color w:val="auto"/>
              </w:rPr>
            </w:pPr>
          </w:p>
        </w:tc>
        <w:tc>
          <w:tcPr>
            <w:tcW w:w="180" w:type="dxa"/>
            <w:vAlign w:val="bottom"/>
            <w:tcBorders>
              <w:bottom w:val="single" w:sz="8" w:color="0072AF"/>
            </w:tcBorders>
          </w:tcPr>
          <w:p>
            <w:pPr>
              <w:spacing w:after="0"/>
              <w:rPr>
                <w:sz w:val="7"/>
                <w:szCs w:val="7"/>
                <w:color w:val="auto"/>
              </w:rPr>
            </w:pPr>
          </w:p>
        </w:tc>
        <w:tc>
          <w:tcPr>
            <w:tcW w:w="2700" w:type="dxa"/>
            <w:vAlign w:val="bottom"/>
            <w:tcBorders>
              <w:bottom w:val="single" w:sz="8" w:color="0072AF"/>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720" w:type="dxa"/>
            <w:vAlign w:val="bottom"/>
            <w:tcBorders>
              <w:left w:val="single" w:sz="8" w:color="0072AF"/>
              <w:right w:val="single" w:sz="8" w:color="0072AF"/>
            </w:tcBorders>
            <w:shd w:val="clear" w:color="auto" w:fill="BFD3E9"/>
          </w:tcPr>
          <w:p>
            <w:pPr>
              <w:spacing w:after="0"/>
              <w:rPr>
                <w:sz w:val="22"/>
                <w:szCs w:val="22"/>
                <w:color w:val="auto"/>
              </w:rPr>
            </w:pPr>
          </w:p>
        </w:tc>
        <w:tc>
          <w:tcPr>
            <w:tcW w:w="920" w:type="dxa"/>
            <w:vAlign w:val="bottom"/>
            <w:tcBorders>
              <w:right w:val="single" w:sz="8" w:color="0072AF"/>
            </w:tcBorders>
            <w:vMerge w:val="continue"/>
            <w:shd w:val="clear" w:color="auto" w:fill="BFD3E9"/>
          </w:tcPr>
          <w:p>
            <w:pPr>
              <w:spacing w:after="0"/>
              <w:rPr>
                <w:sz w:val="22"/>
                <w:szCs w:val="22"/>
                <w:color w:val="auto"/>
              </w:rPr>
            </w:pPr>
          </w:p>
        </w:tc>
        <w:tc>
          <w:tcPr>
            <w:tcW w:w="1840" w:type="dxa"/>
            <w:vAlign w:val="bottom"/>
          </w:tcPr>
          <w:p>
            <w:pPr>
              <w:ind w:left="100"/>
              <w:spacing w:after="0"/>
              <w:rPr>
                <w:sz w:val="20"/>
                <w:szCs w:val="20"/>
                <w:color w:val="auto"/>
              </w:rPr>
            </w:pPr>
            <w:r>
              <w:rPr>
                <w:rFonts w:ascii="Arial" w:cs="Arial" w:eastAsia="Arial" w:hAnsi="Arial"/>
                <w:sz w:val="16"/>
                <w:szCs w:val="16"/>
                <w:b w:val="1"/>
                <w:bCs w:val="1"/>
                <w:color w:val="auto"/>
              </w:rPr>
              <w:t>Annual Incentive</w:t>
            </w:r>
          </w:p>
        </w:tc>
        <w:tc>
          <w:tcPr>
            <w:tcW w:w="260" w:type="dxa"/>
            <w:vAlign w:val="bottom"/>
          </w:tcPr>
          <w:p>
            <w:pPr>
              <w:ind w:left="140"/>
              <w:spacing w:after="0"/>
              <w:rPr>
                <w:sz w:val="20"/>
                <w:szCs w:val="20"/>
                <w:color w:val="auto"/>
              </w:rPr>
            </w:pPr>
            <w:r>
              <w:rPr>
                <w:rFonts w:ascii="Arial" w:cs="Arial" w:eastAsia="Arial" w:hAnsi="Arial"/>
                <w:sz w:val="16"/>
                <w:szCs w:val="16"/>
                <w:color w:val="0072AF"/>
              </w:rPr>
              <w:t>•</w:t>
            </w:r>
          </w:p>
        </w:tc>
        <w:tc>
          <w:tcPr>
            <w:tcW w:w="2560" w:type="dxa"/>
            <w:vAlign w:val="bottom"/>
          </w:tcPr>
          <w:p>
            <w:pPr>
              <w:ind w:left="40"/>
              <w:spacing w:after="0"/>
              <w:rPr>
                <w:sz w:val="20"/>
                <w:szCs w:val="20"/>
                <w:color w:val="auto"/>
              </w:rPr>
            </w:pPr>
            <w:r>
              <w:rPr>
                <w:rFonts w:ascii="Arial" w:cs="Arial" w:eastAsia="Arial" w:hAnsi="Arial"/>
                <w:sz w:val="16"/>
                <w:szCs w:val="16"/>
                <w:color w:val="auto"/>
              </w:rPr>
              <w:t>Performance-based cash</w:t>
            </w:r>
          </w:p>
        </w:tc>
        <w:tc>
          <w:tcPr>
            <w:tcW w:w="180" w:type="dxa"/>
            <w:vAlign w:val="bottom"/>
          </w:tcPr>
          <w:p>
            <w:pPr>
              <w:ind w:left="60"/>
              <w:spacing w:after="0"/>
              <w:rPr>
                <w:sz w:val="20"/>
                <w:szCs w:val="20"/>
                <w:color w:val="auto"/>
              </w:rPr>
            </w:pPr>
            <w:r>
              <w:rPr>
                <w:rFonts w:ascii="Arial" w:cs="Arial" w:eastAsia="Arial" w:hAnsi="Arial"/>
                <w:sz w:val="16"/>
                <w:szCs w:val="16"/>
                <w:color w:val="0072AF"/>
              </w:rPr>
              <w:t>•</w:t>
            </w:r>
          </w:p>
        </w:tc>
        <w:tc>
          <w:tcPr>
            <w:tcW w:w="2700" w:type="dxa"/>
            <w:vAlign w:val="bottom"/>
          </w:tcPr>
          <w:p>
            <w:pPr>
              <w:ind w:left="40"/>
              <w:spacing w:after="0"/>
              <w:rPr>
                <w:sz w:val="20"/>
                <w:szCs w:val="20"/>
                <w:color w:val="auto"/>
              </w:rPr>
            </w:pPr>
            <w:r>
              <w:rPr>
                <w:rFonts w:ascii="Arial" w:cs="Arial" w:eastAsia="Arial" w:hAnsi="Arial"/>
                <w:sz w:val="16"/>
                <w:szCs w:val="16"/>
                <w:color w:val="auto"/>
              </w:rPr>
              <w:t>Achievement of pre-determined</w:t>
            </w:r>
          </w:p>
        </w:tc>
        <w:tc>
          <w:tcPr>
            <w:tcW w:w="0" w:type="dxa"/>
            <w:vAlign w:val="bottom"/>
          </w:tcPr>
          <w:p>
            <w:pPr>
              <w:spacing w:after="0"/>
              <w:rPr>
                <w:sz w:val="1"/>
                <w:szCs w:val="1"/>
                <w:color w:val="auto"/>
              </w:rPr>
            </w:pPr>
          </w:p>
        </w:tc>
      </w:tr>
      <w:tr>
        <w:trPr>
          <w:trHeight w:val="194"/>
        </w:trPr>
        <w:tc>
          <w:tcPr>
            <w:tcW w:w="720" w:type="dxa"/>
            <w:vAlign w:val="bottom"/>
            <w:tcBorders>
              <w:left w:val="single" w:sz="8" w:color="0072AF"/>
              <w:right w:val="single" w:sz="8" w:color="0072AF"/>
            </w:tcBorders>
            <w:shd w:val="clear" w:color="auto" w:fill="BFD3E9"/>
          </w:tcPr>
          <w:p>
            <w:pPr>
              <w:spacing w:after="0"/>
              <w:rPr>
                <w:sz w:val="16"/>
                <w:szCs w:val="16"/>
                <w:color w:val="auto"/>
              </w:rPr>
            </w:pPr>
          </w:p>
        </w:tc>
        <w:tc>
          <w:tcPr>
            <w:tcW w:w="920" w:type="dxa"/>
            <w:vAlign w:val="bottom"/>
            <w:tcBorders>
              <w:right w:val="single" w:sz="8" w:color="0072AF"/>
            </w:tcBorders>
            <w:shd w:val="clear" w:color="auto" w:fill="BFD3E9"/>
          </w:tcPr>
          <w:p>
            <w:pPr>
              <w:jc w:val="center"/>
              <w:spacing w:after="0" w:line="194" w:lineRule="exact"/>
              <w:rPr>
                <w:sz w:val="20"/>
                <w:szCs w:val="20"/>
                <w:color w:val="auto"/>
              </w:rPr>
            </w:pPr>
            <w:r>
              <w:rPr>
                <w:rFonts w:ascii="Arial" w:cs="Arial" w:eastAsia="Arial" w:hAnsi="Arial"/>
                <w:sz w:val="18"/>
                <w:szCs w:val="18"/>
                <w:b w:val="1"/>
                <w:bCs w:val="1"/>
                <w:color w:val="auto"/>
                <w:w w:val="95"/>
              </w:rPr>
              <w:t>Term</w:t>
            </w: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tcPr>
          <w:p>
            <w:pPr>
              <w:ind w:left="40"/>
              <w:spacing w:after="0"/>
              <w:rPr>
                <w:sz w:val="20"/>
                <w:szCs w:val="20"/>
                <w:color w:val="auto"/>
              </w:rPr>
            </w:pPr>
            <w:r>
              <w:rPr>
                <w:rFonts w:ascii="Arial" w:cs="Arial" w:eastAsia="Arial" w:hAnsi="Arial"/>
                <w:sz w:val="16"/>
                <w:szCs w:val="16"/>
                <w:color w:val="auto"/>
              </w:rPr>
              <w:t>compensation primarily measured</w:t>
            </w:r>
          </w:p>
        </w:tc>
        <w:tc>
          <w:tcPr>
            <w:tcW w:w="180" w:type="dxa"/>
            <w:vAlign w:val="bottom"/>
          </w:tcPr>
          <w:p>
            <w:pPr>
              <w:spacing w:after="0"/>
              <w:rPr>
                <w:sz w:val="16"/>
                <w:szCs w:val="16"/>
                <w:color w:val="auto"/>
              </w:rPr>
            </w:pPr>
          </w:p>
        </w:tc>
        <w:tc>
          <w:tcPr>
            <w:tcW w:w="2700" w:type="dxa"/>
            <w:vAlign w:val="bottom"/>
          </w:tcPr>
          <w:p>
            <w:pPr>
              <w:ind w:left="40"/>
              <w:spacing w:after="0"/>
              <w:rPr>
                <w:sz w:val="20"/>
                <w:szCs w:val="20"/>
                <w:color w:val="auto"/>
              </w:rPr>
            </w:pPr>
            <w:r>
              <w:rPr>
                <w:rFonts w:ascii="Arial" w:cs="Arial" w:eastAsia="Arial" w:hAnsi="Arial"/>
                <w:sz w:val="16"/>
                <w:szCs w:val="16"/>
                <w:color w:val="auto"/>
              </w:rPr>
              <w:t>short-term objectives established</w:t>
            </w:r>
          </w:p>
        </w:tc>
        <w:tc>
          <w:tcPr>
            <w:tcW w:w="0" w:type="dxa"/>
            <w:vAlign w:val="bottom"/>
          </w:tcPr>
          <w:p>
            <w:pPr>
              <w:spacing w:after="0"/>
              <w:rPr>
                <w:sz w:val="1"/>
                <w:szCs w:val="1"/>
                <w:color w:val="auto"/>
              </w:rPr>
            </w:pPr>
          </w:p>
        </w:tc>
      </w:tr>
      <w:tr>
        <w:trPr>
          <w:trHeight w:val="189"/>
        </w:trPr>
        <w:tc>
          <w:tcPr>
            <w:tcW w:w="720" w:type="dxa"/>
            <w:vAlign w:val="bottom"/>
            <w:tcBorders>
              <w:left w:val="single" w:sz="8" w:color="0072AF"/>
              <w:right w:val="single" w:sz="8" w:color="0072AF"/>
            </w:tcBorders>
            <w:shd w:val="clear" w:color="auto" w:fill="BFD3E9"/>
          </w:tcPr>
          <w:p>
            <w:pPr>
              <w:spacing w:after="0"/>
              <w:rPr>
                <w:sz w:val="16"/>
                <w:szCs w:val="16"/>
                <w:color w:val="auto"/>
              </w:rPr>
            </w:pPr>
          </w:p>
        </w:tc>
        <w:tc>
          <w:tcPr>
            <w:tcW w:w="920" w:type="dxa"/>
            <w:vAlign w:val="bottom"/>
            <w:tcBorders>
              <w:right w:val="single" w:sz="8" w:color="0072AF"/>
            </w:tcBorders>
            <w:shd w:val="clear" w:color="auto" w:fill="BFD3E9"/>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tcPr>
          <w:p>
            <w:pPr>
              <w:ind w:left="40"/>
              <w:spacing w:after="0"/>
              <w:rPr>
                <w:sz w:val="20"/>
                <w:szCs w:val="20"/>
                <w:color w:val="auto"/>
              </w:rPr>
            </w:pPr>
            <w:r>
              <w:rPr>
                <w:rFonts w:ascii="Arial" w:cs="Arial" w:eastAsia="Arial" w:hAnsi="Arial"/>
                <w:sz w:val="16"/>
                <w:szCs w:val="16"/>
                <w:color w:val="auto"/>
              </w:rPr>
              <w:t>on achievement of enterprise-</w:t>
            </w:r>
          </w:p>
        </w:tc>
        <w:tc>
          <w:tcPr>
            <w:tcW w:w="180" w:type="dxa"/>
            <w:vAlign w:val="bottom"/>
          </w:tcPr>
          <w:p>
            <w:pPr>
              <w:spacing w:after="0"/>
              <w:rPr>
                <w:sz w:val="16"/>
                <w:szCs w:val="16"/>
                <w:color w:val="auto"/>
              </w:rPr>
            </w:pPr>
          </w:p>
        </w:tc>
        <w:tc>
          <w:tcPr>
            <w:tcW w:w="2700" w:type="dxa"/>
            <w:vAlign w:val="bottom"/>
          </w:tcPr>
          <w:p>
            <w:pPr>
              <w:ind w:left="40"/>
              <w:spacing w:after="0"/>
              <w:rPr>
                <w:sz w:val="20"/>
                <w:szCs w:val="20"/>
                <w:color w:val="auto"/>
              </w:rPr>
            </w:pPr>
            <w:r>
              <w:rPr>
                <w:rFonts w:ascii="Arial" w:cs="Arial" w:eastAsia="Arial" w:hAnsi="Arial"/>
                <w:sz w:val="16"/>
                <w:szCs w:val="16"/>
                <w:color w:val="auto"/>
              </w:rPr>
              <w:t>generally shortly following the</w:t>
            </w:r>
          </w:p>
        </w:tc>
        <w:tc>
          <w:tcPr>
            <w:tcW w:w="0" w:type="dxa"/>
            <w:vAlign w:val="bottom"/>
          </w:tcPr>
          <w:p>
            <w:pPr>
              <w:spacing w:after="0"/>
              <w:rPr>
                <w:sz w:val="1"/>
                <w:szCs w:val="1"/>
                <w:color w:val="auto"/>
              </w:rPr>
            </w:pPr>
          </w:p>
        </w:tc>
      </w:tr>
      <w:tr>
        <w:trPr>
          <w:trHeight w:val="189"/>
        </w:trPr>
        <w:tc>
          <w:tcPr>
            <w:tcW w:w="720" w:type="dxa"/>
            <w:vAlign w:val="bottom"/>
            <w:tcBorders>
              <w:left w:val="single" w:sz="8" w:color="0072AF"/>
              <w:right w:val="single" w:sz="8" w:color="0072AF"/>
            </w:tcBorders>
            <w:shd w:val="clear" w:color="auto" w:fill="BFD3E9"/>
          </w:tcPr>
          <w:p>
            <w:pPr>
              <w:spacing w:after="0"/>
              <w:rPr>
                <w:sz w:val="16"/>
                <w:szCs w:val="16"/>
                <w:color w:val="auto"/>
              </w:rPr>
            </w:pPr>
          </w:p>
        </w:tc>
        <w:tc>
          <w:tcPr>
            <w:tcW w:w="920" w:type="dxa"/>
            <w:vAlign w:val="bottom"/>
            <w:tcBorders>
              <w:right w:val="single" w:sz="8" w:color="0072AF"/>
            </w:tcBorders>
            <w:shd w:val="clear" w:color="auto" w:fill="BFD3E9"/>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tcPr>
          <w:p>
            <w:pPr>
              <w:ind w:left="40"/>
              <w:spacing w:after="0"/>
              <w:rPr>
                <w:sz w:val="20"/>
                <w:szCs w:val="20"/>
                <w:color w:val="auto"/>
              </w:rPr>
            </w:pPr>
            <w:r>
              <w:rPr>
                <w:rFonts w:ascii="Arial" w:cs="Arial" w:eastAsia="Arial" w:hAnsi="Arial"/>
                <w:sz w:val="16"/>
                <w:szCs w:val="16"/>
                <w:color w:val="auto"/>
              </w:rPr>
              <w:t>wide metrics</w:t>
            </w:r>
          </w:p>
        </w:tc>
        <w:tc>
          <w:tcPr>
            <w:tcW w:w="180" w:type="dxa"/>
            <w:vAlign w:val="bottom"/>
          </w:tcPr>
          <w:p>
            <w:pPr>
              <w:spacing w:after="0"/>
              <w:rPr>
                <w:sz w:val="16"/>
                <w:szCs w:val="16"/>
                <w:color w:val="auto"/>
              </w:rPr>
            </w:pPr>
          </w:p>
        </w:tc>
        <w:tc>
          <w:tcPr>
            <w:tcW w:w="2700" w:type="dxa"/>
            <w:vAlign w:val="bottom"/>
          </w:tcPr>
          <w:p>
            <w:pPr>
              <w:ind w:left="40"/>
              <w:spacing w:after="0"/>
              <w:rPr>
                <w:sz w:val="20"/>
                <w:szCs w:val="20"/>
                <w:color w:val="auto"/>
              </w:rPr>
            </w:pPr>
            <w:r>
              <w:rPr>
                <w:rFonts w:ascii="Arial" w:cs="Arial" w:eastAsia="Arial" w:hAnsi="Arial"/>
                <w:sz w:val="16"/>
                <w:szCs w:val="16"/>
                <w:color w:val="auto"/>
              </w:rPr>
              <w:t>finalization of the Company’s budget</w:t>
            </w:r>
          </w:p>
        </w:tc>
        <w:tc>
          <w:tcPr>
            <w:tcW w:w="0" w:type="dxa"/>
            <w:vAlign w:val="bottom"/>
          </w:tcPr>
          <w:p>
            <w:pPr>
              <w:spacing w:after="0"/>
              <w:rPr>
                <w:sz w:val="1"/>
                <w:szCs w:val="1"/>
                <w:color w:val="auto"/>
              </w:rPr>
            </w:pPr>
          </w:p>
        </w:tc>
      </w:tr>
      <w:tr>
        <w:trPr>
          <w:trHeight w:val="215"/>
        </w:trPr>
        <w:tc>
          <w:tcPr>
            <w:tcW w:w="720" w:type="dxa"/>
            <w:vAlign w:val="bottom"/>
            <w:tcBorders>
              <w:left w:val="single" w:sz="8" w:color="0072AF"/>
              <w:right w:val="single" w:sz="8" w:color="0072AF"/>
            </w:tcBorders>
            <w:shd w:val="clear" w:color="auto" w:fill="BFD3E9"/>
          </w:tcPr>
          <w:p>
            <w:pPr>
              <w:spacing w:after="0"/>
              <w:rPr>
                <w:sz w:val="18"/>
                <w:szCs w:val="18"/>
                <w:color w:val="auto"/>
              </w:rPr>
            </w:pPr>
          </w:p>
        </w:tc>
        <w:tc>
          <w:tcPr>
            <w:tcW w:w="920" w:type="dxa"/>
            <w:vAlign w:val="bottom"/>
            <w:tcBorders>
              <w:right w:val="single" w:sz="8" w:color="0072AF"/>
            </w:tcBorders>
            <w:shd w:val="clear" w:color="auto" w:fill="BFD3E9"/>
          </w:tcPr>
          <w:p>
            <w:pPr>
              <w:spacing w:after="0"/>
              <w:rPr>
                <w:sz w:val="18"/>
                <w:szCs w:val="18"/>
                <w:color w:val="auto"/>
              </w:rPr>
            </w:pP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Pr>
          <w:p>
            <w:pPr>
              <w:ind w:left="40"/>
              <w:spacing w:after="0"/>
              <w:rPr>
                <w:sz w:val="20"/>
                <w:szCs w:val="20"/>
                <w:color w:val="auto"/>
              </w:rPr>
            </w:pPr>
            <w:r>
              <w:rPr>
                <w:rFonts w:ascii="Arial" w:cs="Arial" w:eastAsia="Arial" w:hAnsi="Arial"/>
                <w:sz w:val="16"/>
                <w:szCs w:val="16"/>
                <w:color w:val="auto"/>
              </w:rPr>
              <w:t>for each year</w:t>
            </w:r>
          </w:p>
        </w:tc>
        <w:tc>
          <w:tcPr>
            <w:tcW w:w="0" w:type="dxa"/>
            <w:vAlign w:val="bottom"/>
          </w:tcPr>
          <w:p>
            <w:pPr>
              <w:spacing w:after="0"/>
              <w:rPr>
                <w:sz w:val="1"/>
                <w:szCs w:val="1"/>
                <w:color w:val="auto"/>
              </w:rPr>
            </w:pPr>
          </w:p>
        </w:tc>
      </w:tr>
      <w:tr>
        <w:trPr>
          <w:trHeight w:val="325"/>
        </w:trPr>
        <w:tc>
          <w:tcPr>
            <w:tcW w:w="720" w:type="dxa"/>
            <w:vAlign w:val="bottom"/>
            <w:tcBorders>
              <w:left w:val="single" w:sz="8" w:color="0072AF"/>
              <w:right w:val="single" w:sz="8" w:color="0072AF"/>
            </w:tcBorders>
            <w:shd w:val="clear" w:color="auto" w:fill="BFD3E9"/>
          </w:tcPr>
          <w:p>
            <w:pPr>
              <w:spacing w:after="0"/>
              <w:rPr>
                <w:sz w:val="24"/>
                <w:szCs w:val="24"/>
                <w:color w:val="auto"/>
              </w:rPr>
            </w:pPr>
          </w:p>
        </w:tc>
        <w:tc>
          <w:tcPr>
            <w:tcW w:w="920" w:type="dxa"/>
            <w:vAlign w:val="bottom"/>
            <w:tcBorders>
              <w:right w:val="single" w:sz="8" w:color="0072AF"/>
            </w:tcBorders>
            <w:shd w:val="clear" w:color="auto" w:fill="BFD3E9"/>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ind w:left="140"/>
              <w:spacing w:after="0"/>
              <w:rPr>
                <w:sz w:val="20"/>
                <w:szCs w:val="20"/>
                <w:color w:val="auto"/>
              </w:rPr>
            </w:pPr>
            <w:r>
              <w:rPr>
                <w:rFonts w:ascii="Arial" w:cs="Arial" w:eastAsia="Arial" w:hAnsi="Arial"/>
                <w:sz w:val="16"/>
                <w:szCs w:val="16"/>
                <w:color w:val="0072AF"/>
              </w:rPr>
              <w:t>•</w:t>
            </w:r>
          </w:p>
        </w:tc>
        <w:tc>
          <w:tcPr>
            <w:tcW w:w="2560" w:type="dxa"/>
            <w:vAlign w:val="bottom"/>
          </w:tcPr>
          <w:p>
            <w:pPr>
              <w:ind w:left="40"/>
              <w:spacing w:after="0"/>
              <w:rPr>
                <w:sz w:val="20"/>
                <w:szCs w:val="20"/>
                <w:color w:val="auto"/>
              </w:rPr>
            </w:pPr>
            <w:r>
              <w:rPr>
                <w:rFonts w:ascii="Arial" w:cs="Arial" w:eastAsia="Arial" w:hAnsi="Arial"/>
                <w:sz w:val="16"/>
                <w:szCs w:val="16"/>
                <w:color w:val="auto"/>
              </w:rPr>
              <w:t>Individual performance may be</w:t>
            </w: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20" w:type="dxa"/>
            <w:vAlign w:val="bottom"/>
            <w:tcBorders>
              <w:left w:val="single" w:sz="8" w:color="0072AF"/>
              <w:right w:val="single" w:sz="8" w:color="0072AF"/>
            </w:tcBorders>
            <w:shd w:val="clear" w:color="auto" w:fill="BFD3E9"/>
          </w:tcPr>
          <w:p>
            <w:pPr>
              <w:spacing w:after="0"/>
              <w:rPr>
                <w:sz w:val="16"/>
                <w:szCs w:val="16"/>
                <w:color w:val="auto"/>
              </w:rPr>
            </w:pPr>
          </w:p>
        </w:tc>
        <w:tc>
          <w:tcPr>
            <w:tcW w:w="920" w:type="dxa"/>
            <w:vAlign w:val="bottom"/>
            <w:tcBorders>
              <w:right w:val="single" w:sz="8" w:color="0072AF"/>
            </w:tcBorders>
            <w:shd w:val="clear" w:color="auto" w:fill="BFD3E9"/>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tcPr>
          <w:p>
            <w:pPr>
              <w:ind w:left="40"/>
              <w:spacing w:after="0"/>
              <w:rPr>
                <w:sz w:val="20"/>
                <w:szCs w:val="20"/>
                <w:color w:val="auto"/>
              </w:rPr>
            </w:pPr>
            <w:r>
              <w:rPr>
                <w:rFonts w:ascii="Arial" w:cs="Arial" w:eastAsia="Arial" w:hAnsi="Arial"/>
                <w:sz w:val="16"/>
                <w:szCs w:val="16"/>
                <w:color w:val="auto"/>
              </w:rPr>
              <w:t>considered in establishing an</w:t>
            </w:r>
          </w:p>
        </w:tc>
        <w:tc>
          <w:tcPr>
            <w:tcW w:w="1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 w:type="dxa"/>
            <w:vAlign w:val="bottom"/>
            <w:tcBorders>
              <w:left w:val="single" w:sz="8" w:color="0072AF"/>
              <w:right w:val="single" w:sz="8" w:color="0072AF"/>
            </w:tcBorders>
            <w:shd w:val="clear" w:color="auto" w:fill="BFD3E9"/>
          </w:tcPr>
          <w:p>
            <w:pPr>
              <w:spacing w:after="0"/>
              <w:rPr>
                <w:sz w:val="16"/>
                <w:szCs w:val="16"/>
                <w:color w:val="auto"/>
              </w:rPr>
            </w:pPr>
          </w:p>
        </w:tc>
        <w:tc>
          <w:tcPr>
            <w:tcW w:w="920" w:type="dxa"/>
            <w:vAlign w:val="bottom"/>
            <w:tcBorders>
              <w:right w:val="single" w:sz="8" w:color="0072AF"/>
            </w:tcBorders>
            <w:shd w:val="clear" w:color="auto" w:fill="BFD3E9"/>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tcPr>
          <w:p>
            <w:pPr>
              <w:ind w:left="40"/>
              <w:spacing w:after="0"/>
              <w:rPr>
                <w:sz w:val="20"/>
                <w:szCs w:val="20"/>
                <w:color w:val="auto"/>
              </w:rPr>
            </w:pPr>
            <w:r>
              <w:rPr>
                <w:rFonts w:ascii="Arial" w:cs="Arial" w:eastAsia="Arial" w:hAnsi="Arial"/>
                <w:sz w:val="16"/>
                <w:szCs w:val="16"/>
                <w:color w:val="auto"/>
              </w:rPr>
              <w:t>executive’s annual incentive</w:t>
            </w:r>
          </w:p>
        </w:tc>
        <w:tc>
          <w:tcPr>
            <w:tcW w:w="1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20" w:type="dxa"/>
            <w:vAlign w:val="bottom"/>
            <w:tcBorders>
              <w:left w:val="single" w:sz="8" w:color="0072AF"/>
              <w:right w:val="single" w:sz="8" w:color="0072AF"/>
            </w:tcBorders>
            <w:shd w:val="clear" w:color="auto" w:fill="BFD3E9"/>
          </w:tcPr>
          <w:p>
            <w:pPr>
              <w:spacing w:after="0"/>
              <w:rPr>
                <w:sz w:val="18"/>
                <w:szCs w:val="18"/>
                <w:color w:val="auto"/>
              </w:rPr>
            </w:pPr>
          </w:p>
        </w:tc>
        <w:tc>
          <w:tcPr>
            <w:tcW w:w="920" w:type="dxa"/>
            <w:vAlign w:val="bottom"/>
            <w:tcBorders>
              <w:right w:val="single" w:sz="8" w:color="0072AF"/>
            </w:tcBorders>
            <w:shd w:val="clear" w:color="auto" w:fill="BFD3E9"/>
          </w:tcPr>
          <w:p>
            <w:pPr>
              <w:spacing w:after="0"/>
              <w:rPr>
                <w:sz w:val="18"/>
                <w:szCs w:val="18"/>
                <w:color w:val="auto"/>
              </w:rPr>
            </w:pP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tcPr>
          <w:p>
            <w:pPr>
              <w:ind w:left="40"/>
              <w:spacing w:after="0"/>
              <w:rPr>
                <w:sz w:val="20"/>
                <w:szCs w:val="20"/>
                <w:color w:val="auto"/>
              </w:rPr>
            </w:pPr>
            <w:r>
              <w:rPr>
                <w:rFonts w:ascii="Arial" w:cs="Arial" w:eastAsia="Arial" w:hAnsi="Arial"/>
                <w:sz w:val="16"/>
                <w:szCs w:val="16"/>
                <w:color w:val="auto"/>
              </w:rPr>
              <w:t>opportunity</w:t>
            </w:r>
          </w:p>
        </w:tc>
        <w:tc>
          <w:tcPr>
            <w:tcW w:w="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720" w:type="dxa"/>
            <w:vAlign w:val="bottom"/>
            <w:tcBorders>
              <w:left w:val="single" w:sz="8" w:color="0072AF"/>
              <w:bottom w:val="single" w:sz="8" w:color="BFD3E9"/>
              <w:right w:val="single" w:sz="8" w:color="0072AF"/>
            </w:tcBorders>
            <w:shd w:val="clear" w:color="auto" w:fill="BFD3E9"/>
          </w:tcPr>
          <w:p>
            <w:pPr>
              <w:spacing w:after="0"/>
              <w:rPr>
                <w:sz w:val="7"/>
                <w:szCs w:val="7"/>
                <w:color w:val="auto"/>
              </w:rPr>
            </w:pPr>
          </w:p>
        </w:tc>
        <w:tc>
          <w:tcPr>
            <w:tcW w:w="920" w:type="dxa"/>
            <w:vAlign w:val="bottom"/>
            <w:tcBorders>
              <w:bottom w:val="single" w:sz="8" w:color="0072AF"/>
              <w:right w:val="single" w:sz="8" w:color="0072AF"/>
            </w:tcBorders>
            <w:shd w:val="clear" w:color="auto" w:fill="BFD3E9"/>
          </w:tcPr>
          <w:p>
            <w:pPr>
              <w:spacing w:after="0"/>
              <w:rPr>
                <w:sz w:val="7"/>
                <w:szCs w:val="7"/>
                <w:color w:val="auto"/>
              </w:rPr>
            </w:pPr>
          </w:p>
        </w:tc>
        <w:tc>
          <w:tcPr>
            <w:tcW w:w="1840" w:type="dxa"/>
            <w:vAlign w:val="bottom"/>
            <w:tcBorders>
              <w:bottom w:val="single" w:sz="8" w:color="0072AF"/>
            </w:tcBorders>
          </w:tcPr>
          <w:p>
            <w:pPr>
              <w:spacing w:after="0"/>
              <w:rPr>
                <w:sz w:val="7"/>
                <w:szCs w:val="7"/>
                <w:color w:val="auto"/>
              </w:rPr>
            </w:pPr>
          </w:p>
        </w:tc>
        <w:tc>
          <w:tcPr>
            <w:tcW w:w="260" w:type="dxa"/>
            <w:vAlign w:val="bottom"/>
            <w:tcBorders>
              <w:bottom w:val="single" w:sz="8" w:color="0072AF"/>
            </w:tcBorders>
          </w:tcPr>
          <w:p>
            <w:pPr>
              <w:spacing w:after="0"/>
              <w:rPr>
                <w:sz w:val="7"/>
                <w:szCs w:val="7"/>
                <w:color w:val="auto"/>
              </w:rPr>
            </w:pPr>
          </w:p>
        </w:tc>
        <w:tc>
          <w:tcPr>
            <w:tcW w:w="2560" w:type="dxa"/>
            <w:vAlign w:val="bottom"/>
            <w:tcBorders>
              <w:bottom w:val="single" w:sz="8" w:color="0072AF"/>
            </w:tcBorders>
          </w:tcPr>
          <w:p>
            <w:pPr>
              <w:spacing w:after="0"/>
              <w:rPr>
                <w:sz w:val="7"/>
                <w:szCs w:val="7"/>
                <w:color w:val="auto"/>
              </w:rPr>
            </w:pPr>
          </w:p>
        </w:tc>
        <w:tc>
          <w:tcPr>
            <w:tcW w:w="180" w:type="dxa"/>
            <w:vAlign w:val="bottom"/>
            <w:tcBorders>
              <w:bottom w:val="single" w:sz="8" w:color="0072AF"/>
            </w:tcBorders>
          </w:tcPr>
          <w:p>
            <w:pPr>
              <w:spacing w:after="0"/>
              <w:rPr>
                <w:sz w:val="7"/>
                <w:szCs w:val="7"/>
                <w:color w:val="auto"/>
              </w:rPr>
            </w:pPr>
          </w:p>
        </w:tc>
        <w:tc>
          <w:tcPr>
            <w:tcW w:w="2700" w:type="dxa"/>
            <w:vAlign w:val="bottom"/>
            <w:tcBorders>
              <w:bottom w:val="single" w:sz="8" w:color="0072AF"/>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720" w:type="dxa"/>
            <w:vAlign w:val="bottom"/>
            <w:tcBorders>
              <w:left w:val="single" w:sz="8" w:color="0072AF"/>
              <w:right w:val="single" w:sz="8" w:color="0072AF"/>
            </w:tcBorders>
            <w:vMerge w:val="restart"/>
            <w:shd w:val="clear" w:color="auto" w:fill="BFD3E9"/>
          </w:tcPr>
          <w:p>
            <w:pPr>
              <w:jc w:val="center"/>
              <w:spacing w:after="0"/>
              <w:rPr>
                <w:sz w:val="20"/>
                <w:szCs w:val="20"/>
                <w:color w:val="auto"/>
              </w:rPr>
            </w:pPr>
            <w:r>
              <w:rPr>
                <w:rFonts w:ascii="Arial" w:cs="Arial" w:eastAsia="Arial" w:hAnsi="Arial"/>
                <w:sz w:val="18"/>
                <w:szCs w:val="18"/>
                <w:b w:val="1"/>
                <w:bCs w:val="1"/>
                <w:color w:val="auto"/>
                <w:w w:val="97"/>
              </w:rPr>
              <w:t>Variable</w:t>
            </w:r>
          </w:p>
        </w:tc>
        <w:tc>
          <w:tcPr>
            <w:tcW w:w="920" w:type="dxa"/>
            <w:vAlign w:val="bottom"/>
            <w:tcBorders>
              <w:right w:val="single" w:sz="8" w:color="0072AF"/>
            </w:tcBorders>
            <w:shd w:val="clear" w:color="auto" w:fill="BFD3E9"/>
          </w:tcPr>
          <w:p>
            <w:pPr>
              <w:spacing w:after="0"/>
              <w:rPr>
                <w:sz w:val="22"/>
                <w:szCs w:val="22"/>
                <w:color w:val="auto"/>
              </w:rPr>
            </w:pPr>
          </w:p>
        </w:tc>
        <w:tc>
          <w:tcPr>
            <w:tcW w:w="1840" w:type="dxa"/>
            <w:vAlign w:val="bottom"/>
          </w:tcPr>
          <w:p>
            <w:pPr>
              <w:ind w:left="100"/>
              <w:spacing w:after="0"/>
              <w:rPr>
                <w:sz w:val="20"/>
                <w:szCs w:val="20"/>
                <w:color w:val="auto"/>
              </w:rPr>
            </w:pPr>
            <w:r>
              <w:rPr>
                <w:rFonts w:ascii="Arial" w:cs="Arial" w:eastAsia="Arial" w:hAnsi="Arial"/>
                <w:sz w:val="16"/>
                <w:szCs w:val="16"/>
                <w:b w:val="1"/>
                <w:bCs w:val="1"/>
                <w:color w:val="auto"/>
              </w:rPr>
              <w:t>Cash Incentive Units</w:t>
            </w:r>
          </w:p>
        </w:tc>
        <w:tc>
          <w:tcPr>
            <w:tcW w:w="260" w:type="dxa"/>
            <w:vAlign w:val="bottom"/>
          </w:tcPr>
          <w:p>
            <w:pPr>
              <w:ind w:left="140"/>
              <w:spacing w:after="0"/>
              <w:rPr>
                <w:sz w:val="20"/>
                <w:szCs w:val="20"/>
                <w:color w:val="auto"/>
              </w:rPr>
            </w:pPr>
            <w:r>
              <w:rPr>
                <w:rFonts w:ascii="Arial" w:cs="Arial" w:eastAsia="Arial" w:hAnsi="Arial"/>
                <w:sz w:val="16"/>
                <w:szCs w:val="16"/>
                <w:color w:val="0072AF"/>
              </w:rPr>
              <w:t>•</w:t>
            </w:r>
          </w:p>
        </w:tc>
        <w:tc>
          <w:tcPr>
            <w:tcW w:w="2560" w:type="dxa"/>
            <w:vAlign w:val="bottom"/>
          </w:tcPr>
          <w:p>
            <w:pPr>
              <w:ind w:left="40"/>
              <w:spacing w:after="0"/>
              <w:rPr>
                <w:sz w:val="20"/>
                <w:szCs w:val="20"/>
                <w:color w:val="auto"/>
              </w:rPr>
            </w:pPr>
            <w:r>
              <w:rPr>
                <w:rFonts w:ascii="Arial" w:cs="Arial" w:eastAsia="Arial" w:hAnsi="Arial"/>
                <w:sz w:val="16"/>
                <w:szCs w:val="16"/>
                <w:color w:val="auto"/>
              </w:rPr>
              <w:t>Performance-based cash</w:t>
            </w:r>
          </w:p>
        </w:tc>
        <w:tc>
          <w:tcPr>
            <w:tcW w:w="180" w:type="dxa"/>
            <w:vAlign w:val="bottom"/>
          </w:tcPr>
          <w:p>
            <w:pPr>
              <w:ind w:left="60"/>
              <w:spacing w:after="0"/>
              <w:rPr>
                <w:sz w:val="20"/>
                <w:szCs w:val="20"/>
                <w:color w:val="auto"/>
              </w:rPr>
            </w:pPr>
            <w:r>
              <w:rPr>
                <w:rFonts w:ascii="Arial" w:cs="Arial" w:eastAsia="Arial" w:hAnsi="Arial"/>
                <w:sz w:val="16"/>
                <w:szCs w:val="16"/>
                <w:color w:val="0072AF"/>
              </w:rPr>
              <w:t>•</w:t>
            </w:r>
          </w:p>
        </w:tc>
        <w:tc>
          <w:tcPr>
            <w:tcW w:w="2700" w:type="dxa"/>
            <w:vAlign w:val="bottom"/>
          </w:tcPr>
          <w:p>
            <w:pPr>
              <w:ind w:left="40"/>
              <w:spacing w:after="0"/>
              <w:rPr>
                <w:sz w:val="20"/>
                <w:szCs w:val="20"/>
                <w:color w:val="auto"/>
              </w:rPr>
            </w:pPr>
            <w:r>
              <w:rPr>
                <w:rFonts w:ascii="Arial" w:cs="Arial" w:eastAsia="Arial" w:hAnsi="Arial"/>
                <w:sz w:val="16"/>
                <w:szCs w:val="16"/>
                <w:color w:val="auto"/>
              </w:rPr>
              <w:t>Achievement of pre-determined</w:t>
            </w:r>
          </w:p>
        </w:tc>
        <w:tc>
          <w:tcPr>
            <w:tcW w:w="0" w:type="dxa"/>
            <w:vAlign w:val="bottom"/>
          </w:tcPr>
          <w:p>
            <w:pPr>
              <w:spacing w:after="0"/>
              <w:rPr>
                <w:sz w:val="1"/>
                <w:szCs w:val="1"/>
                <w:color w:val="auto"/>
              </w:rPr>
            </w:pPr>
          </w:p>
        </w:tc>
      </w:tr>
      <w:tr>
        <w:trPr>
          <w:trHeight w:val="134"/>
        </w:trPr>
        <w:tc>
          <w:tcPr>
            <w:tcW w:w="720" w:type="dxa"/>
            <w:vAlign w:val="bottom"/>
            <w:tcBorders>
              <w:left w:val="single" w:sz="8" w:color="0072AF"/>
              <w:right w:val="single" w:sz="8" w:color="0072AF"/>
            </w:tcBorders>
            <w:vMerge w:val="continue"/>
            <w:shd w:val="clear" w:color="auto" w:fill="BFD3E9"/>
          </w:tcPr>
          <w:p>
            <w:pPr>
              <w:spacing w:after="0"/>
              <w:rPr>
                <w:sz w:val="11"/>
                <w:szCs w:val="11"/>
                <w:color w:val="auto"/>
              </w:rPr>
            </w:pPr>
          </w:p>
        </w:tc>
        <w:tc>
          <w:tcPr>
            <w:tcW w:w="920" w:type="dxa"/>
            <w:vAlign w:val="bottom"/>
            <w:tcBorders>
              <w:right w:val="single" w:sz="8" w:color="0072AF"/>
            </w:tcBorders>
            <w:shd w:val="clear" w:color="auto" w:fill="BFD3E9"/>
          </w:tcPr>
          <w:p>
            <w:pPr>
              <w:spacing w:after="0"/>
              <w:rPr>
                <w:sz w:val="11"/>
                <w:szCs w:val="11"/>
                <w:color w:val="auto"/>
              </w:rPr>
            </w:pPr>
          </w:p>
        </w:tc>
        <w:tc>
          <w:tcPr>
            <w:tcW w:w="1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60" w:type="dxa"/>
            <w:vAlign w:val="bottom"/>
            <w:vMerge w:val="restart"/>
          </w:tcPr>
          <w:p>
            <w:pPr>
              <w:ind w:left="40"/>
              <w:spacing w:after="0"/>
              <w:rPr>
                <w:sz w:val="20"/>
                <w:szCs w:val="20"/>
                <w:color w:val="auto"/>
              </w:rPr>
            </w:pPr>
            <w:r>
              <w:rPr>
                <w:rFonts w:ascii="Arial" w:cs="Arial" w:eastAsia="Arial" w:hAnsi="Arial"/>
                <w:sz w:val="16"/>
                <w:szCs w:val="16"/>
                <w:color w:val="auto"/>
              </w:rPr>
              <w:t>compensation measured on</w:t>
            </w:r>
          </w:p>
        </w:tc>
        <w:tc>
          <w:tcPr>
            <w:tcW w:w="180" w:type="dxa"/>
            <w:vAlign w:val="bottom"/>
          </w:tcPr>
          <w:p>
            <w:pPr>
              <w:spacing w:after="0"/>
              <w:rPr>
                <w:sz w:val="11"/>
                <w:szCs w:val="11"/>
                <w:color w:val="auto"/>
              </w:rPr>
            </w:pPr>
          </w:p>
        </w:tc>
        <w:tc>
          <w:tcPr>
            <w:tcW w:w="2700" w:type="dxa"/>
            <w:vAlign w:val="bottom"/>
            <w:vMerge w:val="restart"/>
          </w:tcPr>
          <w:p>
            <w:pPr>
              <w:ind w:left="40"/>
              <w:spacing w:after="0"/>
              <w:rPr>
                <w:sz w:val="20"/>
                <w:szCs w:val="20"/>
                <w:color w:val="auto"/>
              </w:rPr>
            </w:pPr>
            <w:r>
              <w:rPr>
                <w:rFonts w:ascii="Arial" w:cs="Arial" w:eastAsia="Arial" w:hAnsi="Arial"/>
                <w:sz w:val="16"/>
                <w:szCs w:val="16"/>
                <w:color w:val="auto"/>
              </w:rPr>
              <w:t>financial objectives established</w:t>
            </w:r>
          </w:p>
        </w:tc>
        <w:tc>
          <w:tcPr>
            <w:tcW w:w="0" w:type="dxa"/>
            <w:vAlign w:val="bottom"/>
          </w:tcPr>
          <w:p>
            <w:pPr>
              <w:spacing w:after="0"/>
              <w:rPr>
                <w:sz w:val="1"/>
                <w:szCs w:val="1"/>
                <w:color w:val="auto"/>
              </w:rPr>
            </w:pPr>
          </w:p>
        </w:tc>
      </w:tr>
      <w:tr>
        <w:trPr>
          <w:trHeight w:val="55"/>
        </w:trPr>
        <w:tc>
          <w:tcPr>
            <w:tcW w:w="720" w:type="dxa"/>
            <w:vAlign w:val="bottom"/>
            <w:tcBorders>
              <w:left w:val="single" w:sz="8" w:color="0072AF"/>
              <w:right w:val="single" w:sz="8" w:color="0072AF"/>
            </w:tcBorders>
            <w:shd w:val="clear" w:color="auto" w:fill="BFD3E9"/>
          </w:tcPr>
          <w:p>
            <w:pPr>
              <w:spacing w:after="0"/>
              <w:rPr>
                <w:sz w:val="4"/>
                <w:szCs w:val="4"/>
                <w:color w:val="auto"/>
              </w:rPr>
            </w:pPr>
          </w:p>
        </w:tc>
        <w:tc>
          <w:tcPr>
            <w:tcW w:w="920" w:type="dxa"/>
            <w:vAlign w:val="bottom"/>
            <w:tcBorders>
              <w:right w:val="single" w:sz="8" w:color="0072AF"/>
            </w:tcBorders>
            <w:shd w:val="clear" w:color="auto" w:fill="BFD3E9"/>
          </w:tcPr>
          <w:p>
            <w:pPr>
              <w:spacing w:after="0"/>
              <w:rPr>
                <w:sz w:val="4"/>
                <w:szCs w:val="4"/>
                <w:color w:val="auto"/>
              </w:rPr>
            </w:pPr>
          </w:p>
        </w:tc>
        <w:tc>
          <w:tcPr>
            <w:tcW w:w="1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5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Borders>
              <w:left w:val="single" w:sz="8" w:color="0072AF"/>
              <w:right w:val="single" w:sz="8" w:color="0072AF"/>
            </w:tcBorders>
            <w:shd w:val="clear" w:color="auto" w:fill="BFD3E9"/>
          </w:tcPr>
          <w:p>
            <w:pPr>
              <w:spacing w:after="0"/>
              <w:rPr>
                <w:sz w:val="16"/>
                <w:szCs w:val="16"/>
                <w:color w:val="auto"/>
              </w:rPr>
            </w:pPr>
          </w:p>
        </w:tc>
        <w:tc>
          <w:tcPr>
            <w:tcW w:w="920" w:type="dxa"/>
            <w:vAlign w:val="bottom"/>
            <w:tcBorders>
              <w:right w:val="single" w:sz="8" w:color="0072AF"/>
            </w:tcBorders>
            <w:shd w:val="clear" w:color="auto" w:fill="BFD3E9"/>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tcPr>
          <w:p>
            <w:pPr>
              <w:ind w:left="40"/>
              <w:spacing w:after="0"/>
              <w:rPr>
                <w:sz w:val="20"/>
                <w:szCs w:val="20"/>
                <w:color w:val="auto"/>
              </w:rPr>
            </w:pPr>
            <w:r>
              <w:rPr>
                <w:rFonts w:ascii="Arial" w:cs="Arial" w:eastAsia="Arial" w:hAnsi="Arial"/>
                <w:sz w:val="16"/>
                <w:szCs w:val="16"/>
                <w:color w:val="auto"/>
              </w:rPr>
              <w:t>enterprise-wide metrics</w:t>
            </w:r>
          </w:p>
        </w:tc>
        <w:tc>
          <w:tcPr>
            <w:tcW w:w="180" w:type="dxa"/>
            <w:vAlign w:val="bottom"/>
          </w:tcPr>
          <w:p>
            <w:pPr>
              <w:spacing w:after="0"/>
              <w:rPr>
                <w:sz w:val="16"/>
                <w:szCs w:val="16"/>
                <w:color w:val="auto"/>
              </w:rPr>
            </w:pPr>
          </w:p>
        </w:tc>
        <w:tc>
          <w:tcPr>
            <w:tcW w:w="2700" w:type="dxa"/>
            <w:vAlign w:val="bottom"/>
          </w:tcPr>
          <w:p>
            <w:pPr>
              <w:ind w:left="40"/>
              <w:spacing w:after="0"/>
              <w:rPr>
                <w:sz w:val="20"/>
                <w:szCs w:val="20"/>
                <w:color w:val="auto"/>
              </w:rPr>
            </w:pPr>
            <w:r>
              <w:rPr>
                <w:rFonts w:ascii="Arial" w:cs="Arial" w:eastAsia="Arial" w:hAnsi="Arial"/>
                <w:sz w:val="16"/>
                <w:szCs w:val="16"/>
                <w:color w:val="auto"/>
              </w:rPr>
              <w:t>generally shortly following the</w:t>
            </w:r>
          </w:p>
        </w:tc>
        <w:tc>
          <w:tcPr>
            <w:tcW w:w="0" w:type="dxa"/>
            <w:vAlign w:val="bottom"/>
          </w:tcPr>
          <w:p>
            <w:pPr>
              <w:spacing w:after="0"/>
              <w:rPr>
                <w:sz w:val="1"/>
                <w:szCs w:val="1"/>
                <w:color w:val="auto"/>
              </w:rPr>
            </w:pPr>
          </w:p>
        </w:tc>
      </w:tr>
      <w:tr>
        <w:trPr>
          <w:trHeight w:val="189"/>
        </w:trPr>
        <w:tc>
          <w:tcPr>
            <w:tcW w:w="720" w:type="dxa"/>
            <w:vAlign w:val="bottom"/>
            <w:tcBorders>
              <w:left w:val="single" w:sz="8" w:color="0072AF"/>
              <w:right w:val="single" w:sz="8" w:color="0072AF"/>
            </w:tcBorders>
            <w:shd w:val="clear" w:color="auto" w:fill="BFD3E9"/>
          </w:tcPr>
          <w:p>
            <w:pPr>
              <w:spacing w:after="0"/>
              <w:rPr>
                <w:sz w:val="16"/>
                <w:szCs w:val="16"/>
                <w:color w:val="auto"/>
              </w:rPr>
            </w:pPr>
          </w:p>
        </w:tc>
        <w:tc>
          <w:tcPr>
            <w:tcW w:w="920" w:type="dxa"/>
            <w:vAlign w:val="bottom"/>
            <w:tcBorders>
              <w:right w:val="single" w:sz="8" w:color="0072AF"/>
            </w:tcBorders>
            <w:shd w:val="clear" w:color="auto" w:fill="BFD3E9"/>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tcPr>
          <w:p>
            <w:pPr>
              <w:ind w:left="40"/>
              <w:spacing w:after="0"/>
              <w:rPr>
                <w:sz w:val="20"/>
                <w:szCs w:val="20"/>
                <w:color w:val="auto"/>
              </w:rPr>
            </w:pPr>
            <w:r>
              <w:rPr>
                <w:rFonts w:ascii="Arial" w:cs="Arial" w:eastAsia="Arial" w:hAnsi="Arial"/>
                <w:sz w:val="16"/>
                <w:szCs w:val="16"/>
                <w:color w:val="auto"/>
              </w:rPr>
              <w:t>finalization of the Company’s budget</w:t>
            </w:r>
          </w:p>
        </w:tc>
        <w:tc>
          <w:tcPr>
            <w:tcW w:w="0" w:type="dxa"/>
            <w:vAlign w:val="bottom"/>
          </w:tcPr>
          <w:p>
            <w:pPr>
              <w:spacing w:after="0"/>
              <w:rPr>
                <w:sz w:val="1"/>
                <w:szCs w:val="1"/>
                <w:color w:val="auto"/>
              </w:rPr>
            </w:pPr>
          </w:p>
        </w:tc>
      </w:tr>
      <w:tr>
        <w:trPr>
          <w:trHeight w:val="189"/>
        </w:trPr>
        <w:tc>
          <w:tcPr>
            <w:tcW w:w="720" w:type="dxa"/>
            <w:vAlign w:val="bottom"/>
            <w:tcBorders>
              <w:left w:val="single" w:sz="8" w:color="0072AF"/>
              <w:right w:val="single" w:sz="8" w:color="0072AF"/>
            </w:tcBorders>
            <w:shd w:val="clear" w:color="auto" w:fill="BFD3E9"/>
          </w:tcPr>
          <w:p>
            <w:pPr>
              <w:spacing w:after="0"/>
              <w:rPr>
                <w:sz w:val="16"/>
                <w:szCs w:val="16"/>
                <w:color w:val="auto"/>
              </w:rPr>
            </w:pPr>
          </w:p>
        </w:tc>
        <w:tc>
          <w:tcPr>
            <w:tcW w:w="920" w:type="dxa"/>
            <w:vAlign w:val="bottom"/>
            <w:tcBorders>
              <w:right w:val="single" w:sz="8" w:color="0072AF"/>
            </w:tcBorders>
            <w:shd w:val="clear" w:color="auto" w:fill="BFD3E9"/>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tcPr>
          <w:p>
            <w:pPr>
              <w:ind w:left="40"/>
              <w:spacing w:after="0"/>
              <w:rPr>
                <w:sz w:val="20"/>
                <w:szCs w:val="20"/>
                <w:color w:val="auto"/>
              </w:rPr>
            </w:pPr>
            <w:r>
              <w:rPr>
                <w:rFonts w:ascii="Arial" w:cs="Arial" w:eastAsia="Arial" w:hAnsi="Arial"/>
                <w:sz w:val="16"/>
                <w:szCs w:val="16"/>
                <w:color w:val="auto"/>
              </w:rPr>
              <w:t>for each year within the three-year</w:t>
            </w:r>
          </w:p>
        </w:tc>
        <w:tc>
          <w:tcPr>
            <w:tcW w:w="0" w:type="dxa"/>
            <w:vAlign w:val="bottom"/>
          </w:tcPr>
          <w:p>
            <w:pPr>
              <w:spacing w:after="0"/>
              <w:rPr>
                <w:sz w:val="1"/>
                <w:szCs w:val="1"/>
                <w:color w:val="auto"/>
              </w:rPr>
            </w:pPr>
          </w:p>
        </w:tc>
      </w:tr>
      <w:tr>
        <w:trPr>
          <w:trHeight w:val="215"/>
        </w:trPr>
        <w:tc>
          <w:tcPr>
            <w:tcW w:w="720" w:type="dxa"/>
            <w:vAlign w:val="bottom"/>
            <w:tcBorders>
              <w:left w:val="single" w:sz="8" w:color="0072AF"/>
              <w:right w:val="single" w:sz="8" w:color="0072AF"/>
            </w:tcBorders>
            <w:shd w:val="clear" w:color="auto" w:fill="BFD3E9"/>
          </w:tcPr>
          <w:p>
            <w:pPr>
              <w:spacing w:after="0"/>
              <w:rPr>
                <w:sz w:val="18"/>
                <w:szCs w:val="18"/>
                <w:color w:val="auto"/>
              </w:rPr>
            </w:pPr>
          </w:p>
        </w:tc>
        <w:tc>
          <w:tcPr>
            <w:tcW w:w="920" w:type="dxa"/>
            <w:vAlign w:val="bottom"/>
            <w:tcBorders>
              <w:right w:val="single" w:sz="8" w:color="0072AF"/>
            </w:tcBorders>
            <w:shd w:val="clear" w:color="auto" w:fill="BFD3E9"/>
          </w:tcPr>
          <w:p>
            <w:pPr>
              <w:spacing w:after="0"/>
              <w:rPr>
                <w:sz w:val="18"/>
                <w:szCs w:val="18"/>
                <w:color w:val="auto"/>
              </w:rPr>
            </w:pP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Pr>
          <w:p>
            <w:pPr>
              <w:ind w:left="40"/>
              <w:spacing w:after="0"/>
              <w:rPr>
                <w:sz w:val="20"/>
                <w:szCs w:val="20"/>
                <w:color w:val="auto"/>
              </w:rPr>
            </w:pPr>
            <w:r>
              <w:rPr>
                <w:rFonts w:ascii="Arial" w:cs="Arial" w:eastAsia="Arial" w:hAnsi="Arial"/>
                <w:sz w:val="16"/>
                <w:szCs w:val="16"/>
                <w:color w:val="auto"/>
              </w:rPr>
              <w:t>cycle for awards</w:t>
            </w:r>
          </w:p>
        </w:tc>
        <w:tc>
          <w:tcPr>
            <w:tcW w:w="0" w:type="dxa"/>
            <w:vAlign w:val="bottom"/>
          </w:tcPr>
          <w:p>
            <w:pPr>
              <w:spacing w:after="0"/>
              <w:rPr>
                <w:sz w:val="1"/>
                <w:szCs w:val="1"/>
                <w:color w:val="auto"/>
              </w:rPr>
            </w:pPr>
          </w:p>
        </w:tc>
      </w:tr>
      <w:tr>
        <w:trPr>
          <w:trHeight w:val="213"/>
        </w:trPr>
        <w:tc>
          <w:tcPr>
            <w:tcW w:w="720" w:type="dxa"/>
            <w:vAlign w:val="bottom"/>
            <w:tcBorders>
              <w:left w:val="single" w:sz="8" w:color="0072AF"/>
              <w:right w:val="single" w:sz="8" w:color="0072AF"/>
            </w:tcBorders>
            <w:shd w:val="clear" w:color="auto" w:fill="BFD3E9"/>
          </w:tcPr>
          <w:p>
            <w:pPr>
              <w:spacing w:after="0"/>
              <w:rPr>
                <w:sz w:val="18"/>
                <w:szCs w:val="18"/>
                <w:color w:val="auto"/>
              </w:rPr>
            </w:pPr>
          </w:p>
        </w:tc>
        <w:tc>
          <w:tcPr>
            <w:tcW w:w="920" w:type="dxa"/>
            <w:vAlign w:val="bottom"/>
            <w:tcBorders>
              <w:right w:val="single" w:sz="8" w:color="0072AF"/>
            </w:tcBorders>
            <w:shd w:val="clear" w:color="auto" w:fill="BFD3E9"/>
          </w:tcPr>
          <w:p>
            <w:pPr>
              <w:jc w:val="center"/>
              <w:spacing w:after="0"/>
              <w:rPr>
                <w:sz w:val="20"/>
                <w:szCs w:val="20"/>
                <w:color w:val="auto"/>
              </w:rPr>
            </w:pPr>
            <w:r>
              <w:rPr>
                <w:rFonts w:ascii="Arial" w:cs="Arial" w:eastAsia="Arial" w:hAnsi="Arial"/>
                <w:sz w:val="18"/>
                <w:szCs w:val="18"/>
                <w:b w:val="1"/>
                <w:bCs w:val="1"/>
                <w:color w:val="auto"/>
                <w:w w:val="99"/>
              </w:rPr>
              <w:t>Long-</w:t>
            </w:r>
          </w:p>
        </w:tc>
        <w:tc>
          <w:tcPr>
            <w:tcW w:w="1840" w:type="dxa"/>
            <w:vAlign w:val="bottom"/>
          </w:tcPr>
          <w:p>
            <w:pPr>
              <w:spacing w:after="0"/>
              <w:rPr>
                <w:sz w:val="18"/>
                <w:szCs w:val="18"/>
                <w:color w:val="auto"/>
              </w:rPr>
            </w:pPr>
          </w:p>
        </w:tc>
        <w:tc>
          <w:tcPr>
            <w:tcW w:w="260" w:type="dxa"/>
            <w:vAlign w:val="bottom"/>
            <w:vMerge w:val="restart"/>
          </w:tcPr>
          <w:p>
            <w:pPr>
              <w:ind w:left="140"/>
              <w:spacing w:after="0"/>
              <w:rPr>
                <w:sz w:val="20"/>
                <w:szCs w:val="20"/>
                <w:color w:val="auto"/>
              </w:rPr>
            </w:pPr>
            <w:r>
              <w:rPr>
                <w:rFonts w:ascii="Arial" w:cs="Arial" w:eastAsia="Arial" w:hAnsi="Arial"/>
                <w:sz w:val="16"/>
                <w:szCs w:val="16"/>
                <w:color w:val="0072AF"/>
              </w:rPr>
              <w:t>•</w:t>
            </w:r>
          </w:p>
        </w:tc>
        <w:tc>
          <w:tcPr>
            <w:tcW w:w="2560" w:type="dxa"/>
            <w:vAlign w:val="bottom"/>
            <w:vMerge w:val="restart"/>
          </w:tcPr>
          <w:p>
            <w:pPr>
              <w:ind w:left="40"/>
              <w:spacing w:after="0"/>
              <w:rPr>
                <w:sz w:val="20"/>
                <w:szCs w:val="20"/>
                <w:color w:val="auto"/>
              </w:rPr>
            </w:pPr>
            <w:r>
              <w:rPr>
                <w:rFonts w:ascii="Arial" w:cs="Arial" w:eastAsia="Arial" w:hAnsi="Arial"/>
                <w:sz w:val="16"/>
                <w:szCs w:val="16"/>
                <w:color w:val="auto"/>
              </w:rPr>
              <w:t>Modified by our TSR relative to</w:t>
            </w:r>
          </w:p>
        </w:tc>
        <w:tc>
          <w:tcPr>
            <w:tcW w:w="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720" w:type="dxa"/>
            <w:vAlign w:val="bottom"/>
            <w:tcBorders>
              <w:left w:val="single" w:sz="8" w:color="0072AF"/>
              <w:right w:val="single" w:sz="8" w:color="0072AF"/>
            </w:tcBorders>
            <w:shd w:val="clear" w:color="auto" w:fill="BFD3E9"/>
          </w:tcPr>
          <w:p>
            <w:pPr>
              <w:spacing w:after="0"/>
              <w:rPr>
                <w:sz w:val="9"/>
                <w:szCs w:val="9"/>
                <w:color w:val="auto"/>
              </w:rPr>
            </w:pPr>
          </w:p>
        </w:tc>
        <w:tc>
          <w:tcPr>
            <w:tcW w:w="920" w:type="dxa"/>
            <w:vAlign w:val="bottom"/>
            <w:tcBorders>
              <w:right w:val="single" w:sz="8" w:color="0072AF"/>
            </w:tcBorders>
            <w:vMerge w:val="restart"/>
            <w:shd w:val="clear" w:color="auto" w:fill="BFD3E9"/>
          </w:tcPr>
          <w:p>
            <w:pPr>
              <w:jc w:val="center"/>
              <w:spacing w:after="0" w:line="202" w:lineRule="exact"/>
              <w:rPr>
                <w:sz w:val="20"/>
                <w:szCs w:val="20"/>
                <w:color w:val="auto"/>
              </w:rPr>
            </w:pPr>
            <w:r>
              <w:rPr>
                <w:rFonts w:ascii="Arial" w:cs="Arial" w:eastAsia="Arial" w:hAnsi="Arial"/>
                <w:sz w:val="18"/>
                <w:szCs w:val="18"/>
                <w:b w:val="1"/>
                <w:bCs w:val="1"/>
                <w:color w:val="auto"/>
                <w:w w:val="95"/>
              </w:rPr>
              <w:t>Term</w:t>
            </w:r>
          </w:p>
        </w:tc>
        <w:tc>
          <w:tcPr>
            <w:tcW w:w="184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2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720" w:type="dxa"/>
            <w:vAlign w:val="bottom"/>
            <w:tcBorders>
              <w:left w:val="single" w:sz="8" w:color="0072AF"/>
              <w:right w:val="single" w:sz="8" w:color="0072AF"/>
            </w:tcBorders>
            <w:shd w:val="clear" w:color="auto" w:fill="BFD3E9"/>
          </w:tcPr>
          <w:p>
            <w:pPr>
              <w:spacing w:after="0"/>
              <w:rPr>
                <w:sz w:val="7"/>
                <w:szCs w:val="7"/>
                <w:color w:val="auto"/>
              </w:rPr>
            </w:pPr>
          </w:p>
        </w:tc>
        <w:tc>
          <w:tcPr>
            <w:tcW w:w="920" w:type="dxa"/>
            <w:vAlign w:val="bottom"/>
            <w:tcBorders>
              <w:right w:val="single" w:sz="8" w:color="0072AF"/>
            </w:tcBorders>
            <w:vMerge w:val="continue"/>
            <w:shd w:val="clear" w:color="auto" w:fill="BFD3E9"/>
          </w:tcPr>
          <w:p>
            <w:pPr>
              <w:spacing w:after="0"/>
              <w:rPr>
                <w:sz w:val="7"/>
                <w:szCs w:val="7"/>
                <w:color w:val="auto"/>
              </w:rPr>
            </w:pPr>
          </w:p>
        </w:tc>
        <w:tc>
          <w:tcPr>
            <w:tcW w:w="1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560" w:type="dxa"/>
            <w:vAlign w:val="bottom"/>
            <w:vMerge w:val="restart"/>
          </w:tcPr>
          <w:p>
            <w:pPr>
              <w:ind w:left="40"/>
              <w:spacing w:after="0"/>
              <w:rPr>
                <w:sz w:val="20"/>
                <w:szCs w:val="20"/>
                <w:color w:val="auto"/>
              </w:rPr>
            </w:pPr>
            <w:r>
              <w:rPr>
                <w:rFonts w:ascii="Arial" w:cs="Arial" w:eastAsia="Arial" w:hAnsi="Arial"/>
                <w:sz w:val="16"/>
                <w:szCs w:val="16"/>
                <w:color w:val="auto"/>
              </w:rPr>
              <w:t>the S&amp;P 1000 Index</w:t>
            </w:r>
          </w:p>
        </w:tc>
        <w:tc>
          <w:tcPr>
            <w:tcW w:w="180" w:type="dxa"/>
            <w:vAlign w:val="bottom"/>
          </w:tcPr>
          <w:p>
            <w:pPr>
              <w:spacing w:after="0"/>
              <w:rPr>
                <w:sz w:val="7"/>
                <w:szCs w:val="7"/>
                <w:color w:val="auto"/>
              </w:rPr>
            </w:pPr>
          </w:p>
        </w:tc>
        <w:tc>
          <w:tcPr>
            <w:tcW w:w="2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20" w:type="dxa"/>
            <w:vAlign w:val="bottom"/>
            <w:tcBorders>
              <w:left w:val="single" w:sz="8" w:color="0072AF"/>
              <w:right w:val="single" w:sz="8" w:color="0072AF"/>
            </w:tcBorders>
            <w:shd w:val="clear" w:color="auto" w:fill="BFD3E9"/>
          </w:tcPr>
          <w:p>
            <w:pPr>
              <w:spacing w:after="0"/>
              <w:rPr>
                <w:sz w:val="10"/>
                <w:szCs w:val="10"/>
                <w:color w:val="auto"/>
              </w:rPr>
            </w:pPr>
          </w:p>
        </w:tc>
        <w:tc>
          <w:tcPr>
            <w:tcW w:w="920" w:type="dxa"/>
            <w:vAlign w:val="bottom"/>
            <w:tcBorders>
              <w:right w:val="single" w:sz="8" w:color="0072AF"/>
            </w:tcBorders>
            <w:vMerge w:val="restart"/>
            <w:shd w:val="clear" w:color="auto" w:fill="BFD3E9"/>
          </w:tcPr>
          <w:p>
            <w:pPr>
              <w:jc w:val="center"/>
              <w:spacing w:after="0"/>
              <w:rPr>
                <w:sz w:val="20"/>
                <w:szCs w:val="20"/>
                <w:color w:val="auto"/>
              </w:rPr>
            </w:pPr>
            <w:r>
              <w:rPr>
                <w:rFonts w:ascii="Arial" w:cs="Arial" w:eastAsia="Arial" w:hAnsi="Arial"/>
                <w:sz w:val="18"/>
                <w:szCs w:val="18"/>
                <w:b w:val="1"/>
                <w:bCs w:val="1"/>
                <w:color w:val="auto"/>
                <w:w w:val="99"/>
              </w:rPr>
              <w:t>Incentives</w:t>
            </w:r>
          </w:p>
        </w:tc>
        <w:tc>
          <w:tcPr>
            <w:tcW w:w="1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5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720" w:type="dxa"/>
            <w:vAlign w:val="bottom"/>
            <w:tcBorders>
              <w:left w:val="single" w:sz="8" w:color="0072AF"/>
              <w:bottom w:val="single" w:sz="8" w:color="BFD3E9"/>
              <w:right w:val="single" w:sz="8" w:color="0072AF"/>
            </w:tcBorders>
            <w:shd w:val="clear" w:color="auto" w:fill="BFD3E9"/>
          </w:tcPr>
          <w:p>
            <w:pPr>
              <w:spacing w:after="0"/>
              <w:rPr>
                <w:sz w:val="7"/>
                <w:szCs w:val="7"/>
                <w:color w:val="auto"/>
              </w:rPr>
            </w:pPr>
          </w:p>
        </w:tc>
        <w:tc>
          <w:tcPr>
            <w:tcW w:w="920" w:type="dxa"/>
            <w:vAlign w:val="bottom"/>
            <w:tcBorders>
              <w:bottom w:val="single" w:sz="8" w:color="BFD3E9"/>
              <w:right w:val="single" w:sz="8" w:color="0072AF"/>
            </w:tcBorders>
            <w:vMerge w:val="continue"/>
            <w:shd w:val="clear" w:color="auto" w:fill="BFD3E9"/>
          </w:tcPr>
          <w:p>
            <w:pPr>
              <w:spacing w:after="0"/>
              <w:rPr>
                <w:sz w:val="7"/>
                <w:szCs w:val="7"/>
                <w:color w:val="auto"/>
              </w:rPr>
            </w:pPr>
          </w:p>
        </w:tc>
        <w:tc>
          <w:tcPr>
            <w:tcW w:w="1840" w:type="dxa"/>
            <w:vAlign w:val="bottom"/>
            <w:tcBorders>
              <w:bottom w:val="single" w:sz="8" w:color="0072AF"/>
            </w:tcBorders>
          </w:tcPr>
          <w:p>
            <w:pPr>
              <w:spacing w:after="0"/>
              <w:rPr>
                <w:sz w:val="7"/>
                <w:szCs w:val="7"/>
                <w:color w:val="auto"/>
              </w:rPr>
            </w:pPr>
          </w:p>
        </w:tc>
        <w:tc>
          <w:tcPr>
            <w:tcW w:w="260" w:type="dxa"/>
            <w:vAlign w:val="bottom"/>
            <w:tcBorders>
              <w:bottom w:val="single" w:sz="8" w:color="0072AF"/>
            </w:tcBorders>
          </w:tcPr>
          <w:p>
            <w:pPr>
              <w:spacing w:after="0"/>
              <w:rPr>
                <w:sz w:val="7"/>
                <w:szCs w:val="7"/>
                <w:color w:val="auto"/>
              </w:rPr>
            </w:pPr>
          </w:p>
        </w:tc>
        <w:tc>
          <w:tcPr>
            <w:tcW w:w="2560" w:type="dxa"/>
            <w:vAlign w:val="bottom"/>
            <w:tcBorders>
              <w:bottom w:val="single" w:sz="8" w:color="0072AF"/>
            </w:tcBorders>
          </w:tcPr>
          <w:p>
            <w:pPr>
              <w:spacing w:after="0"/>
              <w:rPr>
                <w:sz w:val="7"/>
                <w:szCs w:val="7"/>
                <w:color w:val="auto"/>
              </w:rPr>
            </w:pPr>
          </w:p>
        </w:tc>
        <w:tc>
          <w:tcPr>
            <w:tcW w:w="180" w:type="dxa"/>
            <w:vAlign w:val="bottom"/>
            <w:tcBorders>
              <w:bottom w:val="single" w:sz="8" w:color="0072AF"/>
            </w:tcBorders>
          </w:tcPr>
          <w:p>
            <w:pPr>
              <w:spacing w:after="0"/>
              <w:rPr>
                <w:sz w:val="7"/>
                <w:szCs w:val="7"/>
                <w:color w:val="auto"/>
              </w:rPr>
            </w:pPr>
          </w:p>
        </w:tc>
        <w:tc>
          <w:tcPr>
            <w:tcW w:w="2700" w:type="dxa"/>
            <w:vAlign w:val="bottom"/>
            <w:tcBorders>
              <w:bottom w:val="single" w:sz="8" w:color="0072AF"/>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720" w:type="dxa"/>
            <w:vAlign w:val="bottom"/>
            <w:tcBorders>
              <w:left w:val="single" w:sz="8" w:color="0072AF"/>
              <w:right w:val="single" w:sz="8" w:color="0072AF"/>
            </w:tcBorders>
            <w:shd w:val="clear" w:color="auto" w:fill="BFD3E9"/>
          </w:tcPr>
          <w:p>
            <w:pPr>
              <w:spacing w:after="0"/>
              <w:rPr>
                <w:sz w:val="22"/>
                <w:szCs w:val="22"/>
                <w:color w:val="auto"/>
              </w:rPr>
            </w:pPr>
          </w:p>
        </w:tc>
        <w:tc>
          <w:tcPr>
            <w:tcW w:w="920" w:type="dxa"/>
            <w:vAlign w:val="bottom"/>
            <w:tcBorders>
              <w:right w:val="single" w:sz="8" w:color="0072AF"/>
            </w:tcBorders>
            <w:shd w:val="clear" w:color="auto" w:fill="BFD3E9"/>
          </w:tcPr>
          <w:p>
            <w:pPr>
              <w:spacing w:after="0"/>
              <w:rPr>
                <w:sz w:val="22"/>
                <w:szCs w:val="22"/>
                <w:color w:val="auto"/>
              </w:rPr>
            </w:pPr>
          </w:p>
        </w:tc>
        <w:tc>
          <w:tcPr>
            <w:tcW w:w="1840" w:type="dxa"/>
            <w:vAlign w:val="bottom"/>
          </w:tcPr>
          <w:p>
            <w:pPr>
              <w:ind w:left="100"/>
              <w:spacing w:after="0"/>
              <w:rPr>
                <w:sz w:val="20"/>
                <w:szCs w:val="20"/>
                <w:color w:val="auto"/>
              </w:rPr>
            </w:pPr>
            <w:r>
              <w:rPr>
                <w:rFonts w:ascii="Arial" w:cs="Arial" w:eastAsia="Arial" w:hAnsi="Arial"/>
                <w:sz w:val="16"/>
                <w:szCs w:val="16"/>
                <w:b w:val="1"/>
                <w:bCs w:val="1"/>
                <w:color w:val="auto"/>
              </w:rPr>
              <w:t>Performance-Based</w:t>
            </w:r>
          </w:p>
        </w:tc>
        <w:tc>
          <w:tcPr>
            <w:tcW w:w="260" w:type="dxa"/>
            <w:vAlign w:val="bottom"/>
          </w:tcPr>
          <w:p>
            <w:pPr>
              <w:ind w:left="140"/>
              <w:spacing w:after="0"/>
              <w:rPr>
                <w:sz w:val="20"/>
                <w:szCs w:val="20"/>
                <w:color w:val="auto"/>
              </w:rPr>
            </w:pPr>
            <w:r>
              <w:rPr>
                <w:rFonts w:ascii="Arial" w:cs="Arial" w:eastAsia="Arial" w:hAnsi="Arial"/>
                <w:sz w:val="16"/>
                <w:szCs w:val="16"/>
                <w:color w:val="0072AF"/>
              </w:rPr>
              <w:t>•</w:t>
            </w:r>
          </w:p>
        </w:tc>
        <w:tc>
          <w:tcPr>
            <w:tcW w:w="2560" w:type="dxa"/>
            <w:vAlign w:val="bottom"/>
          </w:tcPr>
          <w:p>
            <w:pPr>
              <w:ind w:left="40"/>
              <w:spacing w:after="0"/>
              <w:rPr>
                <w:sz w:val="20"/>
                <w:szCs w:val="20"/>
                <w:color w:val="auto"/>
              </w:rPr>
            </w:pPr>
            <w:r>
              <w:rPr>
                <w:rFonts w:ascii="Arial" w:cs="Arial" w:eastAsia="Arial" w:hAnsi="Arial"/>
                <w:sz w:val="16"/>
                <w:szCs w:val="16"/>
                <w:color w:val="auto"/>
              </w:rPr>
              <w:t>Performance-based equity</w:t>
            </w:r>
          </w:p>
        </w:tc>
        <w:tc>
          <w:tcPr>
            <w:tcW w:w="2880" w:type="dxa"/>
            <w:vAlign w:val="bottom"/>
            <w:gridSpan w:val="2"/>
          </w:tcPr>
          <w:p>
            <w:pPr>
              <w:ind w:left="60"/>
              <w:spacing w:after="0"/>
              <w:rPr>
                <w:sz w:val="20"/>
                <w:szCs w:val="20"/>
                <w:color w:val="auto"/>
              </w:rPr>
            </w:pPr>
            <w:r>
              <w:rPr>
                <w:rFonts w:ascii="Arial" w:cs="Arial" w:eastAsia="Arial" w:hAnsi="Arial"/>
                <w:sz w:val="16"/>
                <w:szCs w:val="16"/>
                <w:color w:val="0072AF"/>
              </w:rPr>
              <w:t xml:space="preserve">• </w:t>
            </w:r>
            <w:r>
              <w:rPr>
                <w:rFonts w:ascii="Arial" w:cs="Arial" w:eastAsia="Arial" w:hAnsi="Arial"/>
                <w:sz w:val="16"/>
                <w:szCs w:val="16"/>
                <w:color w:val="000000"/>
              </w:rPr>
              <w:t>Achievement of a pre-determined</w:t>
            </w:r>
          </w:p>
        </w:tc>
        <w:tc>
          <w:tcPr>
            <w:tcW w:w="0" w:type="dxa"/>
            <w:vAlign w:val="bottom"/>
          </w:tcPr>
          <w:p>
            <w:pPr>
              <w:spacing w:after="0"/>
              <w:rPr>
                <w:sz w:val="1"/>
                <w:szCs w:val="1"/>
                <w:color w:val="auto"/>
              </w:rPr>
            </w:pPr>
          </w:p>
        </w:tc>
      </w:tr>
      <w:tr>
        <w:trPr>
          <w:trHeight w:val="189"/>
        </w:trPr>
        <w:tc>
          <w:tcPr>
            <w:tcW w:w="720" w:type="dxa"/>
            <w:vAlign w:val="bottom"/>
            <w:tcBorders>
              <w:left w:val="single" w:sz="8" w:color="0072AF"/>
              <w:right w:val="single" w:sz="8" w:color="0072AF"/>
            </w:tcBorders>
            <w:shd w:val="clear" w:color="auto" w:fill="BFD3E9"/>
          </w:tcPr>
          <w:p>
            <w:pPr>
              <w:spacing w:after="0"/>
              <w:rPr>
                <w:sz w:val="16"/>
                <w:szCs w:val="16"/>
                <w:color w:val="auto"/>
              </w:rPr>
            </w:pPr>
          </w:p>
        </w:tc>
        <w:tc>
          <w:tcPr>
            <w:tcW w:w="920" w:type="dxa"/>
            <w:vAlign w:val="bottom"/>
            <w:tcBorders>
              <w:right w:val="single" w:sz="8" w:color="0072AF"/>
            </w:tcBorders>
            <w:shd w:val="clear" w:color="auto" w:fill="BFD3E9"/>
          </w:tcPr>
          <w:p>
            <w:pPr>
              <w:spacing w:after="0"/>
              <w:rPr>
                <w:sz w:val="16"/>
                <w:szCs w:val="16"/>
                <w:color w:val="auto"/>
              </w:rPr>
            </w:pPr>
          </w:p>
        </w:tc>
        <w:tc>
          <w:tcPr>
            <w:tcW w:w="1840" w:type="dxa"/>
            <w:vAlign w:val="bottom"/>
          </w:tcPr>
          <w:p>
            <w:pPr>
              <w:ind w:left="100"/>
              <w:spacing w:after="0"/>
              <w:rPr>
                <w:sz w:val="20"/>
                <w:szCs w:val="20"/>
                <w:color w:val="auto"/>
              </w:rPr>
            </w:pPr>
            <w:r>
              <w:rPr>
                <w:rFonts w:ascii="Arial" w:cs="Arial" w:eastAsia="Arial" w:hAnsi="Arial"/>
                <w:sz w:val="16"/>
                <w:szCs w:val="16"/>
                <w:b w:val="1"/>
                <w:bCs w:val="1"/>
                <w:color w:val="auto"/>
              </w:rPr>
              <w:t>RSUs</w:t>
            </w:r>
          </w:p>
        </w:tc>
        <w:tc>
          <w:tcPr>
            <w:tcW w:w="260" w:type="dxa"/>
            <w:vAlign w:val="bottom"/>
          </w:tcPr>
          <w:p>
            <w:pPr>
              <w:spacing w:after="0"/>
              <w:rPr>
                <w:sz w:val="16"/>
                <w:szCs w:val="16"/>
                <w:color w:val="auto"/>
              </w:rPr>
            </w:pPr>
          </w:p>
        </w:tc>
        <w:tc>
          <w:tcPr>
            <w:tcW w:w="2560" w:type="dxa"/>
            <w:vAlign w:val="bottom"/>
          </w:tcPr>
          <w:p>
            <w:pPr>
              <w:ind w:left="40"/>
              <w:spacing w:after="0"/>
              <w:rPr>
                <w:sz w:val="20"/>
                <w:szCs w:val="20"/>
                <w:color w:val="auto"/>
              </w:rPr>
            </w:pPr>
            <w:r>
              <w:rPr>
                <w:rFonts w:ascii="Arial" w:cs="Arial" w:eastAsia="Arial" w:hAnsi="Arial"/>
                <w:sz w:val="16"/>
                <w:szCs w:val="16"/>
                <w:color w:val="auto"/>
              </w:rPr>
              <w:t>compensation measured on a</w:t>
            </w:r>
          </w:p>
        </w:tc>
        <w:tc>
          <w:tcPr>
            <w:tcW w:w="180" w:type="dxa"/>
            <w:vAlign w:val="bottom"/>
          </w:tcPr>
          <w:p>
            <w:pPr>
              <w:spacing w:after="0"/>
              <w:rPr>
                <w:sz w:val="16"/>
                <w:szCs w:val="16"/>
                <w:color w:val="auto"/>
              </w:rPr>
            </w:pPr>
          </w:p>
        </w:tc>
        <w:tc>
          <w:tcPr>
            <w:tcW w:w="2700" w:type="dxa"/>
            <w:vAlign w:val="bottom"/>
          </w:tcPr>
          <w:p>
            <w:pPr>
              <w:ind w:left="40"/>
              <w:spacing w:after="0"/>
              <w:rPr>
                <w:sz w:val="20"/>
                <w:szCs w:val="20"/>
                <w:color w:val="auto"/>
              </w:rPr>
            </w:pPr>
            <w:r>
              <w:rPr>
                <w:rFonts w:ascii="Arial" w:cs="Arial" w:eastAsia="Arial" w:hAnsi="Arial"/>
                <w:sz w:val="16"/>
                <w:szCs w:val="16"/>
                <w:color w:val="auto"/>
              </w:rPr>
              <w:t>performance objective established at</w:t>
            </w:r>
          </w:p>
        </w:tc>
        <w:tc>
          <w:tcPr>
            <w:tcW w:w="0" w:type="dxa"/>
            <w:vAlign w:val="bottom"/>
          </w:tcPr>
          <w:p>
            <w:pPr>
              <w:spacing w:after="0"/>
              <w:rPr>
                <w:sz w:val="1"/>
                <w:szCs w:val="1"/>
                <w:color w:val="auto"/>
              </w:rPr>
            </w:pPr>
          </w:p>
        </w:tc>
      </w:tr>
      <w:tr>
        <w:trPr>
          <w:trHeight w:val="215"/>
        </w:trPr>
        <w:tc>
          <w:tcPr>
            <w:tcW w:w="720" w:type="dxa"/>
            <w:vAlign w:val="bottom"/>
            <w:tcBorders>
              <w:left w:val="single" w:sz="8" w:color="0072AF"/>
              <w:right w:val="single" w:sz="8" w:color="0072AF"/>
            </w:tcBorders>
            <w:shd w:val="clear" w:color="auto" w:fill="BFD3E9"/>
          </w:tcPr>
          <w:p>
            <w:pPr>
              <w:spacing w:after="0"/>
              <w:rPr>
                <w:sz w:val="18"/>
                <w:szCs w:val="18"/>
                <w:color w:val="auto"/>
              </w:rPr>
            </w:pPr>
          </w:p>
        </w:tc>
        <w:tc>
          <w:tcPr>
            <w:tcW w:w="920" w:type="dxa"/>
            <w:vAlign w:val="bottom"/>
            <w:tcBorders>
              <w:right w:val="single" w:sz="8" w:color="0072AF"/>
            </w:tcBorders>
            <w:shd w:val="clear" w:color="auto" w:fill="BFD3E9"/>
          </w:tcPr>
          <w:p>
            <w:pPr>
              <w:spacing w:after="0"/>
              <w:rPr>
                <w:sz w:val="18"/>
                <w:szCs w:val="18"/>
                <w:color w:val="auto"/>
              </w:rPr>
            </w:pP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tcPr>
          <w:p>
            <w:pPr>
              <w:ind w:left="40"/>
              <w:spacing w:after="0"/>
              <w:rPr>
                <w:sz w:val="20"/>
                <w:szCs w:val="20"/>
                <w:color w:val="auto"/>
              </w:rPr>
            </w:pPr>
            <w:r>
              <w:rPr>
                <w:rFonts w:ascii="Arial" w:cs="Arial" w:eastAsia="Arial" w:hAnsi="Arial"/>
                <w:sz w:val="16"/>
                <w:szCs w:val="16"/>
                <w:color w:val="auto"/>
              </w:rPr>
              <w:t>threshold financial target</w:t>
            </w:r>
          </w:p>
        </w:tc>
        <w:tc>
          <w:tcPr>
            <w:tcW w:w="180" w:type="dxa"/>
            <w:vAlign w:val="bottom"/>
          </w:tcPr>
          <w:p>
            <w:pPr>
              <w:spacing w:after="0"/>
              <w:rPr>
                <w:sz w:val="18"/>
                <w:szCs w:val="18"/>
                <w:color w:val="auto"/>
              </w:rPr>
            </w:pPr>
          </w:p>
        </w:tc>
        <w:tc>
          <w:tcPr>
            <w:tcW w:w="2700" w:type="dxa"/>
            <w:vAlign w:val="bottom"/>
          </w:tcPr>
          <w:p>
            <w:pPr>
              <w:ind w:left="40"/>
              <w:spacing w:after="0"/>
              <w:rPr>
                <w:sz w:val="20"/>
                <w:szCs w:val="20"/>
                <w:color w:val="auto"/>
              </w:rPr>
            </w:pPr>
            <w:r>
              <w:rPr>
                <w:rFonts w:ascii="Arial" w:cs="Arial" w:eastAsia="Arial" w:hAnsi="Arial"/>
                <w:sz w:val="16"/>
                <w:szCs w:val="16"/>
                <w:color w:val="auto"/>
              </w:rPr>
              <w:t>time of grant</w:t>
            </w:r>
          </w:p>
        </w:tc>
        <w:tc>
          <w:tcPr>
            <w:tcW w:w="0" w:type="dxa"/>
            <w:vAlign w:val="bottom"/>
          </w:tcPr>
          <w:p>
            <w:pPr>
              <w:spacing w:after="0"/>
              <w:rPr>
                <w:sz w:val="1"/>
                <w:szCs w:val="1"/>
                <w:color w:val="auto"/>
              </w:rPr>
            </w:pPr>
          </w:p>
        </w:tc>
      </w:tr>
      <w:tr>
        <w:trPr>
          <w:trHeight w:val="500"/>
        </w:trPr>
        <w:tc>
          <w:tcPr>
            <w:tcW w:w="720" w:type="dxa"/>
            <w:vAlign w:val="bottom"/>
            <w:tcBorders>
              <w:left w:val="single" w:sz="8" w:color="0072AF"/>
              <w:right w:val="single" w:sz="8" w:color="0072AF"/>
            </w:tcBorders>
            <w:shd w:val="clear" w:color="auto" w:fill="BFD3E9"/>
          </w:tcPr>
          <w:p>
            <w:pPr>
              <w:spacing w:after="0"/>
              <w:rPr>
                <w:sz w:val="24"/>
                <w:szCs w:val="24"/>
                <w:color w:val="auto"/>
              </w:rPr>
            </w:pPr>
          </w:p>
        </w:tc>
        <w:tc>
          <w:tcPr>
            <w:tcW w:w="920" w:type="dxa"/>
            <w:vAlign w:val="bottom"/>
            <w:tcBorders>
              <w:right w:val="single" w:sz="8" w:color="0072AF"/>
            </w:tcBorders>
            <w:shd w:val="clear" w:color="auto" w:fill="BFD3E9"/>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Arial" w:cs="Arial" w:eastAsia="Arial" w:hAnsi="Arial"/>
                <w:sz w:val="16"/>
                <w:szCs w:val="16"/>
                <w:color w:val="0072AF"/>
              </w:rPr>
              <w:t>•</w:t>
            </w:r>
          </w:p>
        </w:tc>
        <w:tc>
          <w:tcPr>
            <w:tcW w:w="2700" w:type="dxa"/>
            <w:vAlign w:val="bottom"/>
          </w:tcPr>
          <w:p>
            <w:pPr>
              <w:ind w:left="40"/>
              <w:spacing w:after="0"/>
              <w:rPr>
                <w:sz w:val="20"/>
                <w:szCs w:val="20"/>
                <w:color w:val="auto"/>
              </w:rPr>
            </w:pPr>
            <w:r>
              <w:rPr>
                <w:rFonts w:ascii="Arial" w:cs="Arial" w:eastAsia="Arial" w:hAnsi="Arial"/>
                <w:sz w:val="16"/>
                <w:szCs w:val="16"/>
                <w:color w:val="auto"/>
              </w:rPr>
              <w:t>An increase in Company stock value</w:t>
            </w:r>
          </w:p>
        </w:tc>
        <w:tc>
          <w:tcPr>
            <w:tcW w:w="0" w:type="dxa"/>
            <w:vAlign w:val="bottom"/>
          </w:tcPr>
          <w:p>
            <w:pPr>
              <w:spacing w:after="0"/>
              <w:rPr>
                <w:sz w:val="1"/>
                <w:szCs w:val="1"/>
                <w:color w:val="auto"/>
              </w:rPr>
            </w:pPr>
          </w:p>
        </w:tc>
      </w:tr>
      <w:tr>
        <w:trPr>
          <w:trHeight w:val="96"/>
        </w:trPr>
        <w:tc>
          <w:tcPr>
            <w:tcW w:w="720" w:type="dxa"/>
            <w:vAlign w:val="bottom"/>
            <w:tcBorders>
              <w:left w:val="single" w:sz="8" w:color="0072AF"/>
              <w:bottom w:val="single" w:sz="8" w:color="0072AF"/>
              <w:right w:val="single" w:sz="8" w:color="0072AF"/>
            </w:tcBorders>
            <w:shd w:val="clear" w:color="auto" w:fill="BFD3E9"/>
          </w:tcPr>
          <w:p>
            <w:pPr>
              <w:spacing w:after="0"/>
              <w:rPr>
                <w:sz w:val="8"/>
                <w:szCs w:val="8"/>
                <w:color w:val="auto"/>
              </w:rPr>
            </w:pPr>
          </w:p>
        </w:tc>
        <w:tc>
          <w:tcPr>
            <w:tcW w:w="920" w:type="dxa"/>
            <w:vAlign w:val="bottom"/>
            <w:tcBorders>
              <w:bottom w:val="single" w:sz="8" w:color="0072AF"/>
              <w:right w:val="single" w:sz="8" w:color="0072AF"/>
            </w:tcBorders>
            <w:shd w:val="clear" w:color="auto" w:fill="BFD3E9"/>
          </w:tcPr>
          <w:p>
            <w:pPr>
              <w:spacing w:after="0"/>
              <w:rPr>
                <w:sz w:val="8"/>
                <w:szCs w:val="8"/>
                <w:color w:val="auto"/>
              </w:rPr>
            </w:pPr>
          </w:p>
        </w:tc>
        <w:tc>
          <w:tcPr>
            <w:tcW w:w="1840" w:type="dxa"/>
            <w:vAlign w:val="bottom"/>
            <w:tcBorders>
              <w:bottom w:val="single" w:sz="8" w:color="0072AF"/>
            </w:tcBorders>
          </w:tcPr>
          <w:p>
            <w:pPr>
              <w:spacing w:after="0"/>
              <w:rPr>
                <w:sz w:val="8"/>
                <w:szCs w:val="8"/>
                <w:color w:val="auto"/>
              </w:rPr>
            </w:pPr>
          </w:p>
        </w:tc>
        <w:tc>
          <w:tcPr>
            <w:tcW w:w="260" w:type="dxa"/>
            <w:vAlign w:val="bottom"/>
            <w:tcBorders>
              <w:bottom w:val="single" w:sz="8" w:color="0072AF"/>
            </w:tcBorders>
          </w:tcPr>
          <w:p>
            <w:pPr>
              <w:spacing w:after="0"/>
              <w:rPr>
                <w:sz w:val="8"/>
                <w:szCs w:val="8"/>
                <w:color w:val="auto"/>
              </w:rPr>
            </w:pPr>
          </w:p>
        </w:tc>
        <w:tc>
          <w:tcPr>
            <w:tcW w:w="2560" w:type="dxa"/>
            <w:vAlign w:val="bottom"/>
            <w:tcBorders>
              <w:bottom w:val="single" w:sz="8" w:color="0072AF"/>
            </w:tcBorders>
          </w:tcPr>
          <w:p>
            <w:pPr>
              <w:spacing w:after="0"/>
              <w:rPr>
                <w:sz w:val="8"/>
                <w:szCs w:val="8"/>
                <w:color w:val="auto"/>
              </w:rPr>
            </w:pPr>
          </w:p>
        </w:tc>
        <w:tc>
          <w:tcPr>
            <w:tcW w:w="180" w:type="dxa"/>
            <w:vAlign w:val="bottom"/>
            <w:tcBorders>
              <w:bottom w:val="single" w:sz="8" w:color="0072AF"/>
            </w:tcBorders>
          </w:tcPr>
          <w:p>
            <w:pPr>
              <w:spacing w:after="0"/>
              <w:rPr>
                <w:sz w:val="8"/>
                <w:szCs w:val="8"/>
                <w:color w:val="auto"/>
              </w:rPr>
            </w:pPr>
          </w:p>
        </w:tc>
        <w:tc>
          <w:tcPr>
            <w:tcW w:w="2700" w:type="dxa"/>
            <w:vAlign w:val="bottom"/>
            <w:tcBorders>
              <w:bottom w:val="single" w:sz="8" w:color="0072AF"/>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divides performance-based compensation into annual and three-year performance components to incentivize management to strike an appropriate balance between the short and long-term performance of the Company. The 2023 annual and long-term incentive plans reflect this balance and worked as designed to reflect the Company’s performance.</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We also provide other benefits for our NEOs. For additional information, please see “Other Indirect Compensation” on page </w:t>
      </w:r>
      <w:r>
        <w:rPr>
          <w:rFonts w:ascii="Arial" w:cs="Arial" w:eastAsia="Arial" w:hAnsi="Arial"/>
          <w:sz w:val="18"/>
          <w:szCs w:val="18"/>
          <w:u w:val="single" w:color="auto"/>
          <w:color w:val="0000EE"/>
        </w:rPr>
        <w:t>68</w:t>
      </w:r>
      <w:r>
        <w:rPr>
          <w:rFonts w:ascii="Arial" w:cs="Arial" w:eastAsia="Arial" w:hAnsi="Arial"/>
          <w:sz w:val="18"/>
          <w:szCs w:val="18"/>
          <w:color w:val="auto"/>
        </w:rPr>
        <w:t xml:space="preserve"> of this Proxy Statement.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61" w:name="page62"/>
    <w:bookmarkEnd w:id="61"/>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175260</wp:posOffset>
            </wp:positionV>
            <wp:extent cx="58293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8"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0072AF"/>
        </w:rPr>
        <w:t>2023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58293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ind w:left="6" w:right="20"/>
        <w:spacing w:after="0" w:line="247" w:lineRule="auto"/>
        <w:rPr>
          <w:sz w:val="20"/>
          <w:szCs w:val="20"/>
          <w:color w:val="auto"/>
        </w:rPr>
      </w:pPr>
      <w:r>
        <w:rPr>
          <w:rFonts w:ascii="Arial" w:cs="Arial" w:eastAsia="Arial" w:hAnsi="Arial"/>
          <w:sz w:val="18"/>
          <w:szCs w:val="18"/>
          <w:color w:val="auto"/>
        </w:rPr>
        <w:t>We believe our executive compensation program demonstrates a strong link between pay and performance in its design and exhibits strong pay governance practices. The following chart illustrates that 74% of the Interim CEO’s pay is performance based. Likewise, the average pay of our NEOs (other than the Interim and former CEO) is 74% performance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208280</wp:posOffset>
            </wp:positionV>
            <wp:extent cx="5092065" cy="19888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09206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
        <w:spacing w:after="0"/>
        <w:rPr>
          <w:sz w:val="20"/>
          <w:szCs w:val="20"/>
          <w:color w:val="auto"/>
        </w:rPr>
      </w:pPr>
      <w:r>
        <w:rPr>
          <w:rFonts w:ascii="Arial" w:cs="Arial" w:eastAsia="Arial" w:hAnsi="Arial"/>
          <w:sz w:val="18"/>
          <w:szCs w:val="18"/>
          <w:color w:val="auto"/>
        </w:rPr>
        <w:t> </w:t>
      </w:r>
    </w:p>
    <w:p>
      <w:pPr>
        <w:spacing w:after="0" w:line="171" w:lineRule="exact"/>
        <w:rPr>
          <w:sz w:val="20"/>
          <w:szCs w:val="20"/>
          <w:color w:val="auto"/>
        </w:rPr>
      </w:pPr>
    </w:p>
    <w:p>
      <w:pPr>
        <w:jc w:val="both"/>
        <w:ind w:left="6" w:right="20"/>
        <w:spacing w:after="0" w:line="275" w:lineRule="auto"/>
        <w:rPr>
          <w:sz w:val="20"/>
          <w:szCs w:val="20"/>
          <w:color w:val="auto"/>
        </w:rPr>
      </w:pPr>
      <w:r>
        <w:rPr>
          <w:rFonts w:ascii="Arial" w:cs="Arial" w:eastAsia="Arial" w:hAnsi="Arial"/>
          <w:sz w:val="17"/>
          <w:szCs w:val="17"/>
          <w:color w:val="auto"/>
        </w:rPr>
        <w:t>The table below shows the annual base salaries, target annual incentive opportunity, and target long-term incentive opportunity as of December 31, 2023, for our NEOs as set by the Committee, which were determined based on the scope of their responsibilities, their leadership skills and values, and their performance and length of service.</w:t>
      </w:r>
    </w:p>
    <w:p>
      <w:pPr>
        <w:spacing w:after="0" w:line="13"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230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2023 NEO</w:t>
            </w:r>
            <w:r>
              <w:rPr>
                <w:rFonts w:ascii="Arial" w:cs="Arial" w:eastAsia="Arial" w:hAnsi="Arial"/>
                <w:sz w:val="23"/>
                <w:szCs w:val="23"/>
                <w:b w:val="1"/>
                <w:bCs w:val="1"/>
                <w:color w:val="auto"/>
                <w:vertAlign w:val="superscript"/>
              </w:rPr>
              <w:t>(1)</w:t>
            </w:r>
          </w:p>
        </w:tc>
        <w:tc>
          <w:tcPr>
            <w:tcW w:w="2320" w:type="dxa"/>
            <w:vAlign w:val="bottom"/>
          </w:tcPr>
          <w:p>
            <w:pPr>
              <w:jc w:val="right"/>
              <w:ind w:right="681"/>
              <w:spacing w:after="0"/>
              <w:rPr>
                <w:sz w:val="20"/>
                <w:szCs w:val="20"/>
                <w:color w:val="auto"/>
              </w:rPr>
            </w:pPr>
            <w:r>
              <w:rPr>
                <w:rFonts w:ascii="Arial" w:cs="Arial" w:eastAsia="Arial" w:hAnsi="Arial"/>
                <w:sz w:val="14"/>
                <w:szCs w:val="14"/>
                <w:b w:val="1"/>
                <w:bCs w:val="1"/>
                <w:color w:val="auto"/>
              </w:rPr>
              <w:t>Annual Base</w:t>
            </w:r>
          </w:p>
        </w:tc>
        <w:tc>
          <w:tcPr>
            <w:tcW w:w="2320" w:type="dxa"/>
            <w:vAlign w:val="bottom"/>
          </w:tcPr>
          <w:p>
            <w:pPr>
              <w:jc w:val="right"/>
              <w:ind w:right="641"/>
              <w:spacing w:after="0"/>
              <w:rPr>
                <w:sz w:val="20"/>
                <w:szCs w:val="20"/>
                <w:color w:val="auto"/>
              </w:rPr>
            </w:pPr>
            <w:r>
              <w:rPr>
                <w:rFonts w:ascii="Arial" w:cs="Arial" w:eastAsia="Arial" w:hAnsi="Arial"/>
                <w:sz w:val="14"/>
                <w:szCs w:val="14"/>
                <w:b w:val="1"/>
                <w:bCs w:val="1"/>
                <w:color w:val="auto"/>
              </w:rPr>
              <w:t>Target Annual</w:t>
            </w:r>
          </w:p>
        </w:tc>
        <w:tc>
          <w:tcPr>
            <w:tcW w:w="2240" w:type="dxa"/>
            <w:vAlign w:val="bottom"/>
          </w:tcPr>
          <w:p>
            <w:pPr>
              <w:jc w:val="right"/>
              <w:ind w:right="481"/>
              <w:spacing w:after="0"/>
              <w:rPr>
                <w:sz w:val="20"/>
                <w:szCs w:val="20"/>
                <w:color w:val="auto"/>
              </w:rPr>
            </w:pPr>
            <w:r>
              <w:rPr>
                <w:rFonts w:ascii="Arial" w:cs="Arial" w:eastAsia="Arial" w:hAnsi="Arial"/>
                <w:sz w:val="14"/>
                <w:szCs w:val="14"/>
                <w:b w:val="1"/>
                <w:bCs w:val="1"/>
                <w:color w:val="auto"/>
              </w:rPr>
              <w:t>Target Long-Term</w:t>
            </w:r>
          </w:p>
        </w:tc>
        <w:tc>
          <w:tcPr>
            <w:tcW w:w="0" w:type="dxa"/>
            <w:vAlign w:val="bottom"/>
          </w:tcPr>
          <w:p>
            <w:pPr>
              <w:spacing w:after="0"/>
              <w:rPr>
                <w:sz w:val="1"/>
                <w:szCs w:val="1"/>
                <w:color w:val="auto"/>
              </w:rPr>
            </w:pPr>
          </w:p>
        </w:tc>
      </w:tr>
      <w:tr>
        <w:trPr>
          <w:trHeight w:val="252"/>
        </w:trPr>
        <w:tc>
          <w:tcPr>
            <w:tcW w:w="2300" w:type="dxa"/>
            <w:vAlign w:val="bottom"/>
            <w:tcBorders>
              <w:bottom w:val="single" w:sz="8" w:color="0072AF"/>
            </w:tcBorders>
            <w:vMerge w:val="continue"/>
          </w:tcPr>
          <w:p>
            <w:pPr>
              <w:spacing w:after="0"/>
              <w:rPr>
                <w:sz w:val="21"/>
                <w:szCs w:val="21"/>
                <w:color w:val="auto"/>
              </w:rPr>
            </w:pPr>
          </w:p>
        </w:tc>
        <w:tc>
          <w:tcPr>
            <w:tcW w:w="2320" w:type="dxa"/>
            <w:vAlign w:val="bottom"/>
            <w:tcBorders>
              <w:bottom w:val="single" w:sz="8" w:color="0072AF"/>
            </w:tcBorders>
          </w:tcPr>
          <w:p>
            <w:pPr>
              <w:jc w:val="right"/>
              <w:ind w:right="781"/>
              <w:spacing w:after="0"/>
              <w:rPr>
                <w:sz w:val="20"/>
                <w:szCs w:val="20"/>
                <w:color w:val="auto"/>
              </w:rPr>
            </w:pPr>
            <w:r>
              <w:rPr>
                <w:rFonts w:ascii="Arial" w:cs="Arial" w:eastAsia="Arial" w:hAnsi="Arial"/>
                <w:sz w:val="14"/>
                <w:szCs w:val="14"/>
                <w:b w:val="1"/>
                <w:bCs w:val="1"/>
                <w:color w:val="auto"/>
              </w:rPr>
              <w:t>Salary ($)</w:t>
            </w:r>
          </w:p>
        </w:tc>
        <w:tc>
          <w:tcPr>
            <w:tcW w:w="2320" w:type="dxa"/>
            <w:vAlign w:val="bottom"/>
            <w:tcBorders>
              <w:bottom w:val="single" w:sz="8" w:color="0072AF"/>
            </w:tcBorders>
          </w:tcPr>
          <w:p>
            <w:pPr>
              <w:jc w:val="right"/>
              <w:ind w:right="681"/>
              <w:spacing w:after="0"/>
              <w:rPr>
                <w:sz w:val="20"/>
                <w:szCs w:val="20"/>
                <w:color w:val="auto"/>
              </w:rPr>
            </w:pPr>
            <w:r>
              <w:rPr>
                <w:rFonts w:ascii="Arial" w:cs="Arial" w:eastAsia="Arial" w:hAnsi="Arial"/>
                <w:sz w:val="14"/>
                <w:szCs w:val="14"/>
                <w:b w:val="1"/>
                <w:bCs w:val="1"/>
                <w:color w:val="auto"/>
              </w:rPr>
              <w:t>Incentive ($)</w:t>
            </w:r>
          </w:p>
        </w:tc>
        <w:tc>
          <w:tcPr>
            <w:tcW w:w="2240" w:type="dxa"/>
            <w:vAlign w:val="bottom"/>
            <w:tcBorders>
              <w:bottom w:val="single" w:sz="8" w:color="0072AF"/>
            </w:tcBorders>
          </w:tcPr>
          <w:p>
            <w:pPr>
              <w:jc w:val="right"/>
              <w:ind w:right="641"/>
              <w:spacing w:after="0"/>
              <w:rPr>
                <w:sz w:val="20"/>
                <w:szCs w:val="20"/>
                <w:color w:val="auto"/>
              </w:rPr>
            </w:pPr>
            <w:r>
              <w:rPr>
                <w:rFonts w:ascii="Arial" w:cs="Arial" w:eastAsia="Arial" w:hAnsi="Arial"/>
                <w:sz w:val="14"/>
                <w:szCs w:val="14"/>
                <w:b w:val="1"/>
                <w:bCs w:val="1"/>
                <w:color w:val="auto"/>
              </w:rPr>
              <w:t>Incentive ($)</w:t>
            </w:r>
          </w:p>
        </w:tc>
        <w:tc>
          <w:tcPr>
            <w:tcW w:w="0" w:type="dxa"/>
            <w:vAlign w:val="bottom"/>
          </w:tcPr>
          <w:p>
            <w:pPr>
              <w:spacing w:after="0"/>
              <w:rPr>
                <w:sz w:val="1"/>
                <w:szCs w:val="1"/>
                <w:color w:val="auto"/>
              </w:rPr>
            </w:pPr>
          </w:p>
        </w:tc>
      </w:tr>
      <w:tr>
        <w:trPr>
          <w:trHeight w:val="311"/>
        </w:trPr>
        <w:tc>
          <w:tcPr>
            <w:tcW w:w="2300" w:type="dxa"/>
            <w:vAlign w:val="bottom"/>
            <w:tcBorders>
              <w:right w:val="single" w:sz="8" w:color="0072AF"/>
            </w:tcBorders>
          </w:tcPr>
          <w:p>
            <w:pPr>
              <w:jc w:val="right"/>
              <w:ind w:right="40"/>
              <w:spacing w:after="0"/>
              <w:rPr>
                <w:sz w:val="20"/>
                <w:szCs w:val="20"/>
                <w:color w:val="auto"/>
              </w:rPr>
            </w:pPr>
            <w:r>
              <w:rPr>
                <w:rFonts w:ascii="Arial" w:cs="Arial" w:eastAsia="Arial" w:hAnsi="Arial"/>
                <w:sz w:val="16"/>
                <w:szCs w:val="16"/>
                <w:color w:val="auto"/>
              </w:rPr>
              <w:t>Jason Dies</w:t>
            </w:r>
          </w:p>
        </w:tc>
        <w:tc>
          <w:tcPr>
            <w:tcW w:w="2320" w:type="dxa"/>
            <w:vAlign w:val="bottom"/>
            <w:tcBorders>
              <w:bottom w:val="single" w:sz="8" w:color="CBCEE0"/>
              <w:right w:val="single" w:sz="8" w:color="0072AF"/>
            </w:tcBorders>
            <w:shd w:val="clear" w:color="auto" w:fill="CBCEE0"/>
          </w:tcPr>
          <w:p>
            <w:pPr>
              <w:jc w:val="right"/>
              <w:ind w:right="741"/>
              <w:spacing w:after="0"/>
              <w:rPr>
                <w:sz w:val="20"/>
                <w:szCs w:val="20"/>
                <w:color w:val="auto"/>
              </w:rPr>
            </w:pPr>
            <w:r>
              <w:rPr>
                <w:rFonts w:ascii="Arial" w:cs="Arial" w:eastAsia="Arial" w:hAnsi="Arial"/>
                <w:sz w:val="16"/>
                <w:szCs w:val="16"/>
                <w:color w:val="auto"/>
              </w:rPr>
              <w:t>875,000</w:t>
            </w:r>
          </w:p>
        </w:tc>
        <w:tc>
          <w:tcPr>
            <w:tcW w:w="2320" w:type="dxa"/>
            <w:vAlign w:val="bottom"/>
            <w:tcBorders>
              <w:bottom w:val="single" w:sz="8" w:color="CBCEE0"/>
              <w:right w:val="single" w:sz="8" w:color="0072AF"/>
            </w:tcBorders>
            <w:shd w:val="clear" w:color="auto" w:fill="CBCEE0"/>
          </w:tcPr>
          <w:p>
            <w:pPr>
              <w:jc w:val="right"/>
              <w:ind w:right="741"/>
              <w:spacing w:after="0"/>
              <w:rPr>
                <w:sz w:val="20"/>
                <w:szCs w:val="20"/>
                <w:color w:val="auto"/>
              </w:rPr>
            </w:pPr>
            <w:r>
              <w:rPr>
                <w:rFonts w:ascii="Arial" w:cs="Arial" w:eastAsia="Arial" w:hAnsi="Arial"/>
                <w:sz w:val="16"/>
                <w:szCs w:val="16"/>
                <w:color w:val="auto"/>
              </w:rPr>
              <w:t>700,000</w:t>
            </w:r>
          </w:p>
        </w:tc>
        <w:tc>
          <w:tcPr>
            <w:tcW w:w="2240" w:type="dxa"/>
            <w:vAlign w:val="bottom"/>
            <w:tcBorders>
              <w:bottom w:val="single" w:sz="8" w:color="CBCEE0"/>
              <w:right w:val="single" w:sz="8" w:color="0072AF"/>
            </w:tcBorders>
            <w:shd w:val="clear" w:color="auto" w:fill="CBCEE0"/>
          </w:tcPr>
          <w:p>
            <w:pPr>
              <w:jc w:val="right"/>
              <w:ind w:right="661"/>
              <w:spacing w:after="0"/>
              <w:rPr>
                <w:sz w:val="20"/>
                <w:szCs w:val="20"/>
                <w:color w:val="auto"/>
              </w:rPr>
            </w:pPr>
            <w:r>
              <w:rPr>
                <w:rFonts w:ascii="Arial" w:cs="Arial" w:eastAsia="Arial" w:hAnsi="Arial"/>
                <w:sz w:val="16"/>
                <w:szCs w:val="16"/>
                <w:color w:val="auto"/>
              </w:rPr>
              <w:t>1,800,000</w:t>
            </w:r>
          </w:p>
        </w:tc>
        <w:tc>
          <w:tcPr>
            <w:tcW w:w="0" w:type="dxa"/>
            <w:vAlign w:val="bottom"/>
          </w:tcPr>
          <w:p>
            <w:pPr>
              <w:spacing w:after="0"/>
              <w:rPr>
                <w:sz w:val="1"/>
                <w:szCs w:val="1"/>
                <w:color w:val="auto"/>
              </w:rPr>
            </w:pPr>
          </w:p>
        </w:tc>
      </w:tr>
      <w:tr>
        <w:trPr>
          <w:trHeight w:val="268"/>
        </w:trPr>
        <w:tc>
          <w:tcPr>
            <w:tcW w:w="2300" w:type="dxa"/>
            <w:vAlign w:val="bottom"/>
            <w:tcBorders>
              <w:right w:val="single" w:sz="8" w:color="0072AF"/>
            </w:tcBorders>
          </w:tcPr>
          <w:p>
            <w:pPr>
              <w:jc w:val="right"/>
              <w:ind w:right="40"/>
              <w:spacing w:after="0"/>
              <w:rPr>
                <w:sz w:val="20"/>
                <w:szCs w:val="20"/>
                <w:color w:val="auto"/>
              </w:rPr>
            </w:pPr>
            <w:r>
              <w:rPr>
                <w:rFonts w:ascii="Arial" w:cs="Arial" w:eastAsia="Arial" w:hAnsi="Arial"/>
                <w:sz w:val="16"/>
                <w:szCs w:val="16"/>
                <w:color w:val="auto"/>
              </w:rPr>
              <w:t>Ana Chadwick</w:t>
            </w:r>
          </w:p>
        </w:tc>
        <w:tc>
          <w:tcPr>
            <w:tcW w:w="2320" w:type="dxa"/>
            <w:vAlign w:val="bottom"/>
            <w:tcBorders>
              <w:right w:val="single" w:sz="8" w:color="0072AF"/>
            </w:tcBorders>
          </w:tcPr>
          <w:p>
            <w:pPr>
              <w:jc w:val="right"/>
              <w:ind w:right="741"/>
              <w:spacing w:after="0"/>
              <w:rPr>
                <w:sz w:val="20"/>
                <w:szCs w:val="20"/>
                <w:color w:val="auto"/>
              </w:rPr>
            </w:pPr>
            <w:r>
              <w:rPr>
                <w:rFonts w:ascii="Arial" w:cs="Arial" w:eastAsia="Arial" w:hAnsi="Arial"/>
                <w:sz w:val="16"/>
                <w:szCs w:val="16"/>
                <w:color w:val="auto"/>
              </w:rPr>
              <w:t>610,018</w:t>
            </w:r>
          </w:p>
        </w:tc>
        <w:tc>
          <w:tcPr>
            <w:tcW w:w="2320" w:type="dxa"/>
            <w:vAlign w:val="bottom"/>
            <w:tcBorders>
              <w:right w:val="single" w:sz="8" w:color="0072AF"/>
            </w:tcBorders>
          </w:tcPr>
          <w:p>
            <w:pPr>
              <w:jc w:val="right"/>
              <w:ind w:right="741"/>
              <w:spacing w:after="0"/>
              <w:rPr>
                <w:sz w:val="20"/>
                <w:szCs w:val="20"/>
                <w:color w:val="auto"/>
              </w:rPr>
            </w:pPr>
            <w:r>
              <w:rPr>
                <w:rFonts w:ascii="Arial" w:cs="Arial" w:eastAsia="Arial" w:hAnsi="Arial"/>
                <w:sz w:val="16"/>
                <w:szCs w:val="16"/>
                <w:color w:val="auto"/>
              </w:rPr>
              <w:t>488,014</w:t>
            </w:r>
          </w:p>
        </w:tc>
        <w:tc>
          <w:tcPr>
            <w:tcW w:w="2240" w:type="dxa"/>
            <w:vAlign w:val="bottom"/>
            <w:tcBorders>
              <w:right w:val="single" w:sz="8" w:color="0072AF"/>
            </w:tcBorders>
          </w:tcPr>
          <w:p>
            <w:pPr>
              <w:jc w:val="right"/>
              <w:ind w:right="661"/>
              <w:spacing w:after="0"/>
              <w:rPr>
                <w:sz w:val="20"/>
                <w:szCs w:val="20"/>
                <w:color w:val="auto"/>
              </w:rPr>
            </w:pPr>
            <w:r>
              <w:rPr>
                <w:rFonts w:ascii="Arial" w:cs="Arial" w:eastAsia="Arial" w:hAnsi="Arial"/>
                <w:sz w:val="16"/>
                <w:szCs w:val="16"/>
                <w:color w:val="auto"/>
              </w:rPr>
              <w:t>1,250,000</w:t>
            </w:r>
          </w:p>
        </w:tc>
        <w:tc>
          <w:tcPr>
            <w:tcW w:w="0" w:type="dxa"/>
            <w:vAlign w:val="bottom"/>
          </w:tcPr>
          <w:p>
            <w:pPr>
              <w:spacing w:after="0"/>
              <w:rPr>
                <w:sz w:val="1"/>
                <w:szCs w:val="1"/>
                <w:color w:val="auto"/>
              </w:rPr>
            </w:pPr>
          </w:p>
        </w:tc>
      </w:tr>
      <w:tr>
        <w:trPr>
          <w:trHeight w:val="56"/>
        </w:trPr>
        <w:tc>
          <w:tcPr>
            <w:tcW w:w="2300" w:type="dxa"/>
            <w:vAlign w:val="bottom"/>
            <w:tcBorders>
              <w:right w:val="single" w:sz="8" w:color="0072AF"/>
            </w:tcBorders>
          </w:tcPr>
          <w:p>
            <w:pPr>
              <w:spacing w:after="0"/>
              <w:rPr>
                <w:sz w:val="4"/>
                <w:szCs w:val="4"/>
                <w:color w:val="auto"/>
              </w:rPr>
            </w:pPr>
          </w:p>
        </w:tc>
        <w:tc>
          <w:tcPr>
            <w:tcW w:w="2320" w:type="dxa"/>
            <w:vAlign w:val="bottom"/>
            <w:tcBorders>
              <w:right w:val="single" w:sz="8" w:color="0072AF"/>
            </w:tcBorders>
          </w:tcPr>
          <w:p>
            <w:pPr>
              <w:spacing w:after="0"/>
              <w:rPr>
                <w:sz w:val="4"/>
                <w:szCs w:val="4"/>
                <w:color w:val="auto"/>
              </w:rPr>
            </w:pPr>
          </w:p>
        </w:tc>
        <w:tc>
          <w:tcPr>
            <w:tcW w:w="2320" w:type="dxa"/>
            <w:vAlign w:val="bottom"/>
            <w:tcBorders>
              <w:right w:val="single" w:sz="8" w:color="0072AF"/>
            </w:tcBorders>
          </w:tcPr>
          <w:p>
            <w:pPr>
              <w:spacing w:after="0"/>
              <w:rPr>
                <w:sz w:val="4"/>
                <w:szCs w:val="4"/>
                <w:color w:val="auto"/>
              </w:rPr>
            </w:pPr>
          </w:p>
        </w:tc>
        <w:tc>
          <w:tcPr>
            <w:tcW w:w="2240" w:type="dxa"/>
            <w:vAlign w:val="bottom"/>
            <w:tcBorders>
              <w:right w:val="single" w:sz="8" w:color="0072AF"/>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300" w:type="dxa"/>
            <w:vAlign w:val="bottom"/>
            <w:tcBorders>
              <w:right w:val="single" w:sz="8" w:color="0072AF"/>
            </w:tcBorders>
          </w:tcPr>
          <w:p>
            <w:pPr>
              <w:jc w:val="right"/>
              <w:ind w:right="40"/>
              <w:spacing w:after="0"/>
              <w:rPr>
                <w:sz w:val="20"/>
                <w:szCs w:val="20"/>
                <w:color w:val="auto"/>
              </w:rPr>
            </w:pPr>
            <w:r>
              <w:rPr>
                <w:rFonts w:ascii="Arial" w:cs="Arial" w:eastAsia="Arial" w:hAnsi="Arial"/>
                <w:sz w:val="16"/>
                <w:szCs w:val="16"/>
                <w:color w:val="auto"/>
              </w:rPr>
              <w:t>Gregg Zegras</w:t>
            </w:r>
          </w:p>
        </w:tc>
        <w:tc>
          <w:tcPr>
            <w:tcW w:w="2320" w:type="dxa"/>
            <w:vAlign w:val="bottom"/>
            <w:tcBorders>
              <w:bottom w:val="single" w:sz="8" w:color="CBCEE0"/>
              <w:right w:val="single" w:sz="8" w:color="0072AF"/>
            </w:tcBorders>
            <w:shd w:val="clear" w:color="auto" w:fill="CBCEE0"/>
          </w:tcPr>
          <w:p>
            <w:pPr>
              <w:jc w:val="right"/>
              <w:ind w:right="741"/>
              <w:spacing w:after="0"/>
              <w:rPr>
                <w:sz w:val="20"/>
                <w:szCs w:val="20"/>
                <w:color w:val="auto"/>
              </w:rPr>
            </w:pPr>
            <w:r>
              <w:rPr>
                <w:rFonts w:ascii="Arial" w:cs="Arial" w:eastAsia="Arial" w:hAnsi="Arial"/>
                <w:sz w:val="16"/>
                <w:szCs w:val="16"/>
                <w:color w:val="auto"/>
              </w:rPr>
              <w:t>856,000</w:t>
            </w:r>
          </w:p>
        </w:tc>
        <w:tc>
          <w:tcPr>
            <w:tcW w:w="2320" w:type="dxa"/>
            <w:vAlign w:val="bottom"/>
            <w:tcBorders>
              <w:bottom w:val="single" w:sz="8" w:color="CBCEE0"/>
              <w:right w:val="single" w:sz="8" w:color="0072AF"/>
            </w:tcBorders>
            <w:shd w:val="clear" w:color="auto" w:fill="CBCEE0"/>
          </w:tcPr>
          <w:p>
            <w:pPr>
              <w:jc w:val="right"/>
              <w:ind w:right="741"/>
              <w:spacing w:after="0"/>
              <w:rPr>
                <w:sz w:val="20"/>
                <w:szCs w:val="20"/>
                <w:color w:val="auto"/>
              </w:rPr>
            </w:pPr>
            <w:r>
              <w:rPr>
                <w:rFonts w:ascii="Arial" w:cs="Arial" w:eastAsia="Arial" w:hAnsi="Arial"/>
                <w:sz w:val="16"/>
                <w:szCs w:val="16"/>
                <w:color w:val="auto"/>
              </w:rPr>
              <w:t>684,800</w:t>
            </w:r>
          </w:p>
        </w:tc>
        <w:tc>
          <w:tcPr>
            <w:tcW w:w="2240" w:type="dxa"/>
            <w:vAlign w:val="bottom"/>
            <w:tcBorders>
              <w:bottom w:val="single" w:sz="8" w:color="CBCEE0"/>
              <w:right w:val="single" w:sz="8" w:color="0072AF"/>
            </w:tcBorders>
            <w:shd w:val="clear" w:color="auto" w:fill="CBCEE0"/>
          </w:tcPr>
          <w:p>
            <w:pPr>
              <w:jc w:val="right"/>
              <w:ind w:right="661"/>
              <w:spacing w:after="0"/>
              <w:rPr>
                <w:sz w:val="20"/>
                <w:szCs w:val="20"/>
                <w:color w:val="auto"/>
              </w:rPr>
            </w:pPr>
            <w:r>
              <w:rPr>
                <w:rFonts w:ascii="Arial" w:cs="Arial" w:eastAsia="Arial" w:hAnsi="Arial"/>
                <w:sz w:val="16"/>
                <w:szCs w:val="16"/>
                <w:color w:val="auto"/>
              </w:rPr>
              <w:t>1,250,000</w:t>
            </w:r>
          </w:p>
        </w:tc>
        <w:tc>
          <w:tcPr>
            <w:tcW w:w="0" w:type="dxa"/>
            <w:vAlign w:val="bottom"/>
          </w:tcPr>
          <w:p>
            <w:pPr>
              <w:spacing w:after="0"/>
              <w:rPr>
                <w:sz w:val="1"/>
                <w:szCs w:val="1"/>
                <w:color w:val="auto"/>
              </w:rPr>
            </w:pPr>
          </w:p>
        </w:tc>
      </w:tr>
      <w:tr>
        <w:trPr>
          <w:trHeight w:val="268"/>
        </w:trPr>
        <w:tc>
          <w:tcPr>
            <w:tcW w:w="2300" w:type="dxa"/>
            <w:vAlign w:val="bottom"/>
            <w:tcBorders>
              <w:right w:val="single" w:sz="8" w:color="0072AF"/>
            </w:tcBorders>
          </w:tcPr>
          <w:p>
            <w:pPr>
              <w:jc w:val="right"/>
              <w:ind w:right="40"/>
              <w:spacing w:after="0"/>
              <w:rPr>
                <w:sz w:val="20"/>
                <w:szCs w:val="20"/>
                <w:color w:val="auto"/>
              </w:rPr>
            </w:pPr>
            <w:r>
              <w:rPr>
                <w:rFonts w:ascii="Arial" w:cs="Arial" w:eastAsia="Arial" w:hAnsi="Arial"/>
                <w:sz w:val="16"/>
                <w:szCs w:val="16"/>
                <w:color w:val="auto"/>
              </w:rPr>
              <w:t>Daniel J. Goldstein</w:t>
            </w:r>
          </w:p>
        </w:tc>
        <w:tc>
          <w:tcPr>
            <w:tcW w:w="2320" w:type="dxa"/>
            <w:vAlign w:val="bottom"/>
            <w:tcBorders>
              <w:right w:val="single" w:sz="8" w:color="0072AF"/>
            </w:tcBorders>
          </w:tcPr>
          <w:p>
            <w:pPr>
              <w:jc w:val="right"/>
              <w:ind w:right="741"/>
              <w:spacing w:after="0"/>
              <w:rPr>
                <w:sz w:val="20"/>
                <w:szCs w:val="20"/>
                <w:color w:val="auto"/>
              </w:rPr>
            </w:pPr>
            <w:r>
              <w:rPr>
                <w:rFonts w:ascii="Arial" w:cs="Arial" w:eastAsia="Arial" w:hAnsi="Arial"/>
                <w:sz w:val="16"/>
                <w:szCs w:val="16"/>
                <w:color w:val="auto"/>
              </w:rPr>
              <w:t>608,268</w:t>
            </w:r>
          </w:p>
        </w:tc>
        <w:tc>
          <w:tcPr>
            <w:tcW w:w="2320" w:type="dxa"/>
            <w:vAlign w:val="bottom"/>
            <w:tcBorders>
              <w:right w:val="single" w:sz="8" w:color="0072AF"/>
            </w:tcBorders>
          </w:tcPr>
          <w:p>
            <w:pPr>
              <w:jc w:val="right"/>
              <w:ind w:right="741"/>
              <w:spacing w:after="0"/>
              <w:rPr>
                <w:sz w:val="20"/>
                <w:szCs w:val="20"/>
                <w:color w:val="auto"/>
              </w:rPr>
            </w:pPr>
            <w:r>
              <w:rPr>
                <w:rFonts w:ascii="Arial" w:cs="Arial" w:eastAsia="Arial" w:hAnsi="Arial"/>
                <w:sz w:val="16"/>
                <w:szCs w:val="16"/>
                <w:color w:val="auto"/>
              </w:rPr>
              <w:t>486,614</w:t>
            </w:r>
          </w:p>
        </w:tc>
        <w:tc>
          <w:tcPr>
            <w:tcW w:w="2240" w:type="dxa"/>
            <w:vAlign w:val="bottom"/>
            <w:tcBorders>
              <w:right w:val="single" w:sz="8" w:color="0072AF"/>
            </w:tcBorders>
          </w:tcPr>
          <w:p>
            <w:pPr>
              <w:jc w:val="right"/>
              <w:ind w:right="661"/>
              <w:spacing w:after="0"/>
              <w:rPr>
                <w:sz w:val="20"/>
                <w:szCs w:val="20"/>
                <w:color w:val="auto"/>
              </w:rPr>
            </w:pPr>
            <w:r>
              <w:rPr>
                <w:rFonts w:ascii="Arial" w:cs="Arial" w:eastAsia="Arial" w:hAnsi="Arial"/>
                <w:sz w:val="16"/>
                <w:szCs w:val="16"/>
                <w:color w:val="auto"/>
              </w:rPr>
              <w:t>1,250,000</w:t>
            </w:r>
          </w:p>
        </w:tc>
        <w:tc>
          <w:tcPr>
            <w:tcW w:w="0" w:type="dxa"/>
            <w:vAlign w:val="bottom"/>
          </w:tcPr>
          <w:p>
            <w:pPr>
              <w:spacing w:after="0"/>
              <w:rPr>
                <w:sz w:val="1"/>
                <w:szCs w:val="1"/>
                <w:color w:val="auto"/>
              </w:rPr>
            </w:pPr>
          </w:p>
        </w:tc>
      </w:tr>
      <w:tr>
        <w:trPr>
          <w:trHeight w:val="56"/>
        </w:trPr>
        <w:tc>
          <w:tcPr>
            <w:tcW w:w="2300" w:type="dxa"/>
            <w:vAlign w:val="bottom"/>
            <w:tcBorders>
              <w:right w:val="single" w:sz="8" w:color="0072AF"/>
            </w:tcBorders>
          </w:tcPr>
          <w:p>
            <w:pPr>
              <w:spacing w:after="0"/>
              <w:rPr>
                <w:sz w:val="4"/>
                <w:szCs w:val="4"/>
                <w:color w:val="auto"/>
              </w:rPr>
            </w:pPr>
          </w:p>
        </w:tc>
        <w:tc>
          <w:tcPr>
            <w:tcW w:w="2320" w:type="dxa"/>
            <w:vAlign w:val="bottom"/>
            <w:tcBorders>
              <w:right w:val="single" w:sz="8" w:color="0072AF"/>
            </w:tcBorders>
          </w:tcPr>
          <w:p>
            <w:pPr>
              <w:spacing w:after="0"/>
              <w:rPr>
                <w:sz w:val="4"/>
                <w:szCs w:val="4"/>
                <w:color w:val="auto"/>
              </w:rPr>
            </w:pPr>
          </w:p>
        </w:tc>
        <w:tc>
          <w:tcPr>
            <w:tcW w:w="2320" w:type="dxa"/>
            <w:vAlign w:val="bottom"/>
            <w:tcBorders>
              <w:right w:val="single" w:sz="8" w:color="0072AF"/>
            </w:tcBorders>
          </w:tcPr>
          <w:p>
            <w:pPr>
              <w:spacing w:after="0"/>
              <w:rPr>
                <w:sz w:val="4"/>
                <w:szCs w:val="4"/>
                <w:color w:val="auto"/>
              </w:rPr>
            </w:pPr>
          </w:p>
        </w:tc>
        <w:tc>
          <w:tcPr>
            <w:tcW w:w="2240" w:type="dxa"/>
            <w:vAlign w:val="bottom"/>
            <w:tcBorders>
              <w:right w:val="single" w:sz="8" w:color="0072AF"/>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300" w:type="dxa"/>
            <w:vAlign w:val="bottom"/>
            <w:tcBorders>
              <w:right w:val="single" w:sz="8" w:color="0072AF"/>
            </w:tcBorders>
          </w:tcPr>
          <w:p>
            <w:pPr>
              <w:jc w:val="right"/>
              <w:ind w:right="40"/>
              <w:spacing w:after="0"/>
              <w:rPr>
                <w:sz w:val="20"/>
                <w:szCs w:val="20"/>
                <w:color w:val="auto"/>
              </w:rPr>
            </w:pPr>
            <w:r>
              <w:rPr>
                <w:rFonts w:ascii="Arial" w:cs="Arial" w:eastAsia="Arial" w:hAnsi="Arial"/>
                <w:sz w:val="16"/>
                <w:szCs w:val="16"/>
                <w:color w:val="auto"/>
              </w:rPr>
              <w:t>James Fairweather</w:t>
            </w:r>
          </w:p>
        </w:tc>
        <w:tc>
          <w:tcPr>
            <w:tcW w:w="2320" w:type="dxa"/>
            <w:vAlign w:val="bottom"/>
            <w:tcBorders>
              <w:bottom w:val="single" w:sz="8" w:color="CBCEE0"/>
              <w:right w:val="single" w:sz="8" w:color="0072AF"/>
            </w:tcBorders>
            <w:shd w:val="clear" w:color="auto" w:fill="CBCEE0"/>
          </w:tcPr>
          <w:p>
            <w:pPr>
              <w:jc w:val="right"/>
              <w:ind w:right="741"/>
              <w:spacing w:after="0"/>
              <w:rPr>
                <w:sz w:val="20"/>
                <w:szCs w:val="20"/>
                <w:color w:val="auto"/>
              </w:rPr>
            </w:pPr>
            <w:r>
              <w:rPr>
                <w:rFonts w:ascii="Arial" w:cs="Arial" w:eastAsia="Arial" w:hAnsi="Arial"/>
                <w:sz w:val="16"/>
                <w:szCs w:val="16"/>
                <w:color w:val="auto"/>
              </w:rPr>
              <w:t>588,048</w:t>
            </w:r>
          </w:p>
        </w:tc>
        <w:tc>
          <w:tcPr>
            <w:tcW w:w="2320" w:type="dxa"/>
            <w:vAlign w:val="bottom"/>
            <w:tcBorders>
              <w:bottom w:val="single" w:sz="8" w:color="CBCEE0"/>
              <w:right w:val="single" w:sz="8" w:color="0072AF"/>
            </w:tcBorders>
            <w:shd w:val="clear" w:color="auto" w:fill="CBCEE0"/>
          </w:tcPr>
          <w:p>
            <w:pPr>
              <w:jc w:val="right"/>
              <w:ind w:right="741"/>
              <w:spacing w:after="0"/>
              <w:rPr>
                <w:sz w:val="20"/>
                <w:szCs w:val="20"/>
                <w:color w:val="auto"/>
              </w:rPr>
            </w:pPr>
            <w:r>
              <w:rPr>
                <w:rFonts w:ascii="Arial" w:cs="Arial" w:eastAsia="Arial" w:hAnsi="Arial"/>
                <w:sz w:val="16"/>
                <w:szCs w:val="16"/>
                <w:color w:val="auto"/>
              </w:rPr>
              <w:t>352,829</w:t>
            </w:r>
          </w:p>
        </w:tc>
        <w:tc>
          <w:tcPr>
            <w:tcW w:w="2240" w:type="dxa"/>
            <w:vAlign w:val="bottom"/>
            <w:tcBorders>
              <w:bottom w:val="single" w:sz="8" w:color="CBCEE0"/>
              <w:right w:val="single" w:sz="8" w:color="0072AF"/>
            </w:tcBorders>
            <w:shd w:val="clear" w:color="auto" w:fill="CBCEE0"/>
          </w:tcPr>
          <w:p>
            <w:pPr>
              <w:jc w:val="right"/>
              <w:ind w:right="661"/>
              <w:spacing w:after="0"/>
              <w:rPr>
                <w:sz w:val="20"/>
                <w:szCs w:val="20"/>
                <w:color w:val="auto"/>
              </w:rPr>
            </w:pPr>
            <w:r>
              <w:rPr>
                <w:rFonts w:ascii="Arial" w:cs="Arial" w:eastAsia="Arial" w:hAnsi="Arial"/>
                <w:sz w:val="16"/>
                <w:szCs w:val="16"/>
                <w:color w:val="auto"/>
              </w:rPr>
              <w:t>1,600,000</w:t>
            </w:r>
          </w:p>
        </w:tc>
        <w:tc>
          <w:tcPr>
            <w:tcW w:w="0" w:type="dxa"/>
            <w:vAlign w:val="bottom"/>
          </w:tcPr>
          <w:p>
            <w:pPr>
              <w:spacing w:after="0"/>
              <w:rPr>
                <w:sz w:val="1"/>
                <w:szCs w:val="1"/>
                <w:color w:val="auto"/>
              </w:rPr>
            </w:pPr>
          </w:p>
        </w:tc>
      </w:tr>
      <w:tr>
        <w:trPr>
          <w:trHeight w:val="378"/>
        </w:trPr>
        <w:tc>
          <w:tcPr>
            <w:tcW w:w="2300" w:type="dxa"/>
            <w:vAlign w:val="bottom"/>
            <w:tcBorders>
              <w:right w:val="single" w:sz="8" w:color="0072AF"/>
            </w:tcBorders>
          </w:tcPr>
          <w:p>
            <w:pPr>
              <w:jc w:val="right"/>
              <w:ind w:right="40"/>
              <w:spacing w:after="0"/>
              <w:rPr>
                <w:sz w:val="20"/>
                <w:szCs w:val="20"/>
                <w:color w:val="auto"/>
              </w:rPr>
            </w:pPr>
            <w:r>
              <w:rPr>
                <w:rFonts w:ascii="Arial" w:cs="Arial" w:eastAsia="Arial" w:hAnsi="Arial"/>
                <w:sz w:val="16"/>
                <w:szCs w:val="16"/>
                <w:color w:val="auto"/>
              </w:rPr>
              <w:t>Marc B. Lautenbach</w:t>
            </w:r>
            <w:r>
              <w:rPr>
                <w:rFonts w:ascii="Arial" w:cs="Arial" w:eastAsia="Arial" w:hAnsi="Arial"/>
                <w:sz w:val="26"/>
                <w:szCs w:val="26"/>
                <w:color w:val="auto"/>
                <w:vertAlign w:val="superscript"/>
              </w:rPr>
              <w:t>(2)</w:t>
            </w:r>
          </w:p>
        </w:tc>
        <w:tc>
          <w:tcPr>
            <w:tcW w:w="2320" w:type="dxa"/>
            <w:vAlign w:val="bottom"/>
            <w:tcBorders>
              <w:bottom w:val="single" w:sz="8" w:color="0072AF"/>
              <w:right w:val="single" w:sz="8" w:color="0072AF"/>
            </w:tcBorders>
          </w:tcPr>
          <w:p>
            <w:pPr>
              <w:jc w:val="right"/>
              <w:ind w:right="721"/>
              <w:spacing w:after="0"/>
              <w:rPr>
                <w:sz w:val="20"/>
                <w:szCs w:val="20"/>
                <w:color w:val="auto"/>
              </w:rPr>
            </w:pPr>
            <w:r>
              <w:rPr>
                <w:rFonts w:ascii="Arial" w:cs="Arial" w:eastAsia="Arial" w:hAnsi="Arial"/>
                <w:sz w:val="16"/>
                <w:szCs w:val="16"/>
                <w:color w:val="auto"/>
              </w:rPr>
              <w:t>1,000,000</w:t>
            </w:r>
          </w:p>
        </w:tc>
        <w:tc>
          <w:tcPr>
            <w:tcW w:w="2320" w:type="dxa"/>
            <w:vAlign w:val="bottom"/>
            <w:tcBorders>
              <w:bottom w:val="single" w:sz="8" w:color="0072AF"/>
              <w:right w:val="single" w:sz="8" w:color="0072AF"/>
            </w:tcBorders>
          </w:tcPr>
          <w:p>
            <w:pPr>
              <w:jc w:val="right"/>
              <w:ind w:right="741"/>
              <w:spacing w:after="0"/>
              <w:rPr>
                <w:sz w:val="20"/>
                <w:szCs w:val="20"/>
                <w:color w:val="auto"/>
              </w:rPr>
            </w:pPr>
            <w:r>
              <w:rPr>
                <w:rFonts w:ascii="Arial" w:cs="Arial" w:eastAsia="Arial" w:hAnsi="Arial"/>
                <w:sz w:val="16"/>
                <w:szCs w:val="16"/>
                <w:color w:val="auto"/>
              </w:rPr>
              <w:t>1,650,000</w:t>
            </w:r>
          </w:p>
        </w:tc>
        <w:tc>
          <w:tcPr>
            <w:tcW w:w="2240" w:type="dxa"/>
            <w:vAlign w:val="bottom"/>
            <w:tcBorders>
              <w:bottom w:val="single" w:sz="8" w:color="0072AF"/>
              <w:right w:val="single" w:sz="8" w:color="0072AF"/>
            </w:tcBorders>
          </w:tcPr>
          <w:p>
            <w:pPr>
              <w:jc w:val="right"/>
              <w:ind w:right="661"/>
              <w:spacing w:after="0"/>
              <w:rPr>
                <w:sz w:val="20"/>
                <w:szCs w:val="20"/>
                <w:color w:val="auto"/>
              </w:rPr>
            </w:pPr>
            <w:r>
              <w:rPr>
                <w:rFonts w:ascii="Arial" w:cs="Arial" w:eastAsia="Arial" w:hAnsi="Arial"/>
                <w:sz w:val="16"/>
                <w:szCs w:val="16"/>
                <w:color w:val="auto"/>
              </w:rPr>
              <w:t>7,050,000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5820410</wp:posOffset>
            </wp:positionH>
            <wp:positionV relativeFrom="paragraph">
              <wp:posOffset>-1550670</wp:posOffset>
            </wp:positionV>
            <wp:extent cx="8255" cy="2654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265430"/>
                    </a:xfrm>
                    <a:prstGeom prst="rect">
                      <a:avLst/>
                    </a:prstGeom>
                    <a:noFill/>
                  </pic:spPr>
                </pic:pic>
              </a:graphicData>
            </a:graphic>
          </wp:anchor>
        </w:drawing>
      </w:r>
    </w:p>
    <w:p>
      <w:pPr>
        <w:spacing w:after="0" w:line="70" w:lineRule="exact"/>
        <w:rPr>
          <w:sz w:val="20"/>
          <w:szCs w:val="20"/>
          <w:color w:val="auto"/>
        </w:rPr>
      </w:pPr>
    </w:p>
    <w:p>
      <w:pPr>
        <w:ind w:left="346" w:hanging="346"/>
        <w:spacing w:after="0"/>
        <w:tabs>
          <w:tab w:leader="none" w:pos="346" w:val="left"/>
        </w:tabs>
        <w:numPr>
          <w:ilvl w:val="0"/>
          <w:numId w:val="36"/>
        </w:numPr>
        <w:rPr>
          <w:rFonts w:ascii="Arial" w:cs="Arial" w:eastAsia="Arial" w:hAnsi="Arial"/>
          <w:sz w:val="22"/>
          <w:szCs w:val="22"/>
          <w:color w:val="auto"/>
          <w:vertAlign w:val="superscript"/>
        </w:rPr>
      </w:pPr>
      <w:r>
        <w:rPr>
          <w:rFonts w:ascii="Arial" w:cs="Arial" w:eastAsia="Arial" w:hAnsi="Arial"/>
          <w:sz w:val="14"/>
          <w:szCs w:val="14"/>
          <w:color w:val="auto"/>
        </w:rPr>
        <w:t>Refer to the 2023 Summary Compensation Table for additional detail on 2023 compensation</w:t>
      </w:r>
    </w:p>
    <w:p>
      <w:pPr>
        <w:spacing w:after="0" w:line="39" w:lineRule="exact"/>
        <w:rPr>
          <w:rFonts w:ascii="Arial" w:cs="Arial" w:eastAsia="Arial" w:hAnsi="Arial"/>
          <w:sz w:val="22"/>
          <w:szCs w:val="22"/>
          <w:color w:val="auto"/>
          <w:vertAlign w:val="superscript"/>
        </w:rPr>
      </w:pPr>
    </w:p>
    <w:p>
      <w:pPr>
        <w:ind w:left="346" w:hanging="346"/>
        <w:spacing w:after="0" w:line="183" w:lineRule="auto"/>
        <w:tabs>
          <w:tab w:leader="none" w:pos="346" w:val="left"/>
        </w:tabs>
        <w:numPr>
          <w:ilvl w:val="0"/>
          <w:numId w:val="36"/>
        </w:numPr>
        <w:rPr>
          <w:rFonts w:ascii="Arial" w:cs="Arial" w:eastAsia="Arial" w:hAnsi="Arial"/>
          <w:sz w:val="20"/>
          <w:szCs w:val="20"/>
          <w:color w:val="auto"/>
          <w:vertAlign w:val="superscript"/>
        </w:rPr>
      </w:pPr>
      <w:r>
        <w:rPr>
          <w:rFonts w:ascii="Arial" w:cs="Arial" w:eastAsia="Arial" w:hAnsi="Arial"/>
          <w:sz w:val="14"/>
          <w:szCs w:val="14"/>
          <w:color w:val="auto"/>
        </w:rPr>
        <w:t>Compensation for Mr. Lautenbach is as of his “Last Day of Work” for the Company, October 1, 2023.</w:t>
      </w:r>
    </w:p>
    <w:p>
      <w:pPr>
        <w:spacing w:after="0" w:line="152" w:lineRule="exact"/>
        <w:rPr>
          <w:sz w:val="20"/>
          <w:szCs w:val="20"/>
          <w:color w:val="auto"/>
        </w:rPr>
      </w:pPr>
    </w:p>
    <w:p>
      <w:pPr>
        <w:jc w:val="both"/>
        <w:ind w:left="6" w:right="20"/>
        <w:spacing w:after="0" w:line="242" w:lineRule="auto"/>
        <w:rPr>
          <w:sz w:val="20"/>
          <w:szCs w:val="20"/>
          <w:color w:val="auto"/>
        </w:rPr>
      </w:pPr>
      <w:r>
        <w:rPr>
          <w:rFonts w:ascii="Arial" w:cs="Arial" w:eastAsia="Arial" w:hAnsi="Arial"/>
          <w:sz w:val="18"/>
          <w:szCs w:val="18"/>
          <w:color w:val="auto"/>
        </w:rPr>
        <w:t xml:space="preserve">For each NEO, the Committee utilizes, as a guideline, the market median of the competitive data based on companies with our approximate revenue size from the Willis Towers Watson Regressed Compensation Report and the Radford Global Compensation Database. The Committee considers this information to evaluate base salary, target cash compensation (base salary plus annual incentive) and target direct compensation (base salary plus annual incentive plus long-term incentive) so they are competitive for each position. We describe these two reports in more detail under “Assessing Competitive Practice” beginning on page </w:t>
      </w:r>
      <w:r>
        <w:rPr>
          <w:rFonts w:ascii="Arial" w:cs="Arial" w:eastAsia="Arial" w:hAnsi="Arial"/>
          <w:sz w:val="18"/>
          <w:szCs w:val="18"/>
          <w:u w:val="single" w:color="auto"/>
          <w:color w:val="0000EE"/>
        </w:rPr>
        <w:t>70</w:t>
      </w:r>
      <w:r>
        <w:rPr>
          <w:rFonts w:ascii="Arial" w:cs="Arial" w:eastAsia="Arial" w:hAnsi="Arial"/>
          <w:sz w:val="18"/>
          <w:szCs w:val="18"/>
          <w:color w:val="auto"/>
        </w:rPr>
        <w:t xml:space="preserve"> of this Proxy Statement.</w:t>
      </w:r>
    </w:p>
    <w:p>
      <w:pPr>
        <w:spacing w:after="0" w:line="138" w:lineRule="exact"/>
        <w:rPr>
          <w:sz w:val="20"/>
          <w:szCs w:val="20"/>
          <w:color w:val="auto"/>
        </w:rPr>
      </w:pPr>
    </w:p>
    <w:p>
      <w:pPr>
        <w:jc w:val="both"/>
        <w:ind w:left="6" w:right="20"/>
        <w:spacing w:after="0" w:line="257" w:lineRule="auto"/>
        <w:rPr>
          <w:sz w:val="20"/>
          <w:szCs w:val="20"/>
          <w:color w:val="auto"/>
        </w:rPr>
      </w:pPr>
      <w:r>
        <w:rPr>
          <w:rFonts w:ascii="Arial" w:cs="Arial" w:eastAsia="Arial" w:hAnsi="Arial"/>
          <w:sz w:val="18"/>
          <w:szCs w:val="18"/>
          <w:color w:val="auto"/>
        </w:rPr>
        <w:t>We believe market pay data is one decision point in effective pay management. Generally, in addition to market data, pay decisions consider the value of the individual in the job to the organization and relative to other jobs and additional factors such as skills, performance, tenure, experience. As a result, pay for each executive could be positioned below, at, or above the market median</w:t>
      </w:r>
      <w:r>
        <w:rPr>
          <w:rFonts w:ascii="Arial" w:cs="Arial" w:eastAsia="Arial" w:hAnsi="Arial"/>
          <w:sz w:val="29"/>
          <w:szCs w:val="29"/>
          <w:color w:val="auto"/>
          <w:vertAlign w:val="superscript"/>
        </w:rPr>
        <w:t>(1)</w:t>
      </w:r>
      <w:r>
        <w:rPr>
          <w:rFonts w:ascii="Arial" w:cs="Arial" w:eastAsia="Arial" w:hAnsi="Arial"/>
          <w:sz w:val="18"/>
          <w:szCs w:val="18"/>
          <w:color w:val="auto"/>
        </w:rPr>
        <w:t>.</w:t>
      </w:r>
    </w:p>
    <w:p>
      <w:pPr>
        <w:spacing w:after="0" w:line="4" w:lineRule="exact"/>
        <w:rPr>
          <w:sz w:val="20"/>
          <w:szCs w:val="20"/>
          <w:color w:val="auto"/>
        </w:rPr>
      </w:pPr>
    </w:p>
    <w:p>
      <w:pPr>
        <w:jc w:val="both"/>
        <w:ind w:left="6" w:right="20"/>
        <w:spacing w:after="0" w:line="205" w:lineRule="auto"/>
        <w:rPr>
          <w:sz w:val="20"/>
          <w:szCs w:val="20"/>
          <w:color w:val="auto"/>
        </w:rPr>
      </w:pPr>
      <w:r>
        <w:rPr>
          <w:rFonts w:ascii="Arial" w:cs="Arial" w:eastAsia="Arial" w:hAnsi="Arial"/>
          <w:sz w:val="18"/>
          <w:szCs w:val="18"/>
          <w:color w:val="auto"/>
        </w:rPr>
        <w:t>For 2023, the target total direct compensation for Mr. Dies for the Interim CEO position was 52% of the market median</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for CEOs and 46% of the peer group median pay for CEOs. For the other NEOs, excluding</w:t>
      </w:r>
    </w:p>
    <w:p>
      <w:pPr>
        <w:spacing w:after="0" w:line="2" w:lineRule="exact"/>
        <w:rPr>
          <w:sz w:val="20"/>
          <w:szCs w:val="20"/>
          <w:color w:val="auto"/>
        </w:rPr>
      </w:pPr>
    </w:p>
    <w:p>
      <w:pPr>
        <w:jc w:val="both"/>
        <w:ind w:left="6" w:right="20"/>
        <w:spacing w:after="0" w:line="205" w:lineRule="auto"/>
        <w:rPr>
          <w:sz w:val="20"/>
          <w:szCs w:val="20"/>
          <w:color w:val="auto"/>
        </w:rPr>
      </w:pPr>
      <w:r>
        <w:rPr>
          <w:rFonts w:ascii="Arial" w:cs="Arial" w:eastAsia="Arial" w:hAnsi="Arial"/>
          <w:sz w:val="18"/>
          <w:szCs w:val="18"/>
          <w:color w:val="auto"/>
        </w:rPr>
        <w:t>Mr. Lautenbach, the average target total direct compensation was 133% of the market median</w:t>
      </w:r>
      <w:r>
        <w:rPr>
          <w:rFonts w:ascii="Arial" w:cs="Arial" w:eastAsia="Arial" w:hAnsi="Arial"/>
          <w:sz w:val="29"/>
          <w:szCs w:val="29"/>
          <w:color w:val="auto"/>
          <w:vertAlign w:val="superscript"/>
        </w:rPr>
        <w:t>(1)</w:t>
      </w:r>
      <w:r>
        <w:rPr>
          <w:rFonts w:ascii="Arial" w:cs="Arial" w:eastAsia="Arial" w:hAnsi="Arial"/>
          <w:sz w:val="18"/>
          <w:szCs w:val="18"/>
          <w:color w:val="auto"/>
        </w:rPr>
        <w:t>. The Committee views the current compensation structure as</w:t>
      </w:r>
    </w:p>
    <w:p>
      <w:pPr>
        <w:ind w:left="6"/>
        <w:spacing w:after="0" w:line="235" w:lineRule="auto"/>
        <w:rPr>
          <w:sz w:val="20"/>
          <w:szCs w:val="20"/>
          <w:color w:val="auto"/>
        </w:rPr>
      </w:pP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16459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ind w:left="346"/>
        <w:spacing w:after="0" w:line="264" w:lineRule="auto"/>
        <w:rPr>
          <w:sz w:val="20"/>
          <w:szCs w:val="20"/>
          <w:color w:val="auto"/>
        </w:rPr>
      </w:pPr>
      <w:r>
        <w:rPr>
          <w:rFonts w:ascii="Arial" w:cs="Arial" w:eastAsia="Arial" w:hAnsi="Arial"/>
          <w:sz w:val="14"/>
          <w:szCs w:val="14"/>
          <w:color w:val="auto"/>
        </w:rPr>
        <w:t>Market median is the average of the median pay as reported in the Willis Towers Watson Regressed Compensation Report and the Radford Global Compensation Database</w:t>
      </w:r>
    </w:p>
    <w:p>
      <w:pPr>
        <w:spacing w:after="0" w:line="162"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120650</wp:posOffset>
            </wp:positionV>
            <wp:extent cx="699516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necessary to attract, retain, and incentivize key talent due to the Company’s continuing business evolution and external influences such as the continuing competitive hiring landscape.</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2023 Compensation Decisions: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B5A89"/>
        </w:rPr>
        <w:t>Base Salary</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base salary of Mr. Dies increased in 2023 to $875,000 in connection with his appointment as Executive Vice President and Group President; he did not receive a salary increase upon his appointment as Interim CEO, although he is receiving a cash stipend in the amount of $60,000 for each month in the Interim CEO role (as described above). Mr. Lautenbach’s base salary did not increase in 2023 and has not increased since 2018. Mr. Zegras’ base salary was increased to $856,000 to help ensure his continuity as a key leader as we continue operating in an environment of rising macroeconomic volatility. The remaining NEOs received 3% annual increases, in line with our merit guidelines.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B5A89"/>
        </w:rPr>
        <w:t>Annual Incentives</w:t>
      </w:r>
    </w:p>
    <w:p>
      <w:pPr>
        <w:spacing w:after="0" w:line="12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NEOs are eligible to earn annual incentives awards under the Key Employees Incentive Plan (KEIP) primarily for achieving enterprise-wide financial objectives established at the beginning of each year, which are designed to be challenging to achieve. Individual performance and its impact on financial, strategic, unit or individual objectives may be considered.</w:t>
      </w:r>
    </w:p>
    <w:p>
      <w:pPr>
        <w:spacing w:after="0" w:line="13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target annual incentive opportunities for the NEOs remained the same, except for Mr. Goldstein’s which increased to 80% of his base salary for the 2023 performance year based on his expected contributions at a significant time of transition for the Company.</w:t>
      </w:r>
    </w:p>
    <w:p>
      <w:pPr>
        <w:spacing w:after="0" w:line="12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annual incentive plan is based 100% on quantifiable measures related to the Company’s financial performance and strategic goals, which we believe demonstrates our commitment to placing rigor and objectivity in establishing and measuring our compensation goals and results. The following bullets list the financial objectives used under the annual incentive plan along with the reasoning of their effectiveness in measuring how well our business is performing on a short-term basis. Additionally, please reference “Board Responsiveness and Compensation Design Changes” on page </w:t>
      </w:r>
      <w:r>
        <w:rPr>
          <w:rFonts w:ascii="Arial" w:cs="Arial" w:eastAsia="Arial" w:hAnsi="Arial"/>
          <w:sz w:val="18"/>
          <w:szCs w:val="18"/>
          <w:u w:val="single" w:color="auto"/>
          <w:color w:val="0000EE"/>
        </w:rPr>
        <w:t>57</w:t>
      </w:r>
      <w:r>
        <w:rPr>
          <w:rFonts w:ascii="Arial" w:cs="Arial" w:eastAsia="Arial" w:hAnsi="Arial"/>
          <w:sz w:val="18"/>
          <w:szCs w:val="18"/>
          <w:color w:val="auto"/>
        </w:rPr>
        <w:t xml:space="preserve"> of this Proxy Statement for an overview of changes implemented for the 2024 Compensation Plan, based on stockholder feedback.</w:t>
      </w:r>
    </w:p>
    <w:p>
      <w:pPr>
        <w:spacing w:after="0" w:line="23" w:lineRule="exact"/>
        <w:rPr>
          <w:sz w:val="20"/>
          <w:szCs w:val="20"/>
          <w:color w:val="auto"/>
        </w:rPr>
      </w:pPr>
    </w:p>
    <w:p>
      <w:pPr>
        <w:ind w:left="420" w:right="20" w:hanging="210"/>
        <w:spacing w:after="0" w:line="266" w:lineRule="auto"/>
        <w:tabs>
          <w:tab w:leader="none" w:pos="420" w:val="left"/>
        </w:tabs>
        <w:numPr>
          <w:ilvl w:val="0"/>
          <w:numId w:val="37"/>
        </w:numPr>
        <w:rPr>
          <w:rFonts w:ascii="Arial" w:cs="Arial" w:eastAsia="Arial" w:hAnsi="Arial"/>
          <w:sz w:val="18"/>
          <w:szCs w:val="18"/>
          <w:color w:val="0072AF"/>
        </w:rPr>
      </w:pPr>
      <w:r>
        <w:rPr>
          <w:rFonts w:ascii="Arial" w:cs="Arial" w:eastAsia="Arial" w:hAnsi="Arial"/>
          <w:sz w:val="18"/>
          <w:szCs w:val="18"/>
          <w:color w:val="auto"/>
        </w:rPr>
        <w:t>Adjusted Earnings Before Interest and Taxes (Adjusted EBIT) – Focuses executive officers on growing Company profitability. The Adjusted EBIT measure is most heavily weighted, at 40%.</w:t>
      </w:r>
    </w:p>
    <w:p>
      <w:pPr>
        <w:jc w:val="both"/>
        <w:ind w:left="420" w:right="20" w:hanging="210"/>
        <w:spacing w:after="0" w:line="247" w:lineRule="auto"/>
        <w:tabs>
          <w:tab w:leader="none" w:pos="420" w:val="left"/>
        </w:tabs>
        <w:numPr>
          <w:ilvl w:val="0"/>
          <w:numId w:val="37"/>
        </w:numPr>
        <w:rPr>
          <w:rFonts w:ascii="Arial" w:cs="Arial" w:eastAsia="Arial" w:hAnsi="Arial"/>
          <w:sz w:val="18"/>
          <w:szCs w:val="18"/>
          <w:color w:val="0072AF"/>
        </w:rPr>
      </w:pPr>
      <w:r>
        <w:rPr>
          <w:rFonts w:ascii="Arial" w:cs="Arial" w:eastAsia="Arial" w:hAnsi="Arial"/>
          <w:sz w:val="18"/>
          <w:szCs w:val="18"/>
          <w:color w:val="auto"/>
        </w:rPr>
        <w:t>Adjusted Free Cash Flow (Adjusted FCF) – Focuses the executive officers on generating free cash flow on a short-term basis allowing the Company to manage its current financial needs and discretionary uses. The Adjusted FCF measure weighting is 30%. Although Adjusted FCF was included as a measure in both the annual and long term incentives for 2023, this duplication of measures in our plans will not continue in 2024.</w:t>
      </w:r>
    </w:p>
    <w:p>
      <w:pPr>
        <w:spacing w:after="0" w:line="11" w:lineRule="exact"/>
        <w:rPr>
          <w:rFonts w:ascii="Arial" w:cs="Arial" w:eastAsia="Arial" w:hAnsi="Arial"/>
          <w:sz w:val="18"/>
          <w:szCs w:val="18"/>
          <w:color w:val="0072AF"/>
        </w:rPr>
      </w:pPr>
    </w:p>
    <w:p>
      <w:pPr>
        <w:ind w:left="420" w:right="20" w:hanging="210"/>
        <w:spacing w:after="0" w:line="271" w:lineRule="auto"/>
        <w:tabs>
          <w:tab w:leader="none" w:pos="420" w:val="left"/>
        </w:tabs>
        <w:numPr>
          <w:ilvl w:val="0"/>
          <w:numId w:val="37"/>
        </w:numPr>
        <w:rPr>
          <w:rFonts w:ascii="Arial" w:cs="Arial" w:eastAsia="Arial" w:hAnsi="Arial"/>
          <w:sz w:val="18"/>
          <w:szCs w:val="18"/>
          <w:color w:val="0072AF"/>
        </w:rPr>
      </w:pPr>
      <w:r>
        <w:rPr>
          <w:rFonts w:ascii="Arial" w:cs="Arial" w:eastAsia="Arial" w:hAnsi="Arial"/>
          <w:sz w:val="18"/>
          <w:szCs w:val="18"/>
          <w:color w:val="auto"/>
        </w:rPr>
        <w:t>Revenue growth – Focuses executive officers on growing revenue which indicates whether our business is expanding. The Revenue Growth measure weighting is 30%.</w:t>
      </w:r>
    </w:p>
    <w:p>
      <w:pPr>
        <w:spacing w:after="0" w:line="1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Each of these metrics excludes the impact of certain special items, both positive and negative, which could mask the underlying trend or performance within a business. The adjustments for special items are explained further under “Non-GAAP Measures” on page </w:t>
      </w:r>
      <w:r>
        <w:rPr>
          <w:rFonts w:ascii="Arial" w:cs="Arial" w:eastAsia="Arial" w:hAnsi="Arial"/>
          <w:sz w:val="18"/>
          <w:szCs w:val="18"/>
          <w:u w:val="single" w:color="auto"/>
          <w:color w:val="0000EE"/>
        </w:rPr>
        <w:t>95</w:t>
      </w:r>
      <w:r>
        <w:rPr>
          <w:rFonts w:ascii="Arial" w:cs="Arial" w:eastAsia="Arial" w:hAnsi="Arial"/>
          <w:sz w:val="18"/>
          <w:szCs w:val="18"/>
          <w:color w:val="auto"/>
        </w:rPr>
        <w:t xml:space="preserve"> of this Proxy Statement. For further explanation on objective setting, please see “Determining Compensation – The Decision Process” on page </w:t>
      </w:r>
      <w:r>
        <w:rPr>
          <w:rFonts w:ascii="Arial" w:cs="Arial" w:eastAsia="Arial" w:hAnsi="Arial"/>
          <w:sz w:val="18"/>
          <w:szCs w:val="18"/>
          <w:u w:val="single" w:color="auto"/>
          <w:color w:val="0000EE"/>
        </w:rPr>
        <w:t>69</w:t>
      </w:r>
      <w:r>
        <w:rPr>
          <w:rFonts w:ascii="Arial" w:cs="Arial" w:eastAsia="Arial" w:hAnsi="Arial"/>
          <w:sz w:val="18"/>
          <w:szCs w:val="18"/>
          <w:color w:val="auto"/>
        </w:rPr>
        <w:t xml:space="preserve"> of this Proxy Statement. With regards to Adjusted FCF, expectations can differ from year to year, and in the case of the 2023 objectives, Adjusted FCF was set lower compared to 2022 performance largely due to the timing of working capital and higher than expected tax payments.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2022 annual incentive payout curve methodology reflected a gentler slope between the 95-100% payout levels. Effective as of the 2023 performance year, the Committee implemented a straight-line methodology interpolated between threshold, target, and maximum payout levels, decreasing the complexity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5829300" cy="7543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829300" cy="754380"/>
                    </a:xfrm>
                    <a:prstGeom prst="rect">
                      <a:avLst/>
                    </a:prstGeom>
                    <a:noFill/>
                  </pic:spPr>
                </pic:pic>
              </a:graphicData>
            </a:graphic>
          </wp:anchor>
        </w:drawing>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Update for 2024</w:t>
      </w:r>
    </w:p>
    <w:p>
      <w:pPr>
        <w:spacing w:after="0" w:line="158" w:lineRule="exact"/>
        <w:rPr>
          <w:sz w:val="20"/>
          <w:szCs w:val="20"/>
          <w:color w:val="auto"/>
        </w:rPr>
      </w:pPr>
    </w:p>
    <w:p>
      <w:pPr>
        <w:jc w:val="both"/>
        <w:ind w:left="40" w:right="20"/>
        <w:spacing w:after="0" w:line="253" w:lineRule="auto"/>
        <w:rPr>
          <w:sz w:val="20"/>
          <w:szCs w:val="20"/>
          <w:color w:val="auto"/>
        </w:rPr>
      </w:pPr>
      <w:r>
        <w:rPr>
          <w:rFonts w:ascii="Arial" w:cs="Arial" w:eastAsia="Arial" w:hAnsi="Arial"/>
          <w:sz w:val="18"/>
          <w:szCs w:val="18"/>
          <w:color w:val="auto"/>
        </w:rPr>
        <w:t>Beginning in 2024, to simplify the plan and continue to drive desired strategic outcomes, we will reduce the number of financial measures used to determine annual incentives to focus on two. Neither measure will be used in the long-term plan, thereby eliminating the duplication of measures in either plan.</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apply a strategic modifier of up to 10 percentage points in determining final annual incentive pay-outs under the KEIP. The strategic modifier is based on the achievement of quantifiable enterprise strategic goals, which in 2023 were: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23" w:lineRule="exact"/>
        <w:rPr>
          <w:sz w:val="20"/>
          <w:szCs w:val="20"/>
          <w:color w:val="auto"/>
        </w:rPr>
      </w:pPr>
    </w:p>
    <w:p>
      <w:pPr>
        <w:jc w:val="both"/>
        <w:ind w:left="700" w:right="20" w:hanging="346"/>
        <w:spacing w:after="0" w:line="247"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Voice of the Client, measured as Net Promoter Score (NPS) collected through client surveys, and which contributes up to 2.5 of the 10 percentage points; At the beginning of each year, the Committee approves NPS threshold, target, and maximum objectives for the Company with the focus of closing a gap to the top quartile of the NPS benchmark.</w:t>
      </w:r>
    </w:p>
    <w:p>
      <w:pPr>
        <w:spacing w:after="0" w:line="146" w:lineRule="exact"/>
        <w:rPr>
          <w:rFonts w:ascii="Arial" w:cs="Arial" w:eastAsia="Arial" w:hAnsi="Arial"/>
          <w:sz w:val="18"/>
          <w:szCs w:val="18"/>
          <w:color w:val="auto"/>
        </w:rPr>
      </w:pPr>
    </w:p>
    <w:p>
      <w:pPr>
        <w:jc w:val="both"/>
        <w:ind w:left="700" w:right="20" w:hanging="346"/>
        <w:spacing w:after="0" w:line="239"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High-performance culture, measured from an annual employee survey, which contributes up to 2.5 of the 10 percentage points. For the high-performance culture goal, the focus is to measure progress through improvement in employee engagement survey dimensions as compared to high performing companies. Quantifiable threshold, target and maximum objectives are approved by the Committee for the following dimensions: Diversity &amp; Inclusion (D&amp;I); Sustainable Engagement; Client Focus; Teamwork; and Innovation. These objectives are measured from an employee survey developed with and conducted by the Company’s outside consultant, Willis Towers Watson. Also, the 2.5 points for the high-performance culture portion of the strategic modifier will not payout if the D&amp;I measure threshold objective set by the Committee is not met. This increases the focus of D&amp;I in our compensation design, which directly aligns with the importance of D&amp;I to our Company strategy.</w:t>
      </w:r>
    </w:p>
    <w:p>
      <w:pPr>
        <w:spacing w:after="0" w:line="139" w:lineRule="exact"/>
        <w:rPr>
          <w:rFonts w:ascii="Arial" w:cs="Arial" w:eastAsia="Arial" w:hAnsi="Arial"/>
          <w:sz w:val="18"/>
          <w:szCs w:val="18"/>
          <w:color w:val="auto"/>
        </w:rPr>
      </w:pPr>
    </w:p>
    <w:p>
      <w:pPr>
        <w:ind w:left="700" w:right="20" w:hanging="346"/>
        <w:spacing w:after="0" w:line="271"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revenue growth hurdle which contributes up to 2.5 of the 10 percentage points and requires the Company achieve target level performance for the Revenue Growth financial objective of 3%.</w:t>
      </w:r>
    </w:p>
    <w:p>
      <w:pPr>
        <w:spacing w:after="0" w:line="113" w:lineRule="exact"/>
        <w:rPr>
          <w:rFonts w:ascii="Arial" w:cs="Arial" w:eastAsia="Arial" w:hAnsi="Arial"/>
          <w:sz w:val="18"/>
          <w:szCs w:val="18"/>
          <w:color w:val="auto"/>
        </w:rPr>
      </w:pPr>
    </w:p>
    <w:p>
      <w:pPr>
        <w:ind w:left="700" w:right="20" w:hanging="346"/>
        <w:spacing w:after="0" w:line="271"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Adjusted EBIT hurdle which contributes up to 2.5 of the 10 percentage points and requires the Company achieve target level performance for the Adjusted EBIT financial objective of $193 million.</w:t>
      </w:r>
    </w:p>
    <w:p>
      <w:pPr>
        <w:spacing w:after="0" w:line="12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For competitive reasons, we do not disclose the Voice of the Client and High-Performance Culture strategic modifier goals, but we believe they are challenging and require substantial performance.</w:t>
      </w:r>
    </w:p>
    <w:p>
      <w:pPr>
        <w:spacing w:after="0" w:line="11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believe the measures within these strategic goals are important to the successful operation of the Company and critical to achieving positive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B5A89"/>
        </w:rPr>
        <w:t>Funding of the 2023 Annual Incentive Pool and Actual Pay-Out</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2023, the Company achieved between threshold and target for the Adjusted Earnings Before Interest and Taxes (Adjusted EBIT) and Adjusted Free Cash Flow (Adjusted FCF) objectives and did not achieve threshold for the Revenue Growth objective. In addition, the Company made progress toward important strategic initiatives. The Committee, and independent Board members with respect to the CEO, awarded 38.7% for the achievement of the financial objectives.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financial objectives and results for 2023:</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jc w:val="center"/>
              <w:ind w:left="20"/>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62"/>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Financial Objectives</w:t>
            </w:r>
            <w:r>
              <w:rPr>
                <w:rFonts w:ascii="Arial" w:cs="Arial" w:eastAsia="Arial" w:hAnsi="Arial"/>
                <w:sz w:val="23"/>
                <w:szCs w:val="23"/>
                <w:b w:val="1"/>
                <w:bCs w:val="1"/>
                <w:color w:val="auto"/>
                <w:vertAlign w:val="superscript"/>
              </w:rPr>
              <w:t>(1)</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Target</w:t>
            </w: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Arial" w:cs="Arial" w:eastAsia="Arial" w:hAnsi="Arial"/>
                <w:sz w:val="14"/>
                <w:szCs w:val="14"/>
                <w:b w:val="1"/>
                <w:bCs w:val="1"/>
                <w:color w:val="auto"/>
              </w:rPr>
              <w:t>Actual</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a % of</w:t>
            </w:r>
          </w:p>
        </w:tc>
        <w:tc>
          <w:tcPr>
            <w:tcW w:w="0" w:type="dxa"/>
            <w:vAlign w:val="bottom"/>
          </w:tcPr>
          <w:p>
            <w:pPr>
              <w:spacing w:after="0"/>
              <w:rPr>
                <w:sz w:val="1"/>
                <w:szCs w:val="1"/>
                <w:color w:val="auto"/>
              </w:rPr>
            </w:pPr>
          </w:p>
        </w:tc>
      </w:tr>
      <w:tr>
        <w:trPr>
          <w:trHeight w:val="279"/>
        </w:trPr>
        <w:tc>
          <w:tcPr>
            <w:tcW w:w="2820" w:type="dxa"/>
            <w:vAlign w:val="bottom"/>
            <w:tcBorders>
              <w:bottom w:val="single" w:sz="8" w:color="0072AF"/>
            </w:tcBorders>
            <w:vMerge w:val="continue"/>
          </w:tcPr>
          <w:p>
            <w:pPr>
              <w:spacing w:after="0"/>
              <w:rPr>
                <w:sz w:val="24"/>
                <w:szCs w:val="24"/>
                <w:color w:val="auto"/>
              </w:rPr>
            </w:pPr>
          </w:p>
        </w:tc>
        <w:tc>
          <w:tcPr>
            <w:tcW w:w="1140" w:type="dxa"/>
            <w:vAlign w:val="bottom"/>
            <w:tcBorders>
              <w:bottom w:val="single" w:sz="8" w:color="0072AF"/>
            </w:tcBorders>
          </w:tcPr>
          <w:p>
            <w:pPr>
              <w:jc w:val="center"/>
              <w:spacing w:after="0"/>
              <w:rPr>
                <w:sz w:val="20"/>
                <w:szCs w:val="20"/>
                <w:color w:val="auto"/>
              </w:rPr>
            </w:pPr>
            <w:r>
              <w:rPr>
                <w:rFonts w:ascii="Arial" w:cs="Arial" w:eastAsia="Arial" w:hAnsi="Arial"/>
                <w:sz w:val="14"/>
                <w:szCs w:val="14"/>
                <w:b w:val="1"/>
                <w:bCs w:val="1"/>
                <w:color w:val="auto"/>
              </w:rPr>
              <w:t>Weighting</w:t>
            </w:r>
          </w:p>
        </w:tc>
        <w:tc>
          <w:tcPr>
            <w:tcW w:w="1160" w:type="dxa"/>
            <w:vAlign w:val="bottom"/>
            <w:tcBorders>
              <w:bottom w:val="single" w:sz="8" w:color="0072AF"/>
            </w:tcBorders>
          </w:tcPr>
          <w:p>
            <w:pPr>
              <w:jc w:val="center"/>
              <w:spacing w:after="0"/>
              <w:rPr>
                <w:sz w:val="20"/>
                <w:szCs w:val="20"/>
                <w:color w:val="auto"/>
              </w:rPr>
            </w:pPr>
            <w:r>
              <w:rPr>
                <w:rFonts w:ascii="Arial" w:cs="Arial" w:eastAsia="Arial" w:hAnsi="Arial"/>
                <w:sz w:val="14"/>
                <w:szCs w:val="14"/>
                <w:b w:val="1"/>
                <w:bCs w:val="1"/>
                <w:color w:val="auto"/>
              </w:rPr>
              <w:t>Threshold</w:t>
            </w:r>
          </w:p>
        </w:tc>
        <w:tc>
          <w:tcPr>
            <w:tcW w:w="980" w:type="dxa"/>
            <w:vAlign w:val="bottom"/>
            <w:tcBorders>
              <w:bottom w:val="single" w:sz="8" w:color="0072AF"/>
            </w:tcBorders>
          </w:tcPr>
          <w:p>
            <w:pPr>
              <w:jc w:val="center"/>
              <w:spacing w:after="0"/>
              <w:rPr>
                <w:sz w:val="20"/>
                <w:szCs w:val="20"/>
                <w:color w:val="auto"/>
              </w:rPr>
            </w:pPr>
            <w:r>
              <w:rPr>
                <w:rFonts w:ascii="Arial" w:cs="Arial" w:eastAsia="Arial" w:hAnsi="Arial"/>
                <w:sz w:val="14"/>
                <w:szCs w:val="14"/>
                <w:b w:val="1"/>
                <w:bCs w:val="1"/>
                <w:color w:val="auto"/>
                <w:w w:val="98"/>
              </w:rPr>
              <w:t>Target</w:t>
            </w:r>
          </w:p>
        </w:tc>
        <w:tc>
          <w:tcPr>
            <w:tcW w:w="1120" w:type="dxa"/>
            <w:vAlign w:val="bottom"/>
            <w:tcBorders>
              <w:bottom w:val="single" w:sz="8" w:color="0072AF"/>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1020" w:type="dxa"/>
            <w:vAlign w:val="bottom"/>
            <w:tcBorders>
              <w:bottom w:val="single" w:sz="8" w:color="0072AF"/>
            </w:tcBorders>
          </w:tcPr>
          <w:p>
            <w:pPr>
              <w:ind w:left="280"/>
              <w:spacing w:after="0"/>
              <w:rPr>
                <w:sz w:val="20"/>
                <w:szCs w:val="20"/>
                <w:color w:val="auto"/>
              </w:rPr>
            </w:pPr>
            <w:r>
              <w:rPr>
                <w:rFonts w:ascii="Arial" w:cs="Arial" w:eastAsia="Arial" w:hAnsi="Arial"/>
                <w:sz w:val="14"/>
                <w:szCs w:val="14"/>
                <w:b w:val="1"/>
                <w:bCs w:val="1"/>
                <w:color w:val="auto"/>
              </w:rPr>
              <w:t>Result</w:t>
            </w:r>
          </w:p>
        </w:tc>
        <w:tc>
          <w:tcPr>
            <w:tcW w:w="940" w:type="dxa"/>
            <w:vAlign w:val="bottom"/>
            <w:tcBorders>
              <w:bottom w:val="single" w:sz="8" w:color="0072AF"/>
            </w:tcBorders>
          </w:tcPr>
          <w:p>
            <w:pPr>
              <w:jc w:val="center"/>
              <w:ind w:left="20"/>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330"/>
        </w:trPr>
        <w:tc>
          <w:tcPr>
            <w:tcW w:w="2820" w:type="dxa"/>
            <w:vAlign w:val="bottom"/>
            <w:tcBorders>
              <w:right w:val="single" w:sz="8" w:color="0072AF"/>
            </w:tcBorders>
          </w:tcPr>
          <w:p>
            <w:pPr>
              <w:ind w:left="80"/>
              <w:spacing w:after="0"/>
              <w:rPr>
                <w:sz w:val="20"/>
                <w:szCs w:val="20"/>
                <w:color w:val="auto"/>
              </w:rPr>
            </w:pPr>
            <w:r>
              <w:rPr>
                <w:rFonts w:ascii="Arial" w:cs="Arial" w:eastAsia="Arial" w:hAnsi="Arial"/>
                <w:sz w:val="18"/>
                <w:szCs w:val="18"/>
                <w:b w:val="1"/>
                <w:bCs w:val="1"/>
                <w:color w:val="auto"/>
              </w:rPr>
              <w:t>Adjusted Earnings Before</w:t>
            </w:r>
          </w:p>
        </w:tc>
        <w:tc>
          <w:tcPr>
            <w:tcW w:w="1140" w:type="dxa"/>
            <w:vAlign w:val="bottom"/>
            <w:vMerge w:val="restart"/>
            <w:shd w:val="clear" w:color="auto" w:fill="CBCEE0"/>
          </w:tcPr>
          <w:p>
            <w:pPr>
              <w:jc w:val="center"/>
              <w:spacing w:after="0"/>
              <w:rPr>
                <w:sz w:val="20"/>
                <w:szCs w:val="20"/>
                <w:color w:val="auto"/>
              </w:rPr>
            </w:pPr>
            <w:r>
              <w:rPr>
                <w:rFonts w:ascii="Arial" w:cs="Arial" w:eastAsia="Arial" w:hAnsi="Arial"/>
                <w:sz w:val="18"/>
                <w:szCs w:val="18"/>
                <w:color w:val="auto"/>
                <w:w w:val="99"/>
              </w:rPr>
              <w:t>40%</w:t>
            </w:r>
          </w:p>
        </w:tc>
        <w:tc>
          <w:tcPr>
            <w:tcW w:w="1160" w:type="dxa"/>
            <w:vAlign w:val="bottom"/>
            <w:shd w:val="clear" w:color="auto" w:fill="CBCEE0"/>
          </w:tcPr>
          <w:p>
            <w:pPr>
              <w:jc w:val="right"/>
              <w:ind w:right="293"/>
              <w:spacing w:after="0"/>
              <w:rPr>
                <w:sz w:val="20"/>
                <w:szCs w:val="20"/>
                <w:color w:val="auto"/>
              </w:rPr>
            </w:pPr>
            <w:r>
              <w:rPr>
                <w:rFonts w:ascii="Arial" w:cs="Arial" w:eastAsia="Arial" w:hAnsi="Arial"/>
                <w:sz w:val="18"/>
                <w:szCs w:val="18"/>
                <w:color w:val="auto"/>
              </w:rPr>
              <w:t>$140</w:t>
            </w:r>
          </w:p>
        </w:tc>
        <w:tc>
          <w:tcPr>
            <w:tcW w:w="980" w:type="dxa"/>
            <w:vAlign w:val="bottom"/>
            <w:shd w:val="clear" w:color="auto" w:fill="CBCEE0"/>
          </w:tcPr>
          <w:p>
            <w:pPr>
              <w:jc w:val="center"/>
              <w:spacing w:after="0"/>
              <w:rPr>
                <w:sz w:val="20"/>
                <w:szCs w:val="20"/>
                <w:color w:val="auto"/>
              </w:rPr>
            </w:pPr>
            <w:r>
              <w:rPr>
                <w:rFonts w:ascii="Arial" w:cs="Arial" w:eastAsia="Arial" w:hAnsi="Arial"/>
                <w:sz w:val="18"/>
                <w:szCs w:val="18"/>
                <w:color w:val="auto"/>
                <w:w w:val="99"/>
              </w:rPr>
              <w:t>$193</w:t>
            </w:r>
          </w:p>
        </w:tc>
        <w:tc>
          <w:tcPr>
            <w:tcW w:w="1120" w:type="dxa"/>
            <w:vAlign w:val="bottom"/>
            <w:shd w:val="clear" w:color="auto" w:fill="CBCEE0"/>
          </w:tcPr>
          <w:p>
            <w:pPr>
              <w:jc w:val="center"/>
              <w:spacing w:after="0"/>
              <w:rPr>
                <w:sz w:val="20"/>
                <w:szCs w:val="20"/>
                <w:color w:val="auto"/>
              </w:rPr>
            </w:pPr>
            <w:r>
              <w:rPr>
                <w:rFonts w:ascii="Arial" w:cs="Arial" w:eastAsia="Arial" w:hAnsi="Arial"/>
                <w:sz w:val="18"/>
                <w:szCs w:val="18"/>
                <w:color w:val="auto"/>
                <w:w w:val="99"/>
              </w:rPr>
              <w:t>$223</w:t>
            </w:r>
          </w:p>
        </w:tc>
        <w:tc>
          <w:tcPr>
            <w:tcW w:w="1020" w:type="dxa"/>
            <w:vAlign w:val="bottom"/>
            <w:shd w:val="clear" w:color="auto" w:fill="CBCEE0"/>
          </w:tcPr>
          <w:p>
            <w:pPr>
              <w:ind w:left="280"/>
              <w:spacing w:after="0"/>
              <w:rPr>
                <w:sz w:val="20"/>
                <w:szCs w:val="20"/>
                <w:color w:val="auto"/>
              </w:rPr>
            </w:pPr>
            <w:r>
              <w:rPr>
                <w:rFonts w:ascii="Arial" w:cs="Arial" w:eastAsia="Arial" w:hAnsi="Arial"/>
                <w:sz w:val="18"/>
                <w:szCs w:val="18"/>
                <w:color w:val="auto"/>
              </w:rPr>
              <w:t>$145</w:t>
            </w:r>
          </w:p>
        </w:tc>
        <w:tc>
          <w:tcPr>
            <w:tcW w:w="940" w:type="dxa"/>
            <w:vAlign w:val="bottom"/>
            <w:tcBorders>
              <w:right w:val="single" w:sz="8" w:color="0072AF"/>
            </w:tcBorders>
            <w:vMerge w:val="restart"/>
            <w:shd w:val="clear" w:color="auto" w:fill="CBCEE0"/>
          </w:tcPr>
          <w:p>
            <w:pPr>
              <w:jc w:val="center"/>
              <w:ind w:left="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154"/>
        </w:trPr>
        <w:tc>
          <w:tcPr>
            <w:tcW w:w="2820" w:type="dxa"/>
            <w:vAlign w:val="bottom"/>
            <w:tcBorders>
              <w:right w:val="single" w:sz="8" w:color="0072AF"/>
            </w:tcBorders>
            <w:vMerge w:val="restart"/>
          </w:tcPr>
          <w:p>
            <w:pPr>
              <w:ind w:left="80"/>
              <w:spacing w:after="0"/>
              <w:rPr>
                <w:sz w:val="20"/>
                <w:szCs w:val="20"/>
                <w:color w:val="auto"/>
              </w:rPr>
            </w:pPr>
            <w:r>
              <w:rPr>
                <w:rFonts w:ascii="Arial" w:cs="Arial" w:eastAsia="Arial" w:hAnsi="Arial"/>
                <w:sz w:val="18"/>
                <w:szCs w:val="18"/>
                <w:b w:val="1"/>
                <w:bCs w:val="1"/>
                <w:color w:val="auto"/>
              </w:rPr>
              <w:t>Interest and Taxes</w:t>
            </w:r>
            <w:r>
              <w:rPr>
                <w:rFonts w:ascii="Arial" w:cs="Arial" w:eastAsia="Arial" w:hAnsi="Arial"/>
                <w:sz w:val="29"/>
                <w:szCs w:val="29"/>
                <w:b w:val="1"/>
                <w:bCs w:val="1"/>
                <w:color w:val="auto"/>
                <w:vertAlign w:val="superscript"/>
              </w:rPr>
              <w:t>(2)</w:t>
            </w:r>
          </w:p>
        </w:tc>
        <w:tc>
          <w:tcPr>
            <w:tcW w:w="1140" w:type="dxa"/>
            <w:vAlign w:val="bottom"/>
            <w:vMerge w:val="continue"/>
            <w:shd w:val="clear" w:color="auto" w:fill="CBCEE0"/>
          </w:tcPr>
          <w:p>
            <w:pPr>
              <w:spacing w:after="0"/>
              <w:rPr>
                <w:sz w:val="13"/>
                <w:szCs w:val="13"/>
                <w:color w:val="auto"/>
              </w:rPr>
            </w:pPr>
          </w:p>
        </w:tc>
        <w:tc>
          <w:tcPr>
            <w:tcW w:w="1160" w:type="dxa"/>
            <w:vAlign w:val="bottom"/>
            <w:vMerge w:val="restart"/>
            <w:shd w:val="clear" w:color="auto" w:fill="CBCEE0"/>
          </w:tcPr>
          <w:p>
            <w:pPr>
              <w:jc w:val="center"/>
              <w:spacing w:after="0"/>
              <w:rPr>
                <w:sz w:val="20"/>
                <w:szCs w:val="20"/>
                <w:color w:val="auto"/>
              </w:rPr>
            </w:pPr>
            <w:r>
              <w:rPr>
                <w:rFonts w:ascii="Arial" w:cs="Arial" w:eastAsia="Arial" w:hAnsi="Arial"/>
                <w:sz w:val="18"/>
                <w:szCs w:val="18"/>
                <w:color w:val="auto"/>
              </w:rPr>
              <w:t>million</w:t>
            </w:r>
          </w:p>
        </w:tc>
        <w:tc>
          <w:tcPr>
            <w:tcW w:w="980" w:type="dxa"/>
            <w:vAlign w:val="bottom"/>
            <w:vMerge w:val="restart"/>
            <w:shd w:val="clear" w:color="auto" w:fill="CBCEE0"/>
          </w:tcPr>
          <w:p>
            <w:pPr>
              <w:jc w:val="center"/>
              <w:spacing w:after="0"/>
              <w:rPr>
                <w:sz w:val="20"/>
                <w:szCs w:val="20"/>
                <w:color w:val="auto"/>
              </w:rPr>
            </w:pPr>
            <w:r>
              <w:rPr>
                <w:rFonts w:ascii="Arial" w:cs="Arial" w:eastAsia="Arial" w:hAnsi="Arial"/>
                <w:sz w:val="18"/>
                <w:szCs w:val="18"/>
                <w:color w:val="auto"/>
                <w:w w:val="97"/>
              </w:rPr>
              <w:t>million</w:t>
            </w:r>
          </w:p>
        </w:tc>
        <w:tc>
          <w:tcPr>
            <w:tcW w:w="1120" w:type="dxa"/>
            <w:vAlign w:val="bottom"/>
            <w:vMerge w:val="restart"/>
            <w:shd w:val="clear" w:color="auto" w:fill="CBCEE0"/>
          </w:tcPr>
          <w:p>
            <w:pPr>
              <w:jc w:val="center"/>
              <w:spacing w:after="0"/>
              <w:rPr>
                <w:sz w:val="20"/>
                <w:szCs w:val="20"/>
                <w:color w:val="auto"/>
              </w:rPr>
            </w:pPr>
            <w:r>
              <w:rPr>
                <w:rFonts w:ascii="Arial" w:cs="Arial" w:eastAsia="Arial" w:hAnsi="Arial"/>
                <w:sz w:val="18"/>
                <w:szCs w:val="18"/>
                <w:color w:val="auto"/>
              </w:rPr>
              <w:t>million</w:t>
            </w:r>
          </w:p>
        </w:tc>
        <w:tc>
          <w:tcPr>
            <w:tcW w:w="1020" w:type="dxa"/>
            <w:vAlign w:val="bottom"/>
            <w:vMerge w:val="restart"/>
            <w:shd w:val="clear" w:color="auto" w:fill="CBCEE0"/>
          </w:tcPr>
          <w:p>
            <w:pPr>
              <w:ind w:left="260"/>
              <w:spacing w:after="0"/>
              <w:rPr>
                <w:sz w:val="20"/>
                <w:szCs w:val="20"/>
                <w:color w:val="auto"/>
              </w:rPr>
            </w:pPr>
            <w:r>
              <w:rPr>
                <w:rFonts w:ascii="Arial" w:cs="Arial" w:eastAsia="Arial" w:hAnsi="Arial"/>
                <w:sz w:val="18"/>
                <w:szCs w:val="18"/>
                <w:color w:val="auto"/>
              </w:rPr>
              <w:t>million</w:t>
            </w:r>
          </w:p>
        </w:tc>
        <w:tc>
          <w:tcPr>
            <w:tcW w:w="940" w:type="dxa"/>
            <w:vAlign w:val="bottom"/>
            <w:tcBorders>
              <w:right w:val="single" w:sz="8" w:color="0072AF"/>
            </w:tcBorders>
            <w:vMerge w:val="continue"/>
            <w:shd w:val="clear" w:color="auto" w:fill="CBCEE0"/>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2820" w:type="dxa"/>
            <w:vAlign w:val="bottom"/>
            <w:tcBorders>
              <w:right w:val="single" w:sz="8" w:color="0072AF"/>
            </w:tcBorders>
            <w:vMerge w:val="continue"/>
          </w:tcPr>
          <w:p>
            <w:pPr>
              <w:spacing w:after="0"/>
              <w:rPr>
                <w:sz w:val="22"/>
                <w:szCs w:val="22"/>
                <w:color w:val="auto"/>
              </w:rPr>
            </w:pPr>
          </w:p>
        </w:tc>
        <w:tc>
          <w:tcPr>
            <w:tcW w:w="1140" w:type="dxa"/>
            <w:vAlign w:val="bottom"/>
            <w:tcBorders>
              <w:bottom w:val="single" w:sz="8" w:color="CBCEE0"/>
            </w:tcBorders>
            <w:shd w:val="clear" w:color="auto" w:fill="CBCEE0"/>
          </w:tcPr>
          <w:p>
            <w:pPr>
              <w:spacing w:after="0"/>
              <w:rPr>
                <w:sz w:val="22"/>
                <w:szCs w:val="22"/>
                <w:color w:val="auto"/>
              </w:rPr>
            </w:pPr>
          </w:p>
        </w:tc>
        <w:tc>
          <w:tcPr>
            <w:tcW w:w="1160" w:type="dxa"/>
            <w:vAlign w:val="bottom"/>
            <w:tcBorders>
              <w:bottom w:val="single" w:sz="8" w:color="CBCEE0"/>
            </w:tcBorders>
            <w:vMerge w:val="continue"/>
            <w:shd w:val="clear" w:color="auto" w:fill="CBCEE0"/>
          </w:tcPr>
          <w:p>
            <w:pPr>
              <w:spacing w:after="0"/>
              <w:rPr>
                <w:sz w:val="22"/>
                <w:szCs w:val="22"/>
                <w:color w:val="auto"/>
              </w:rPr>
            </w:pPr>
          </w:p>
        </w:tc>
        <w:tc>
          <w:tcPr>
            <w:tcW w:w="980" w:type="dxa"/>
            <w:vAlign w:val="bottom"/>
            <w:tcBorders>
              <w:bottom w:val="single" w:sz="8" w:color="CBCEE0"/>
            </w:tcBorders>
            <w:vMerge w:val="continue"/>
            <w:shd w:val="clear" w:color="auto" w:fill="CBCEE0"/>
          </w:tcPr>
          <w:p>
            <w:pPr>
              <w:spacing w:after="0"/>
              <w:rPr>
                <w:sz w:val="22"/>
                <w:szCs w:val="22"/>
                <w:color w:val="auto"/>
              </w:rPr>
            </w:pPr>
          </w:p>
        </w:tc>
        <w:tc>
          <w:tcPr>
            <w:tcW w:w="1120" w:type="dxa"/>
            <w:vAlign w:val="bottom"/>
            <w:tcBorders>
              <w:bottom w:val="single" w:sz="8" w:color="CBCEE0"/>
            </w:tcBorders>
            <w:vMerge w:val="continue"/>
            <w:shd w:val="clear" w:color="auto" w:fill="CBCEE0"/>
          </w:tcPr>
          <w:p>
            <w:pPr>
              <w:spacing w:after="0"/>
              <w:rPr>
                <w:sz w:val="22"/>
                <w:szCs w:val="22"/>
                <w:color w:val="auto"/>
              </w:rPr>
            </w:pPr>
          </w:p>
        </w:tc>
        <w:tc>
          <w:tcPr>
            <w:tcW w:w="1020" w:type="dxa"/>
            <w:vAlign w:val="bottom"/>
            <w:tcBorders>
              <w:bottom w:val="single" w:sz="8" w:color="CBCEE0"/>
            </w:tcBorders>
            <w:vMerge w:val="continue"/>
            <w:shd w:val="clear" w:color="auto" w:fill="CBCEE0"/>
          </w:tcPr>
          <w:p>
            <w:pPr>
              <w:spacing w:after="0"/>
              <w:rPr>
                <w:sz w:val="22"/>
                <w:szCs w:val="22"/>
                <w:color w:val="auto"/>
              </w:rPr>
            </w:pPr>
          </w:p>
        </w:tc>
        <w:tc>
          <w:tcPr>
            <w:tcW w:w="940" w:type="dxa"/>
            <w:vAlign w:val="bottom"/>
            <w:tcBorders>
              <w:bottom w:val="single" w:sz="8" w:color="CBCEE0"/>
              <w:right w:val="single" w:sz="8" w:color="0072AF"/>
            </w:tcBorders>
            <w:shd w:val="clear" w:color="auto" w:fill="CBCEE0"/>
          </w:tcPr>
          <w:p>
            <w:pPr>
              <w:spacing w:after="0"/>
              <w:rPr>
                <w:sz w:val="22"/>
                <w:szCs w:val="22"/>
                <w:color w:val="auto"/>
              </w:rPr>
            </w:pPr>
          </w:p>
        </w:tc>
        <w:tc>
          <w:tcPr>
            <w:tcW w:w="0" w:type="dxa"/>
            <w:vAlign w:val="bottom"/>
          </w:tcPr>
          <w:p>
            <w:pPr>
              <w:spacing w:after="0"/>
              <w:rPr>
                <w:sz w:val="1"/>
                <w:szCs w:val="1"/>
                <w:color w:val="auto"/>
              </w:rPr>
            </w:pPr>
          </w:p>
        </w:tc>
      </w:tr>
      <w:tr>
        <w:trPr>
          <w:trHeight w:val="363"/>
        </w:trPr>
        <w:tc>
          <w:tcPr>
            <w:tcW w:w="2820" w:type="dxa"/>
            <w:vAlign w:val="bottom"/>
            <w:tcBorders>
              <w:right w:val="single" w:sz="8" w:color="0072AF"/>
            </w:tcBorders>
          </w:tcPr>
          <w:p>
            <w:pPr>
              <w:ind w:left="80"/>
              <w:spacing w:after="0"/>
              <w:rPr>
                <w:sz w:val="20"/>
                <w:szCs w:val="20"/>
                <w:color w:val="auto"/>
              </w:rPr>
            </w:pPr>
            <w:r>
              <w:rPr>
                <w:rFonts w:ascii="Arial" w:cs="Arial" w:eastAsia="Arial" w:hAnsi="Arial"/>
                <w:sz w:val="18"/>
                <w:szCs w:val="18"/>
                <w:b w:val="1"/>
                <w:bCs w:val="1"/>
                <w:color w:val="auto"/>
              </w:rPr>
              <w:t>Adjusted Free Cash</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9"/>
              </w:rPr>
              <w:t>30%</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980" w:type="dxa"/>
            <w:vAlign w:val="bottom"/>
          </w:tcPr>
          <w:p>
            <w:pPr>
              <w:jc w:val="right"/>
              <w:ind w:right="253"/>
              <w:spacing w:after="0"/>
              <w:rPr>
                <w:sz w:val="20"/>
                <w:szCs w:val="20"/>
                <w:color w:val="auto"/>
              </w:rPr>
            </w:pPr>
            <w:r>
              <w:rPr>
                <w:rFonts w:ascii="Arial" w:cs="Arial" w:eastAsia="Arial" w:hAnsi="Arial"/>
                <w:sz w:val="18"/>
                <w:szCs w:val="18"/>
                <w:color w:val="auto"/>
              </w:rPr>
              <w:t>$55</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$120</w:t>
            </w:r>
          </w:p>
        </w:tc>
        <w:tc>
          <w:tcPr>
            <w:tcW w:w="1020" w:type="dxa"/>
            <w:vAlign w:val="bottom"/>
          </w:tcPr>
          <w:p>
            <w:pPr>
              <w:jc w:val="right"/>
              <w:ind w:right="275"/>
              <w:spacing w:after="0"/>
              <w:rPr>
                <w:sz w:val="20"/>
                <w:szCs w:val="20"/>
                <w:color w:val="auto"/>
              </w:rPr>
            </w:pPr>
            <w:r>
              <w:rPr>
                <w:rFonts w:ascii="Arial" w:cs="Arial" w:eastAsia="Arial" w:hAnsi="Arial"/>
                <w:sz w:val="18"/>
                <w:szCs w:val="18"/>
                <w:color w:val="auto"/>
              </w:rPr>
              <w:t>$25</w:t>
            </w:r>
          </w:p>
        </w:tc>
        <w:tc>
          <w:tcPr>
            <w:tcW w:w="940" w:type="dxa"/>
            <w:vAlign w:val="bottom"/>
            <w:tcBorders>
              <w:right w:val="single" w:sz="8" w:color="0072AF"/>
            </w:tcBorders>
            <w:vMerge w:val="restart"/>
          </w:tcPr>
          <w:p>
            <w:pPr>
              <w:jc w:val="center"/>
              <w:ind w:lef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154"/>
        </w:trPr>
        <w:tc>
          <w:tcPr>
            <w:tcW w:w="2820" w:type="dxa"/>
            <w:vAlign w:val="bottom"/>
            <w:tcBorders>
              <w:right w:val="single" w:sz="8" w:color="0072AF"/>
            </w:tcBorders>
            <w:vMerge w:val="restart"/>
          </w:tcPr>
          <w:p>
            <w:pPr>
              <w:ind w:left="80"/>
              <w:spacing w:after="0"/>
              <w:rPr>
                <w:sz w:val="20"/>
                <w:szCs w:val="20"/>
                <w:color w:val="auto"/>
              </w:rPr>
            </w:pPr>
            <w:r>
              <w:rPr>
                <w:rFonts w:ascii="Arial" w:cs="Arial" w:eastAsia="Arial" w:hAnsi="Arial"/>
                <w:sz w:val="18"/>
                <w:szCs w:val="18"/>
                <w:b w:val="1"/>
                <w:bCs w:val="1"/>
                <w:color w:val="auto"/>
              </w:rPr>
              <w:t>Flow</w:t>
            </w:r>
            <w:r>
              <w:rPr>
                <w:rFonts w:ascii="Arial" w:cs="Arial" w:eastAsia="Arial" w:hAnsi="Arial"/>
                <w:sz w:val="29"/>
                <w:szCs w:val="29"/>
                <w:b w:val="1"/>
                <w:bCs w:val="1"/>
                <w:color w:val="auto"/>
                <w:vertAlign w:val="superscript"/>
              </w:rPr>
              <w:t>(2)</w:t>
            </w:r>
          </w:p>
        </w:tc>
        <w:tc>
          <w:tcPr>
            <w:tcW w:w="1140" w:type="dxa"/>
            <w:vAlign w:val="bottom"/>
            <w:vMerge w:val="continue"/>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rPr>
              <w:t>million</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7"/>
              </w:rPr>
              <w:t>million</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rPr>
              <w:t>million</w:t>
            </w:r>
          </w:p>
        </w:tc>
        <w:tc>
          <w:tcPr>
            <w:tcW w:w="1020" w:type="dxa"/>
            <w:vAlign w:val="bottom"/>
            <w:vMerge w:val="restart"/>
          </w:tcPr>
          <w:p>
            <w:pPr>
              <w:ind w:left="260"/>
              <w:spacing w:after="0"/>
              <w:rPr>
                <w:sz w:val="20"/>
                <w:szCs w:val="20"/>
                <w:color w:val="auto"/>
              </w:rPr>
            </w:pPr>
            <w:r>
              <w:rPr>
                <w:rFonts w:ascii="Arial" w:cs="Arial" w:eastAsia="Arial" w:hAnsi="Arial"/>
                <w:sz w:val="18"/>
                <w:szCs w:val="18"/>
                <w:color w:val="auto"/>
              </w:rPr>
              <w:t>million</w:t>
            </w:r>
          </w:p>
        </w:tc>
        <w:tc>
          <w:tcPr>
            <w:tcW w:w="940" w:type="dxa"/>
            <w:vAlign w:val="bottom"/>
            <w:tcBorders>
              <w:right w:val="single" w:sz="8" w:color="0072A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820" w:type="dxa"/>
            <w:vAlign w:val="bottom"/>
            <w:tcBorders>
              <w:right w:val="single" w:sz="8" w:color="0072AF"/>
            </w:tcBorders>
            <w:vMerge w:val="continue"/>
          </w:tcPr>
          <w:p>
            <w:pPr>
              <w:spacing w:after="0"/>
              <w:rPr>
                <w:sz w:val="22"/>
                <w:szCs w:val="22"/>
                <w:color w:val="auto"/>
              </w:rPr>
            </w:pPr>
          </w:p>
        </w:tc>
        <w:tc>
          <w:tcPr>
            <w:tcW w:w="114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940" w:type="dxa"/>
            <w:vAlign w:val="bottom"/>
            <w:tcBorders>
              <w:right w:val="single" w:sz="8" w:color="0072AF"/>
            </w:tcBorders>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2820" w:type="dxa"/>
            <w:vAlign w:val="bottom"/>
            <w:tcBorders>
              <w:right w:val="single" w:sz="8" w:color="0072AF"/>
            </w:tcBorders>
            <w:vMerge w:val="restart"/>
          </w:tcPr>
          <w:p>
            <w:pPr>
              <w:ind w:left="80"/>
              <w:spacing w:after="0"/>
              <w:rPr>
                <w:sz w:val="20"/>
                <w:szCs w:val="20"/>
                <w:color w:val="auto"/>
              </w:rPr>
            </w:pPr>
            <w:r>
              <w:rPr>
                <w:rFonts w:ascii="Arial" w:cs="Arial" w:eastAsia="Arial" w:hAnsi="Arial"/>
                <w:sz w:val="18"/>
                <w:szCs w:val="18"/>
                <w:b w:val="1"/>
                <w:bCs w:val="1"/>
                <w:color w:val="auto"/>
              </w:rPr>
              <w:t>Revenue Growth</w:t>
            </w:r>
            <w:r>
              <w:rPr>
                <w:rFonts w:ascii="Arial" w:cs="Arial" w:eastAsia="Arial" w:hAnsi="Arial"/>
                <w:sz w:val="29"/>
                <w:szCs w:val="29"/>
                <w:b w:val="1"/>
                <w:bCs w:val="1"/>
                <w:color w:val="auto"/>
                <w:vertAlign w:val="superscript"/>
              </w:rPr>
              <w:t>(2)</w:t>
            </w: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Borders>
              <w:right w:val="single" w:sz="8" w:color="0072A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74"/>
        </w:trPr>
        <w:tc>
          <w:tcPr>
            <w:tcW w:w="2820" w:type="dxa"/>
            <w:vAlign w:val="bottom"/>
            <w:tcBorders>
              <w:right w:val="single" w:sz="8" w:color="0072AF"/>
            </w:tcBorders>
            <w:vMerge w:val="continue"/>
          </w:tcPr>
          <w:p>
            <w:pPr>
              <w:spacing w:after="0"/>
              <w:rPr>
                <w:sz w:val="24"/>
                <w:szCs w:val="24"/>
                <w:color w:val="auto"/>
              </w:rPr>
            </w:pPr>
          </w:p>
        </w:tc>
        <w:tc>
          <w:tcPr>
            <w:tcW w:w="114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8"/>
                <w:szCs w:val="18"/>
                <w:color w:val="auto"/>
                <w:w w:val="99"/>
              </w:rPr>
              <w:t>30%</w:t>
            </w:r>
          </w:p>
        </w:tc>
        <w:tc>
          <w:tcPr>
            <w:tcW w:w="1160" w:type="dxa"/>
            <w:vAlign w:val="bottom"/>
            <w:tcBorders>
              <w:bottom w:val="single" w:sz="8" w:color="CBCEE0"/>
            </w:tcBorders>
            <w:shd w:val="clear" w:color="auto" w:fill="CBCEE0"/>
          </w:tcPr>
          <w:p>
            <w:pPr>
              <w:jc w:val="right"/>
              <w:ind w:right="233"/>
              <w:spacing w:after="0"/>
              <w:rPr>
                <w:sz w:val="20"/>
                <w:szCs w:val="20"/>
                <w:color w:val="auto"/>
              </w:rPr>
            </w:pPr>
            <w:r>
              <w:rPr>
                <w:rFonts w:ascii="Arial" w:cs="Arial" w:eastAsia="Arial" w:hAnsi="Arial"/>
                <w:sz w:val="18"/>
                <w:szCs w:val="18"/>
                <w:color w:val="auto"/>
              </w:rPr>
              <w:t>(2.0%)</w:t>
            </w:r>
          </w:p>
        </w:tc>
        <w:tc>
          <w:tcPr>
            <w:tcW w:w="980" w:type="dxa"/>
            <w:vAlign w:val="bottom"/>
            <w:tcBorders>
              <w:bottom w:val="single" w:sz="8" w:color="CBCEE0"/>
            </w:tcBorders>
            <w:shd w:val="clear" w:color="auto" w:fill="CBCEE0"/>
          </w:tcPr>
          <w:p>
            <w:pPr>
              <w:jc w:val="right"/>
              <w:ind w:right="193"/>
              <w:spacing w:after="0"/>
              <w:rPr>
                <w:sz w:val="20"/>
                <w:szCs w:val="20"/>
                <w:color w:val="auto"/>
              </w:rPr>
            </w:pPr>
            <w:r>
              <w:rPr>
                <w:rFonts w:ascii="Arial" w:cs="Arial" w:eastAsia="Arial" w:hAnsi="Arial"/>
                <w:sz w:val="18"/>
                <w:szCs w:val="18"/>
                <w:color w:val="auto"/>
              </w:rPr>
              <w:t>3.0%</w:t>
            </w:r>
          </w:p>
        </w:tc>
        <w:tc>
          <w:tcPr>
            <w:tcW w:w="112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8"/>
                <w:szCs w:val="18"/>
                <w:color w:val="auto"/>
                <w:w w:val="97"/>
              </w:rPr>
              <w:t>7.0%</w:t>
            </w:r>
          </w:p>
        </w:tc>
        <w:tc>
          <w:tcPr>
            <w:tcW w:w="1020" w:type="dxa"/>
            <w:vAlign w:val="bottom"/>
            <w:tcBorders>
              <w:bottom w:val="single" w:sz="8" w:color="CBCEE0"/>
            </w:tcBorders>
            <w:shd w:val="clear" w:color="auto" w:fill="CBCEE0"/>
          </w:tcPr>
          <w:p>
            <w:pPr>
              <w:jc w:val="right"/>
              <w:ind w:right="155"/>
              <w:spacing w:after="0"/>
              <w:rPr>
                <w:sz w:val="20"/>
                <w:szCs w:val="20"/>
                <w:color w:val="auto"/>
              </w:rPr>
            </w:pPr>
            <w:r>
              <w:rPr>
                <w:rFonts w:ascii="Arial" w:cs="Arial" w:eastAsia="Arial" w:hAnsi="Arial"/>
                <w:sz w:val="18"/>
                <w:szCs w:val="18"/>
                <w:color w:val="auto"/>
              </w:rPr>
              <w:t>(3.5%)</w:t>
            </w:r>
          </w:p>
        </w:tc>
        <w:tc>
          <w:tcPr>
            <w:tcW w:w="940" w:type="dxa"/>
            <w:vAlign w:val="bottom"/>
            <w:tcBorders>
              <w:bottom w:val="single" w:sz="8" w:color="CBCEE0"/>
              <w:right w:val="single" w:sz="8" w:color="0072AF"/>
            </w:tcBorders>
            <w:shd w:val="clear" w:color="auto" w:fill="CBCEE0"/>
          </w:tcPr>
          <w:p>
            <w:pPr>
              <w:jc w:val="center"/>
              <w:ind w:left="20"/>
              <w:spacing w:after="0"/>
              <w:rPr>
                <w:sz w:val="20"/>
                <w:szCs w:val="20"/>
                <w:color w:val="auto"/>
              </w:rPr>
            </w:pPr>
            <w:r>
              <w:rPr>
                <w:rFonts w:ascii="Arial" w:cs="Arial" w:eastAsia="Arial" w:hAnsi="Arial"/>
                <w:sz w:val="18"/>
                <w:szCs w:val="18"/>
                <w:color w:val="auto"/>
                <w:w w:val="97"/>
              </w:rPr>
              <w:t>0.0%</w:t>
            </w:r>
          </w:p>
        </w:tc>
        <w:tc>
          <w:tcPr>
            <w:tcW w:w="0" w:type="dxa"/>
            <w:vAlign w:val="bottom"/>
          </w:tcPr>
          <w:p>
            <w:pPr>
              <w:spacing w:after="0"/>
              <w:rPr>
                <w:sz w:val="1"/>
                <w:szCs w:val="1"/>
                <w:color w:val="auto"/>
              </w:rPr>
            </w:pPr>
          </w:p>
        </w:tc>
      </w:tr>
      <w:tr>
        <w:trPr>
          <w:trHeight w:val="404"/>
        </w:trPr>
        <w:tc>
          <w:tcPr>
            <w:tcW w:w="2820" w:type="dxa"/>
            <w:vAlign w:val="bottom"/>
            <w:tcBorders>
              <w:right w:val="single" w:sz="8" w:color="0072AF"/>
            </w:tcBorders>
          </w:tcPr>
          <w:p>
            <w:pPr>
              <w:ind w:left="80"/>
              <w:spacing w:after="0"/>
              <w:rPr>
                <w:sz w:val="20"/>
                <w:szCs w:val="20"/>
                <w:color w:val="auto"/>
              </w:rPr>
            </w:pPr>
            <w:r>
              <w:rPr>
                <w:rFonts w:ascii="Arial" w:cs="Arial" w:eastAsia="Arial" w:hAnsi="Arial"/>
                <w:sz w:val="18"/>
                <w:szCs w:val="18"/>
                <w:b w:val="1"/>
                <w:bCs w:val="1"/>
                <w:color w:val="auto"/>
              </w:rPr>
              <w:t>Financial Objectives</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Borders>
              <w:right w:val="single" w:sz="8" w:color="0072AF"/>
            </w:tcBorders>
          </w:tcPr>
          <w:p>
            <w:pPr>
              <w:jc w:val="center"/>
              <w:ind w:left="2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55"/>
        </w:trPr>
        <w:tc>
          <w:tcPr>
            <w:tcW w:w="2820" w:type="dxa"/>
            <w:vAlign w:val="bottom"/>
            <w:tcBorders>
              <w:right w:val="single" w:sz="8" w:color="0072AF"/>
            </w:tcBorders>
          </w:tcPr>
          <w:p>
            <w:pPr>
              <w:spacing w:after="0"/>
              <w:rPr>
                <w:sz w:val="4"/>
                <w:szCs w:val="4"/>
                <w:color w:val="auto"/>
              </w:rPr>
            </w:pPr>
          </w:p>
        </w:tc>
        <w:tc>
          <w:tcPr>
            <w:tcW w:w="1140" w:type="dxa"/>
            <w:vAlign w:val="bottom"/>
            <w:tcBorders>
              <w:bottom w:val="single" w:sz="8" w:color="0072AF"/>
            </w:tcBorders>
          </w:tcPr>
          <w:p>
            <w:pPr>
              <w:spacing w:after="0"/>
              <w:rPr>
                <w:sz w:val="4"/>
                <w:szCs w:val="4"/>
                <w:color w:val="auto"/>
              </w:rPr>
            </w:pPr>
          </w:p>
        </w:tc>
        <w:tc>
          <w:tcPr>
            <w:tcW w:w="1160" w:type="dxa"/>
            <w:vAlign w:val="bottom"/>
            <w:tcBorders>
              <w:bottom w:val="single" w:sz="8" w:color="0072AF"/>
            </w:tcBorders>
          </w:tcPr>
          <w:p>
            <w:pPr>
              <w:spacing w:after="0"/>
              <w:rPr>
                <w:sz w:val="4"/>
                <w:szCs w:val="4"/>
                <w:color w:val="auto"/>
              </w:rPr>
            </w:pPr>
          </w:p>
        </w:tc>
        <w:tc>
          <w:tcPr>
            <w:tcW w:w="980" w:type="dxa"/>
            <w:vAlign w:val="bottom"/>
            <w:tcBorders>
              <w:bottom w:val="single" w:sz="8" w:color="0072AF"/>
            </w:tcBorders>
          </w:tcPr>
          <w:p>
            <w:pPr>
              <w:spacing w:after="0"/>
              <w:rPr>
                <w:sz w:val="4"/>
                <w:szCs w:val="4"/>
                <w:color w:val="auto"/>
              </w:rPr>
            </w:pPr>
          </w:p>
        </w:tc>
        <w:tc>
          <w:tcPr>
            <w:tcW w:w="1120" w:type="dxa"/>
            <w:vAlign w:val="bottom"/>
            <w:tcBorders>
              <w:bottom w:val="single" w:sz="8" w:color="0072AF"/>
            </w:tcBorders>
          </w:tcPr>
          <w:p>
            <w:pPr>
              <w:spacing w:after="0"/>
              <w:rPr>
                <w:sz w:val="4"/>
                <w:szCs w:val="4"/>
                <w:color w:val="auto"/>
              </w:rPr>
            </w:pPr>
          </w:p>
        </w:tc>
        <w:tc>
          <w:tcPr>
            <w:tcW w:w="1020" w:type="dxa"/>
            <w:vAlign w:val="bottom"/>
            <w:tcBorders>
              <w:bottom w:val="single" w:sz="8" w:color="0072AF"/>
            </w:tcBorders>
          </w:tcPr>
          <w:p>
            <w:pPr>
              <w:spacing w:after="0"/>
              <w:rPr>
                <w:sz w:val="4"/>
                <w:szCs w:val="4"/>
                <w:color w:val="auto"/>
              </w:rPr>
            </w:pPr>
          </w:p>
        </w:tc>
        <w:tc>
          <w:tcPr>
            <w:tcW w:w="940" w:type="dxa"/>
            <w:vAlign w:val="bottom"/>
            <w:tcBorders>
              <w:bottom w:val="single" w:sz="8" w:color="0072AF"/>
              <w:right w:val="single" w:sz="8" w:color="0072AF"/>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5816600</wp:posOffset>
            </wp:positionH>
            <wp:positionV relativeFrom="paragraph">
              <wp:posOffset>-2262505</wp:posOffset>
            </wp:positionV>
            <wp:extent cx="8255" cy="5911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59118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jc w:val="both"/>
        <w:ind w:left="340" w:right="20"/>
        <w:spacing w:after="0" w:line="236" w:lineRule="auto"/>
        <w:rPr>
          <w:sz w:val="20"/>
          <w:szCs w:val="20"/>
          <w:color w:val="auto"/>
        </w:rPr>
      </w:pPr>
      <w:r>
        <w:rPr>
          <w:rFonts w:ascii="Arial" w:cs="Arial" w:eastAsia="Arial" w:hAnsi="Arial"/>
          <w:sz w:val="14"/>
          <w:szCs w:val="14"/>
          <w:color w:val="auto"/>
        </w:rPr>
        <w:t xml:space="preserve">We set financial objective targets at the beginning of 2023 relative to Company budget on a continuing operations basis excluding any nonrecurring items. Please see “Reconciliation of Reported Consolidated Results to Adjusted Measures” on page </w:t>
      </w:r>
      <w:r>
        <w:rPr>
          <w:rFonts w:ascii="Arial" w:cs="Arial" w:eastAsia="Arial" w:hAnsi="Arial"/>
          <w:sz w:val="14"/>
          <w:szCs w:val="14"/>
          <w:u w:val="single" w:color="auto"/>
          <w:color w:val="0000EE"/>
        </w:rPr>
        <w:t>96</w:t>
      </w:r>
      <w:r>
        <w:rPr>
          <w:rFonts w:ascii="Arial" w:cs="Arial" w:eastAsia="Arial" w:hAnsi="Arial"/>
          <w:sz w:val="14"/>
          <w:szCs w:val="14"/>
          <w:color w:val="auto"/>
        </w:rPr>
        <w:t xml:space="preserve"> of this Proxy Statement and “Treatment of Special Events” beginning on page </w:t>
      </w:r>
      <w:r>
        <w:rPr>
          <w:rFonts w:ascii="Arial" w:cs="Arial" w:eastAsia="Arial" w:hAnsi="Arial"/>
          <w:sz w:val="14"/>
          <w:szCs w:val="14"/>
          <w:u w:val="single" w:color="auto"/>
          <w:color w:val="0000EE"/>
        </w:rPr>
        <w:t>74</w:t>
      </w:r>
      <w:r>
        <w:rPr>
          <w:rFonts w:ascii="Arial" w:cs="Arial" w:eastAsia="Arial" w:hAnsi="Arial"/>
          <w:sz w:val="14"/>
          <w:szCs w:val="14"/>
          <w:color w:val="auto"/>
        </w:rPr>
        <w:t xml:space="preserve"> of this Proxy Statement. We believe that the 2023 financial objectives at each level (threshold, target and maximum) accurately balance the difficulty of attainment of the level with the related pay-out. To simplify plan design, the payout curve of the annual incentive utilized a straight line methodology across payout levels for the 2023 performance year. The amounts under the Actual Pay-out as a % of Target column are rounded and do not appear to equal the total Financial Objective Multiplier due to rounding.</w:t>
      </w:r>
    </w:p>
    <w:p>
      <w:pPr>
        <w:spacing w:after="0" w:line="185" w:lineRule="auto"/>
        <w:rPr>
          <w:sz w:val="20"/>
          <w:szCs w:val="20"/>
          <w:color w:val="auto"/>
        </w:rPr>
      </w:pPr>
      <w:r>
        <w:rPr>
          <w:rFonts w:ascii="Arial" w:cs="Arial" w:eastAsia="Arial" w:hAnsi="Arial"/>
          <w:sz w:val="9"/>
          <w:szCs w:val="9"/>
          <w:color w:val="auto"/>
        </w:rPr>
        <w:t>(2)</w:t>
      </w:r>
    </w:p>
    <w:p>
      <w:pPr>
        <w:jc w:val="both"/>
        <w:ind w:left="340" w:right="20"/>
        <w:spacing w:after="0" w:line="264" w:lineRule="auto"/>
        <w:rPr>
          <w:sz w:val="20"/>
          <w:szCs w:val="20"/>
          <w:color w:val="auto"/>
        </w:rPr>
      </w:pPr>
      <w:r>
        <w:rPr>
          <w:rFonts w:ascii="Arial" w:cs="Arial" w:eastAsia="Arial" w:hAnsi="Arial"/>
          <w:sz w:val="14"/>
          <w:szCs w:val="14"/>
          <w:color w:val="auto"/>
        </w:rPr>
        <w:t xml:space="preserve">Adjusted EBIT, Adjusted FCF, and Revenue growth are non-GAAP measures. For a reconciliation and additional information, please see “Reconciliation of Reported Consolidated Results to Adjusted Measures” on page </w:t>
      </w:r>
      <w:r>
        <w:rPr>
          <w:rFonts w:ascii="Arial" w:cs="Arial" w:eastAsia="Arial" w:hAnsi="Arial"/>
          <w:sz w:val="14"/>
          <w:szCs w:val="14"/>
          <w:u w:val="single" w:color="auto"/>
          <w:color w:val="0000EE"/>
        </w:rPr>
        <w:t>96</w:t>
      </w:r>
      <w:r>
        <w:rPr>
          <w:rFonts w:ascii="Arial" w:cs="Arial" w:eastAsia="Arial" w:hAnsi="Arial"/>
          <w:sz w:val="14"/>
          <w:szCs w:val="14"/>
          <w:color w:val="auto"/>
        </w:rPr>
        <w:t xml:space="preserve"> of this Proxy Statement.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23"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Next, the Committee assessed the predetermined goals for the 2023 strategic modifier, which included a focus on Voice of the Client and actions to build a high performance, client oriented culture throughout the organization. These strategic goals are quantifiable measures that are deemed to be important to the successful operation of the enterprise above and beyond financial goals.</w:t>
      </w:r>
    </w:p>
    <w:p>
      <w:pPr>
        <w:spacing w:after="0" w:line="147"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The strategic multiplier resulted in an application of 4.5 percentage points. Our Net Promoter Score increased year over year, and we saw ongoing strength in our engagement metric scores for 2023 with the majority of categories exceeding or far exceeding high performance marks. Additionally, we exceeded high performing participation rates as defined by Willis Towers Watson. The newly established D&amp;I threshold was exceeded enabling the high performance culture portion of the strategic modifier to pay-out. The Company did not achieve target level performance for the Revenue Growth and the Adjusted EBIT objectives.</w:t>
      </w:r>
    </w:p>
    <w:p>
      <w:pPr>
        <w:spacing w:after="0" w:line="13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 xml:space="preserve">The combination of achievement against the financial and strategic objectives resulted in a multiplier of 43.2% for the total 2023 Annual Incentive pay-out. For a reconciliation of GAAP to Non-GAAP measures, please see “Reconciliation of Reported Consolidated Results to Adjusted Measures” on page </w:t>
      </w:r>
      <w:r>
        <w:rPr>
          <w:rFonts w:ascii="Arial" w:cs="Arial" w:eastAsia="Arial" w:hAnsi="Arial"/>
          <w:sz w:val="18"/>
          <w:szCs w:val="18"/>
          <w:u w:val="single" w:color="auto"/>
          <w:color w:val="0000EE"/>
        </w:rPr>
        <w:t>96</w:t>
      </w:r>
      <w:r>
        <w:rPr>
          <w:rFonts w:ascii="Arial" w:cs="Arial" w:eastAsia="Arial" w:hAnsi="Arial"/>
          <w:sz w:val="18"/>
          <w:szCs w:val="18"/>
          <w:color w:val="auto"/>
        </w:rPr>
        <w:t xml:space="preserve"> of this Proxy Statement.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compares the actual pay-outs in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2640" w:type="dxa"/>
            <w:vAlign w:val="bottom"/>
          </w:tcPr>
          <w:p>
            <w:pPr>
              <w:jc w:val="right"/>
              <w:ind w:right="262"/>
              <w:spacing w:after="0"/>
              <w:rPr>
                <w:sz w:val="20"/>
                <w:szCs w:val="20"/>
                <w:color w:val="auto"/>
              </w:rPr>
            </w:pPr>
            <w:r>
              <w:rPr>
                <w:rFonts w:ascii="Arial" w:cs="Arial" w:eastAsia="Arial" w:hAnsi="Arial"/>
                <w:sz w:val="14"/>
                <w:szCs w:val="14"/>
                <w:b w:val="1"/>
                <w:bCs w:val="1"/>
                <w:color w:val="auto"/>
              </w:rPr>
              <w:t>2023 Actual Pay-out</w:t>
            </w:r>
          </w:p>
        </w:tc>
        <w:tc>
          <w:tcPr>
            <w:tcW w:w="2000" w:type="dxa"/>
            <w:vAlign w:val="bottom"/>
          </w:tcPr>
          <w:p>
            <w:pPr>
              <w:jc w:val="right"/>
              <w:ind w:right="262"/>
              <w:spacing w:after="0"/>
              <w:rPr>
                <w:sz w:val="20"/>
                <w:szCs w:val="20"/>
                <w:color w:val="auto"/>
              </w:rPr>
            </w:pPr>
            <w:r>
              <w:rPr>
                <w:rFonts w:ascii="Arial" w:cs="Arial" w:eastAsia="Arial" w:hAnsi="Arial"/>
                <w:sz w:val="14"/>
                <w:szCs w:val="14"/>
                <w:b w:val="1"/>
                <w:bCs w:val="1"/>
                <w:color w:val="auto"/>
              </w:rPr>
              <w:t>2022 Actual Pay-out</w:t>
            </w:r>
          </w:p>
        </w:tc>
        <w:tc>
          <w:tcPr>
            <w:tcW w:w="1860" w:type="dxa"/>
            <w:vAlign w:val="bottom"/>
          </w:tcPr>
          <w:p>
            <w:pPr>
              <w:jc w:val="center"/>
              <w:ind w:left="125"/>
              <w:spacing w:after="0"/>
              <w:rPr>
                <w:sz w:val="20"/>
                <w:szCs w:val="20"/>
                <w:color w:val="auto"/>
              </w:rPr>
            </w:pPr>
            <w:r>
              <w:rPr>
                <w:rFonts w:ascii="Arial" w:cs="Arial" w:eastAsia="Arial" w:hAnsi="Arial"/>
                <w:sz w:val="14"/>
                <w:szCs w:val="14"/>
                <w:b w:val="1"/>
                <w:bCs w:val="1"/>
                <w:color w:val="auto"/>
              </w:rPr>
              <w:t>Total Multiplier Change</w:t>
            </w:r>
          </w:p>
        </w:tc>
      </w:tr>
      <w:tr>
        <w:trPr>
          <w:trHeight w:val="196"/>
        </w:trPr>
        <w:tc>
          <w:tcPr>
            <w:tcW w:w="2680" w:type="dxa"/>
            <w:vAlign w:val="bottom"/>
          </w:tcPr>
          <w:p>
            <w:pPr>
              <w:spacing w:after="0"/>
              <w:rPr>
                <w:sz w:val="20"/>
                <w:szCs w:val="20"/>
                <w:color w:val="auto"/>
              </w:rPr>
            </w:pPr>
            <w:r>
              <w:rPr>
                <w:rFonts w:ascii="Arial" w:cs="Arial" w:eastAsia="Arial" w:hAnsi="Arial"/>
                <w:sz w:val="14"/>
                <w:szCs w:val="14"/>
                <w:b w:val="1"/>
                <w:bCs w:val="1"/>
                <w:color w:val="auto"/>
              </w:rPr>
              <w:t>Annual Incentive</w:t>
            </w:r>
          </w:p>
        </w:tc>
        <w:tc>
          <w:tcPr>
            <w:tcW w:w="2640" w:type="dxa"/>
            <w:vAlign w:val="bottom"/>
          </w:tcPr>
          <w:p>
            <w:pPr>
              <w:jc w:val="right"/>
              <w:ind w:right="142"/>
              <w:spacing w:after="0"/>
              <w:rPr>
                <w:sz w:val="20"/>
                <w:szCs w:val="20"/>
                <w:color w:val="auto"/>
              </w:rPr>
            </w:pPr>
            <w:r>
              <w:rPr>
                <w:rFonts w:ascii="Arial" w:cs="Arial" w:eastAsia="Arial" w:hAnsi="Arial"/>
                <w:sz w:val="14"/>
                <w:szCs w:val="14"/>
                <w:b w:val="1"/>
                <w:bCs w:val="1"/>
                <w:color w:val="auto"/>
              </w:rPr>
              <w:t>Factor as a % of Target</w:t>
            </w:r>
          </w:p>
        </w:tc>
        <w:tc>
          <w:tcPr>
            <w:tcW w:w="2000" w:type="dxa"/>
            <w:vAlign w:val="bottom"/>
          </w:tcPr>
          <w:p>
            <w:pPr>
              <w:jc w:val="right"/>
              <w:ind w:right="142"/>
              <w:spacing w:after="0"/>
              <w:rPr>
                <w:sz w:val="20"/>
                <w:szCs w:val="20"/>
                <w:color w:val="auto"/>
              </w:rPr>
            </w:pPr>
            <w:r>
              <w:rPr>
                <w:rFonts w:ascii="Arial" w:cs="Arial" w:eastAsia="Arial" w:hAnsi="Arial"/>
                <w:sz w:val="14"/>
                <w:szCs w:val="14"/>
                <w:b w:val="1"/>
                <w:bCs w:val="1"/>
                <w:color w:val="auto"/>
              </w:rPr>
              <w:t>Factor as a % of Target</w:t>
            </w:r>
          </w:p>
        </w:tc>
        <w:tc>
          <w:tcPr>
            <w:tcW w:w="1860" w:type="dxa"/>
            <w:vAlign w:val="bottom"/>
          </w:tcPr>
          <w:p>
            <w:pPr>
              <w:jc w:val="center"/>
              <w:ind w:left="145"/>
              <w:spacing w:after="0"/>
              <w:rPr>
                <w:sz w:val="20"/>
                <w:szCs w:val="20"/>
                <w:color w:val="auto"/>
              </w:rPr>
            </w:pPr>
            <w:r>
              <w:rPr>
                <w:rFonts w:ascii="Arial" w:cs="Arial" w:eastAsia="Arial" w:hAnsi="Arial"/>
                <w:sz w:val="14"/>
                <w:szCs w:val="14"/>
                <w:b w:val="1"/>
                <w:bCs w:val="1"/>
                <w:color w:val="auto"/>
              </w:rPr>
              <w:t>2023 vs. 2022</w:t>
            </w:r>
          </w:p>
        </w:tc>
      </w:tr>
      <w:tr>
        <w:trPr>
          <w:trHeight w:val="56"/>
        </w:trPr>
        <w:tc>
          <w:tcPr>
            <w:tcW w:w="2680" w:type="dxa"/>
            <w:vAlign w:val="bottom"/>
            <w:tcBorders>
              <w:bottom w:val="single" w:sz="8" w:color="0072AF"/>
            </w:tcBorders>
          </w:tcPr>
          <w:p>
            <w:pPr>
              <w:spacing w:after="0"/>
              <w:rPr>
                <w:sz w:val="4"/>
                <w:szCs w:val="4"/>
                <w:color w:val="auto"/>
              </w:rPr>
            </w:pPr>
          </w:p>
        </w:tc>
        <w:tc>
          <w:tcPr>
            <w:tcW w:w="2640" w:type="dxa"/>
            <w:vAlign w:val="bottom"/>
            <w:tcBorders>
              <w:bottom w:val="single" w:sz="8" w:color="0072AF"/>
            </w:tcBorders>
          </w:tcPr>
          <w:p>
            <w:pPr>
              <w:spacing w:after="0"/>
              <w:rPr>
                <w:sz w:val="4"/>
                <w:szCs w:val="4"/>
                <w:color w:val="auto"/>
              </w:rPr>
            </w:pPr>
          </w:p>
        </w:tc>
        <w:tc>
          <w:tcPr>
            <w:tcW w:w="2000" w:type="dxa"/>
            <w:vAlign w:val="bottom"/>
            <w:tcBorders>
              <w:bottom w:val="single" w:sz="8" w:color="0072AF"/>
            </w:tcBorders>
          </w:tcPr>
          <w:p>
            <w:pPr>
              <w:spacing w:after="0"/>
              <w:rPr>
                <w:sz w:val="4"/>
                <w:szCs w:val="4"/>
                <w:color w:val="auto"/>
              </w:rPr>
            </w:pPr>
          </w:p>
        </w:tc>
        <w:tc>
          <w:tcPr>
            <w:tcW w:w="1860" w:type="dxa"/>
            <w:vAlign w:val="bottom"/>
            <w:tcBorders>
              <w:bottom w:val="single" w:sz="8" w:color="0072AF"/>
            </w:tcBorders>
          </w:tcPr>
          <w:p>
            <w:pPr>
              <w:spacing w:after="0"/>
              <w:rPr>
                <w:sz w:val="4"/>
                <w:szCs w:val="4"/>
                <w:color w:val="auto"/>
              </w:rPr>
            </w:pPr>
          </w:p>
        </w:tc>
      </w:tr>
      <w:tr>
        <w:trPr>
          <w:trHeight w:val="311"/>
        </w:trPr>
        <w:tc>
          <w:tcPr>
            <w:tcW w:w="2680" w:type="dxa"/>
            <w:vAlign w:val="bottom"/>
            <w:tcBorders>
              <w:bottom w:val="single" w:sz="8" w:color="CBCEE0"/>
            </w:tcBorders>
            <w:shd w:val="clear" w:color="auto" w:fill="CBCEE0"/>
          </w:tcPr>
          <w:p>
            <w:pPr>
              <w:ind w:left="100"/>
              <w:spacing w:after="0"/>
              <w:rPr>
                <w:sz w:val="20"/>
                <w:szCs w:val="20"/>
                <w:color w:val="auto"/>
              </w:rPr>
            </w:pPr>
            <w:r>
              <w:rPr>
                <w:rFonts w:ascii="Arial" w:cs="Arial" w:eastAsia="Arial" w:hAnsi="Arial"/>
                <w:sz w:val="16"/>
                <w:szCs w:val="16"/>
                <w:color w:val="auto"/>
              </w:rPr>
              <w:t>Financial Objectives</w:t>
            </w:r>
          </w:p>
        </w:tc>
        <w:tc>
          <w:tcPr>
            <w:tcW w:w="2640" w:type="dxa"/>
            <w:vAlign w:val="bottom"/>
            <w:tcBorders>
              <w:bottom w:val="single" w:sz="8" w:color="CBCEE0"/>
            </w:tcBorders>
            <w:shd w:val="clear" w:color="auto" w:fill="CBCEE0"/>
          </w:tcPr>
          <w:p>
            <w:pPr>
              <w:jc w:val="right"/>
              <w:ind w:right="682"/>
              <w:spacing w:after="0"/>
              <w:rPr>
                <w:sz w:val="20"/>
                <w:szCs w:val="20"/>
                <w:color w:val="auto"/>
              </w:rPr>
            </w:pPr>
            <w:r>
              <w:rPr>
                <w:rFonts w:ascii="Arial" w:cs="Arial" w:eastAsia="Arial" w:hAnsi="Arial"/>
                <w:sz w:val="16"/>
                <w:szCs w:val="16"/>
                <w:color w:val="auto"/>
              </w:rPr>
              <w:t>38.7%</w:t>
            </w:r>
          </w:p>
        </w:tc>
        <w:tc>
          <w:tcPr>
            <w:tcW w:w="2000" w:type="dxa"/>
            <w:vAlign w:val="bottom"/>
            <w:tcBorders>
              <w:bottom w:val="single" w:sz="8" w:color="CBCEE0"/>
            </w:tcBorders>
            <w:shd w:val="clear" w:color="auto" w:fill="CBCEE0"/>
          </w:tcPr>
          <w:p>
            <w:pPr>
              <w:jc w:val="right"/>
              <w:ind w:right="662"/>
              <w:spacing w:after="0"/>
              <w:rPr>
                <w:sz w:val="20"/>
                <w:szCs w:val="20"/>
                <w:color w:val="auto"/>
              </w:rPr>
            </w:pPr>
            <w:r>
              <w:rPr>
                <w:rFonts w:ascii="Arial" w:cs="Arial" w:eastAsia="Arial" w:hAnsi="Arial"/>
                <w:sz w:val="16"/>
                <w:szCs w:val="16"/>
                <w:color w:val="auto"/>
              </w:rPr>
              <w:t>46.9%</w:t>
            </w:r>
          </w:p>
        </w:tc>
        <w:tc>
          <w:tcPr>
            <w:tcW w:w="1860" w:type="dxa"/>
            <w:vAlign w:val="bottom"/>
            <w:tcBorders>
              <w:bottom w:val="single" w:sz="8" w:color="CBCEE0"/>
            </w:tcBorders>
            <w:shd w:val="clear" w:color="auto" w:fill="CBCEE0"/>
          </w:tcPr>
          <w:p>
            <w:pPr>
              <w:spacing w:after="0"/>
              <w:rPr>
                <w:sz w:val="24"/>
                <w:szCs w:val="24"/>
                <w:color w:val="auto"/>
              </w:rPr>
            </w:pPr>
          </w:p>
        </w:tc>
      </w:tr>
      <w:tr>
        <w:trPr>
          <w:trHeight w:val="268"/>
        </w:trPr>
        <w:tc>
          <w:tcPr>
            <w:tcW w:w="2680" w:type="dxa"/>
            <w:vAlign w:val="bottom"/>
          </w:tcPr>
          <w:p>
            <w:pPr>
              <w:ind w:left="100"/>
              <w:spacing w:after="0"/>
              <w:rPr>
                <w:sz w:val="20"/>
                <w:szCs w:val="20"/>
                <w:color w:val="auto"/>
              </w:rPr>
            </w:pPr>
            <w:r>
              <w:rPr>
                <w:rFonts w:ascii="Arial" w:cs="Arial" w:eastAsia="Arial" w:hAnsi="Arial"/>
                <w:sz w:val="16"/>
                <w:szCs w:val="16"/>
                <w:color w:val="auto"/>
              </w:rPr>
              <w:t>Strategic Modifier</w:t>
            </w:r>
          </w:p>
        </w:tc>
        <w:tc>
          <w:tcPr>
            <w:tcW w:w="2640" w:type="dxa"/>
            <w:vAlign w:val="bottom"/>
          </w:tcPr>
          <w:p>
            <w:pPr>
              <w:jc w:val="right"/>
              <w:ind w:right="682"/>
              <w:spacing w:after="0"/>
              <w:rPr>
                <w:sz w:val="20"/>
                <w:szCs w:val="20"/>
                <w:color w:val="auto"/>
              </w:rPr>
            </w:pPr>
            <w:r>
              <w:rPr>
                <w:rFonts w:ascii="Arial" w:cs="Arial" w:eastAsia="Arial" w:hAnsi="Arial"/>
                <w:sz w:val="16"/>
                <w:szCs w:val="16"/>
                <w:color w:val="auto"/>
              </w:rPr>
              <w:t>4.5%</w:t>
            </w:r>
          </w:p>
        </w:tc>
        <w:tc>
          <w:tcPr>
            <w:tcW w:w="2000" w:type="dxa"/>
            <w:vAlign w:val="bottom"/>
          </w:tcPr>
          <w:p>
            <w:pPr>
              <w:jc w:val="right"/>
              <w:ind w:right="662"/>
              <w:spacing w:after="0"/>
              <w:rPr>
                <w:sz w:val="20"/>
                <w:szCs w:val="20"/>
                <w:color w:val="auto"/>
              </w:rPr>
            </w:pPr>
            <w:r>
              <w:rPr>
                <w:rFonts w:ascii="Arial" w:cs="Arial" w:eastAsia="Arial" w:hAnsi="Arial"/>
                <w:sz w:val="16"/>
                <w:szCs w:val="16"/>
                <w:color w:val="auto"/>
              </w:rPr>
              <w:t>9.3%</w:t>
            </w:r>
          </w:p>
        </w:tc>
        <w:tc>
          <w:tcPr>
            <w:tcW w:w="1860" w:type="dxa"/>
            <w:vAlign w:val="bottom"/>
          </w:tcPr>
          <w:p>
            <w:pPr>
              <w:spacing w:after="0"/>
              <w:rPr>
                <w:sz w:val="23"/>
                <w:szCs w:val="23"/>
                <w:color w:val="auto"/>
              </w:rPr>
            </w:pPr>
          </w:p>
        </w:tc>
      </w:tr>
      <w:tr>
        <w:trPr>
          <w:trHeight w:val="56"/>
        </w:trPr>
        <w:tc>
          <w:tcPr>
            <w:tcW w:w="268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860" w:type="dxa"/>
            <w:vAlign w:val="bottom"/>
          </w:tcPr>
          <w:p>
            <w:pPr>
              <w:spacing w:after="0"/>
              <w:rPr>
                <w:sz w:val="4"/>
                <w:szCs w:val="4"/>
                <w:color w:val="auto"/>
              </w:rPr>
            </w:pPr>
          </w:p>
        </w:tc>
      </w:tr>
      <w:tr>
        <w:trPr>
          <w:trHeight w:val="304"/>
        </w:trPr>
        <w:tc>
          <w:tcPr>
            <w:tcW w:w="2680" w:type="dxa"/>
            <w:vAlign w:val="bottom"/>
            <w:tcBorders>
              <w:bottom w:val="single" w:sz="8" w:color="CBCEE0"/>
            </w:tcBorders>
            <w:shd w:val="clear" w:color="auto" w:fill="CBCEE0"/>
          </w:tcPr>
          <w:p>
            <w:pPr>
              <w:ind w:left="100"/>
              <w:spacing w:after="0"/>
              <w:rPr>
                <w:sz w:val="20"/>
                <w:szCs w:val="20"/>
                <w:color w:val="auto"/>
              </w:rPr>
            </w:pPr>
            <w:r>
              <w:rPr>
                <w:rFonts w:ascii="Arial" w:cs="Arial" w:eastAsia="Arial" w:hAnsi="Arial"/>
                <w:sz w:val="16"/>
                <w:szCs w:val="16"/>
                <w:color w:val="auto"/>
              </w:rPr>
              <w:t>Total Pay-out</w:t>
            </w:r>
          </w:p>
        </w:tc>
        <w:tc>
          <w:tcPr>
            <w:tcW w:w="2640" w:type="dxa"/>
            <w:vAlign w:val="bottom"/>
            <w:tcBorders>
              <w:bottom w:val="single" w:sz="8" w:color="CBCEE0"/>
            </w:tcBorders>
            <w:shd w:val="clear" w:color="auto" w:fill="CBCEE0"/>
          </w:tcPr>
          <w:p>
            <w:pPr>
              <w:jc w:val="right"/>
              <w:ind w:right="682"/>
              <w:spacing w:after="0"/>
              <w:rPr>
                <w:sz w:val="20"/>
                <w:szCs w:val="20"/>
                <w:color w:val="auto"/>
              </w:rPr>
            </w:pPr>
            <w:r>
              <w:rPr>
                <w:rFonts w:ascii="Arial" w:cs="Arial" w:eastAsia="Arial" w:hAnsi="Arial"/>
                <w:sz w:val="16"/>
                <w:szCs w:val="16"/>
                <w:color w:val="auto"/>
              </w:rPr>
              <w:t>43.2%</w:t>
            </w:r>
          </w:p>
        </w:tc>
        <w:tc>
          <w:tcPr>
            <w:tcW w:w="2000" w:type="dxa"/>
            <w:vAlign w:val="bottom"/>
            <w:tcBorders>
              <w:bottom w:val="single" w:sz="8" w:color="CBCEE0"/>
            </w:tcBorders>
            <w:shd w:val="clear" w:color="auto" w:fill="CBCEE0"/>
          </w:tcPr>
          <w:p>
            <w:pPr>
              <w:jc w:val="right"/>
              <w:ind w:right="662"/>
              <w:spacing w:after="0"/>
              <w:rPr>
                <w:sz w:val="20"/>
                <w:szCs w:val="20"/>
                <w:color w:val="auto"/>
              </w:rPr>
            </w:pPr>
            <w:r>
              <w:rPr>
                <w:rFonts w:ascii="Arial" w:cs="Arial" w:eastAsia="Arial" w:hAnsi="Arial"/>
                <w:sz w:val="16"/>
                <w:szCs w:val="16"/>
                <w:color w:val="auto"/>
              </w:rPr>
              <w:t>56.2%</w:t>
            </w:r>
          </w:p>
        </w:tc>
        <w:tc>
          <w:tcPr>
            <w:tcW w:w="1860" w:type="dxa"/>
            <w:vAlign w:val="bottom"/>
            <w:tcBorders>
              <w:bottom w:val="single" w:sz="8" w:color="CBCEE0"/>
            </w:tcBorders>
            <w:shd w:val="clear" w:color="auto" w:fill="CBCEE0"/>
          </w:tcPr>
          <w:p>
            <w:pPr>
              <w:spacing w:after="0"/>
              <w:rPr>
                <w:sz w:val="24"/>
                <w:szCs w:val="24"/>
                <w:color w:val="auto"/>
              </w:rPr>
            </w:pPr>
          </w:p>
        </w:tc>
      </w:tr>
      <w:tr>
        <w:trPr>
          <w:trHeight w:val="276"/>
        </w:trPr>
        <w:tc>
          <w:tcPr>
            <w:tcW w:w="2680" w:type="dxa"/>
            <w:vAlign w:val="bottom"/>
          </w:tcPr>
          <w:p>
            <w:pPr>
              <w:ind w:left="100"/>
              <w:spacing w:after="0"/>
              <w:rPr>
                <w:sz w:val="20"/>
                <w:szCs w:val="20"/>
                <w:color w:val="auto"/>
              </w:rPr>
            </w:pPr>
            <w:r>
              <w:rPr>
                <w:rFonts w:ascii="Arial" w:cs="Arial" w:eastAsia="Arial" w:hAnsi="Arial"/>
                <w:sz w:val="16"/>
                <w:szCs w:val="16"/>
                <w:b w:val="1"/>
                <w:bCs w:val="1"/>
                <w:color w:val="auto"/>
              </w:rPr>
              <w:t>Adjustment</w:t>
            </w:r>
          </w:p>
        </w:tc>
        <w:tc>
          <w:tcPr>
            <w:tcW w:w="2640" w:type="dxa"/>
            <w:vAlign w:val="bottom"/>
          </w:tcPr>
          <w:p>
            <w:pPr>
              <w:jc w:val="right"/>
              <w:ind w:right="702"/>
              <w:spacing w:after="0"/>
              <w:rPr>
                <w:sz w:val="20"/>
                <w:szCs w:val="20"/>
                <w:color w:val="auto"/>
              </w:rPr>
            </w:pPr>
            <w:r>
              <w:rPr>
                <w:rFonts w:ascii="Arial" w:cs="Arial" w:eastAsia="Arial" w:hAnsi="Arial"/>
                <w:sz w:val="16"/>
                <w:szCs w:val="16"/>
                <w:b w:val="1"/>
                <w:bCs w:val="1"/>
                <w:color w:val="auto"/>
              </w:rPr>
              <w:t>0%</w:t>
            </w:r>
          </w:p>
        </w:tc>
        <w:tc>
          <w:tcPr>
            <w:tcW w:w="2000" w:type="dxa"/>
            <w:vAlign w:val="bottom"/>
          </w:tcPr>
          <w:p>
            <w:pPr>
              <w:jc w:val="right"/>
              <w:ind w:right="622"/>
              <w:spacing w:after="0"/>
              <w:rPr>
                <w:sz w:val="20"/>
                <w:szCs w:val="20"/>
                <w:color w:val="auto"/>
              </w:rPr>
            </w:pPr>
            <w:r>
              <w:rPr>
                <w:rFonts w:ascii="Arial" w:cs="Arial" w:eastAsia="Arial" w:hAnsi="Arial"/>
                <w:sz w:val="16"/>
                <w:szCs w:val="16"/>
                <w:b w:val="1"/>
                <w:bCs w:val="1"/>
                <w:color w:val="auto"/>
              </w:rPr>
              <w:t>(9%)</w:t>
            </w:r>
          </w:p>
        </w:tc>
        <w:tc>
          <w:tcPr>
            <w:tcW w:w="1860" w:type="dxa"/>
            <w:vAlign w:val="bottom"/>
          </w:tcPr>
          <w:p>
            <w:pPr>
              <w:spacing w:after="0"/>
              <w:rPr>
                <w:sz w:val="24"/>
                <w:szCs w:val="24"/>
                <w:color w:val="auto"/>
              </w:rPr>
            </w:pPr>
          </w:p>
        </w:tc>
      </w:tr>
      <w:tr>
        <w:trPr>
          <w:trHeight w:val="48"/>
        </w:trPr>
        <w:tc>
          <w:tcPr>
            <w:tcW w:w="268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860" w:type="dxa"/>
            <w:vAlign w:val="bottom"/>
          </w:tcPr>
          <w:p>
            <w:pPr>
              <w:spacing w:after="0"/>
              <w:rPr>
                <w:sz w:val="4"/>
                <w:szCs w:val="4"/>
                <w:color w:val="auto"/>
              </w:rPr>
            </w:pPr>
          </w:p>
        </w:tc>
      </w:tr>
      <w:tr>
        <w:trPr>
          <w:trHeight w:val="276"/>
        </w:trPr>
        <w:tc>
          <w:tcPr>
            <w:tcW w:w="2680" w:type="dxa"/>
            <w:vAlign w:val="bottom"/>
            <w:shd w:val="clear" w:color="auto" w:fill="CBCEE0"/>
          </w:tcPr>
          <w:p>
            <w:pPr>
              <w:ind w:left="100"/>
              <w:spacing w:after="0"/>
              <w:rPr>
                <w:sz w:val="20"/>
                <w:szCs w:val="20"/>
                <w:color w:val="auto"/>
              </w:rPr>
            </w:pPr>
            <w:r>
              <w:rPr>
                <w:rFonts w:ascii="Arial" w:cs="Arial" w:eastAsia="Arial" w:hAnsi="Arial"/>
                <w:sz w:val="16"/>
                <w:szCs w:val="16"/>
                <w:b w:val="1"/>
                <w:bCs w:val="1"/>
                <w:color w:val="auto"/>
              </w:rPr>
              <w:t>Total Adjusted Pay-out</w:t>
            </w:r>
          </w:p>
        </w:tc>
        <w:tc>
          <w:tcPr>
            <w:tcW w:w="2640" w:type="dxa"/>
            <w:vAlign w:val="bottom"/>
            <w:shd w:val="clear" w:color="auto" w:fill="CBCEE0"/>
          </w:tcPr>
          <w:p>
            <w:pPr>
              <w:jc w:val="right"/>
              <w:ind w:right="682"/>
              <w:spacing w:after="0"/>
              <w:rPr>
                <w:sz w:val="20"/>
                <w:szCs w:val="20"/>
                <w:color w:val="auto"/>
              </w:rPr>
            </w:pPr>
            <w:r>
              <w:rPr>
                <w:rFonts w:ascii="Arial" w:cs="Arial" w:eastAsia="Arial" w:hAnsi="Arial"/>
                <w:sz w:val="16"/>
                <w:szCs w:val="16"/>
                <w:b w:val="1"/>
                <w:bCs w:val="1"/>
                <w:color w:val="auto"/>
              </w:rPr>
              <w:t>43.2%</w:t>
            </w:r>
          </w:p>
        </w:tc>
        <w:tc>
          <w:tcPr>
            <w:tcW w:w="2000" w:type="dxa"/>
            <w:vAlign w:val="bottom"/>
            <w:shd w:val="clear" w:color="auto" w:fill="CBCEE0"/>
          </w:tcPr>
          <w:p>
            <w:pPr>
              <w:jc w:val="right"/>
              <w:ind w:right="662"/>
              <w:spacing w:after="0"/>
              <w:rPr>
                <w:sz w:val="20"/>
                <w:szCs w:val="20"/>
                <w:color w:val="auto"/>
              </w:rPr>
            </w:pPr>
            <w:r>
              <w:rPr>
                <w:rFonts w:ascii="Arial" w:cs="Arial" w:eastAsia="Arial" w:hAnsi="Arial"/>
                <w:sz w:val="16"/>
                <w:szCs w:val="16"/>
                <w:b w:val="1"/>
                <w:bCs w:val="1"/>
                <w:color w:val="auto"/>
              </w:rPr>
              <w:t>47.2%</w:t>
            </w:r>
          </w:p>
        </w:tc>
        <w:tc>
          <w:tcPr>
            <w:tcW w:w="1860" w:type="dxa"/>
            <w:vAlign w:val="bottom"/>
            <w:shd w:val="clear" w:color="auto" w:fill="CBCEE0"/>
          </w:tcPr>
          <w:p>
            <w:pPr>
              <w:jc w:val="right"/>
              <w:ind w:right="465"/>
              <w:spacing w:after="0"/>
              <w:rPr>
                <w:sz w:val="20"/>
                <w:szCs w:val="20"/>
                <w:color w:val="auto"/>
              </w:rPr>
            </w:pPr>
            <w:r>
              <w:rPr>
                <w:rFonts w:ascii="Arial" w:cs="Arial" w:eastAsia="Arial" w:hAnsi="Arial"/>
                <w:sz w:val="16"/>
                <w:szCs w:val="16"/>
                <w:b w:val="1"/>
                <w:bCs w:val="1"/>
                <w:color w:val="auto"/>
              </w:rPr>
              <w:t>(4.0%)</w:t>
            </w:r>
          </w:p>
        </w:tc>
      </w:tr>
      <w:tr>
        <w:trPr>
          <w:trHeight w:val="62"/>
        </w:trPr>
        <w:tc>
          <w:tcPr>
            <w:tcW w:w="2680" w:type="dxa"/>
            <w:vAlign w:val="bottom"/>
            <w:shd w:val="clear" w:color="auto" w:fill="CBCEE0"/>
          </w:tcPr>
          <w:p>
            <w:pPr>
              <w:spacing w:after="0"/>
              <w:rPr>
                <w:sz w:val="5"/>
                <w:szCs w:val="5"/>
                <w:color w:val="auto"/>
              </w:rPr>
            </w:pPr>
          </w:p>
        </w:tc>
        <w:tc>
          <w:tcPr>
            <w:tcW w:w="2640" w:type="dxa"/>
            <w:vAlign w:val="bottom"/>
            <w:shd w:val="clear" w:color="auto" w:fill="CBCEE0"/>
          </w:tcPr>
          <w:p>
            <w:pPr>
              <w:spacing w:after="0"/>
              <w:rPr>
                <w:sz w:val="5"/>
                <w:szCs w:val="5"/>
                <w:color w:val="auto"/>
              </w:rPr>
            </w:pPr>
          </w:p>
        </w:tc>
        <w:tc>
          <w:tcPr>
            <w:tcW w:w="2000" w:type="dxa"/>
            <w:vAlign w:val="bottom"/>
            <w:shd w:val="clear" w:color="auto" w:fill="CBCEE0"/>
          </w:tcPr>
          <w:p>
            <w:pPr>
              <w:spacing w:after="0"/>
              <w:rPr>
                <w:sz w:val="5"/>
                <w:szCs w:val="5"/>
                <w:color w:val="auto"/>
              </w:rPr>
            </w:pPr>
          </w:p>
        </w:tc>
        <w:tc>
          <w:tcPr>
            <w:tcW w:w="1860" w:type="dxa"/>
            <w:vAlign w:val="bottom"/>
            <w:shd w:val="clear" w:color="auto" w:fill="CBCEE0"/>
          </w:tcPr>
          <w:p>
            <w:pPr>
              <w:spacing w:after="0"/>
              <w:rPr>
                <w:sz w:val="5"/>
                <w:szCs w:val="5"/>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B5A89"/>
        </w:rPr>
        <w:t>Long-term Incentives</w:t>
      </w:r>
    </w:p>
    <w:p>
      <w:pPr>
        <w:spacing w:after="0" w:line="11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Long-term incentive opportunities are designed to link the NEOs’ rewards to the Company’s long-term financial performance and stock price. We also provide long-term incentives to be competitive in the markets in which we operate and to attract and retain high performing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5829300" cy="12687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829300" cy="1268730"/>
                    </a:xfrm>
                    <a:prstGeom prst="rect">
                      <a:avLst/>
                    </a:prstGeom>
                    <a:noFill/>
                  </pic:spPr>
                </pic:pic>
              </a:graphicData>
            </a:graphic>
          </wp:anchor>
        </w:drawing>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Update for 2024:</w:t>
      </w:r>
    </w:p>
    <w:p>
      <w:pPr>
        <w:spacing w:after="0" w:line="158" w:lineRule="exact"/>
        <w:rPr>
          <w:sz w:val="20"/>
          <w:szCs w:val="20"/>
          <w:color w:val="auto"/>
        </w:rPr>
      </w:pPr>
    </w:p>
    <w:p>
      <w:pPr>
        <w:jc w:val="both"/>
        <w:ind w:left="40"/>
        <w:spacing w:after="0"/>
        <w:rPr>
          <w:sz w:val="20"/>
          <w:szCs w:val="20"/>
          <w:color w:val="auto"/>
        </w:rPr>
      </w:pPr>
      <w:r>
        <w:rPr>
          <w:rFonts w:ascii="Arial" w:cs="Arial" w:eastAsia="Arial" w:hAnsi="Arial"/>
          <w:sz w:val="18"/>
          <w:szCs w:val="18"/>
          <w:color w:val="auto"/>
        </w:rPr>
        <w:t>LTI mix for executive officers for 2024 will shift from 60% cash to 100% equity as the Committee balances the impact on stockholder dilution and our burn rate. In recent years, the long-term incentive (LTI) grant mix has included a cash-based component due to increased stockholder dilution and elevated burn rates. The temporary shift of the LTI mix towards cash in recent years has reduced our burn rate and dilution levels sufficiently to allow the Committee to shift the LTI mix from cash back toward equity, starting with the 2024 grant, while continuing to balance the impact of using equity with stockholder dilution and burn rate concerns. The Committee believes that utilization of equity for LTI better aligns the interests of our NEOs with those of our stockholders.</w:t>
      </w:r>
    </w:p>
    <w:p>
      <w:pPr>
        <w:spacing w:after="0" w:line="2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In February 2023, the NEOs received a LTI grant consisting of 60% CIUs and 40% performance-based RSUs to align long-term incentives with long-term stockholder interests. For 2023, we did not grant Non-qualified Stock Options (NSOs) in consideration of equity dilution levels. Additionally, please reference “Board Responsiveness and Compensation Design Changes” page </w:t>
      </w:r>
      <w:r>
        <w:rPr>
          <w:rFonts w:ascii="Arial" w:cs="Arial" w:eastAsia="Arial" w:hAnsi="Arial"/>
          <w:sz w:val="18"/>
          <w:szCs w:val="18"/>
          <w:u w:val="single" w:color="auto"/>
          <w:color w:val="0000EE"/>
        </w:rPr>
        <w:t>57</w:t>
      </w:r>
      <w:r>
        <w:rPr>
          <w:rFonts w:ascii="Arial" w:cs="Arial" w:eastAsia="Arial" w:hAnsi="Arial"/>
          <w:sz w:val="18"/>
          <w:szCs w:val="18"/>
          <w:color w:val="auto"/>
        </w:rPr>
        <w:t xml:space="preserve"> for an overview of changes implemented for the 2024 Compensation Plan, based on stockholder feedback.</w:t>
      </w:r>
    </w:p>
    <w:p>
      <w:pPr>
        <w:spacing w:after="0" w:line="136"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2023 equity based long-term incentive awards are subject to the Pitney Bowes Inc. Amended and Restated 2018 Stock Plan and the 2,000,000 maximum number of shares that may be made to a single participant in any one calendar year under such plan. For further details on 2023 grants, please see the “Grants of Plan Based Awards in 2023” table on page </w:t>
      </w:r>
      <w:r>
        <w:rPr>
          <w:rFonts w:ascii="Arial" w:cs="Arial" w:eastAsia="Arial" w:hAnsi="Arial"/>
          <w:sz w:val="18"/>
          <w:szCs w:val="18"/>
          <w:u w:val="single" w:color="auto"/>
          <w:color w:val="0000EE"/>
        </w:rPr>
        <w:t>77</w:t>
      </w:r>
      <w:r>
        <w:rPr>
          <w:rFonts w:ascii="Arial" w:cs="Arial" w:eastAsia="Arial" w:hAnsi="Arial"/>
          <w:sz w:val="18"/>
          <w:szCs w:val="18"/>
          <w:color w:val="auto"/>
        </w:rPr>
        <w:t xml:space="preserve"> of this Proxy Statement. Long-term incentive targets for the NEOs remained the same except for Mr. Dies and Mr. Fairweather. The LTI target value for Mr. Dies was increased to $1,600,000, which was a result of his promotion to Executive Vice President and Group President. Upon his appointment as Interim CEO, he also received a $200,000 increase to his LTI target. Mr. Fairweather’s LTI target increased to $1,600,000, to appropriately align his incentive with the market.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B5A89"/>
        </w:rPr>
        <w:t>Cash Incentive Units (CIUs)</w:t>
      </w:r>
    </w:p>
    <w:p>
      <w:pPr>
        <w:spacing w:after="0" w:line="129"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CIUs are long-term cash awards granted annually with three-year performance and vesting cycles. NEOs are awarded CIUs with pay-outs based on achieving challenging enterprise-wide financial objectives established each year of the three-year cycle. The results for each year are aggregated at the end of the three-year performance period. If the threshold level of performance for the enterprise-wide financial objectives are not met for a calendar year, one-third of the overall award value will be forfeited.</w:t>
      </w:r>
    </w:p>
    <w:p>
      <w:pPr>
        <w:spacing w:after="0" w:line="13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The enterprise-wide objectives set by the Committee include two equally weighted financial objectives: Adjusted Earnings Per Share (Adjusted EPS) and Adjusted FCF. We believe both of these financial factors are important indicators of the Company’s long-term viability and performance and thus are appropriate metrics upon which to base long-term incentive awards. For details on the objective setting process, please see “Determining Compensation – The Decision Process” on page </w:t>
      </w:r>
      <w:r>
        <w:rPr>
          <w:rFonts w:ascii="Arial" w:cs="Arial" w:eastAsia="Arial" w:hAnsi="Arial"/>
          <w:sz w:val="18"/>
          <w:szCs w:val="18"/>
          <w:u w:val="single" w:color="auto"/>
          <w:color w:val="0000EE"/>
        </w:rPr>
        <w:t>69</w:t>
      </w:r>
      <w:r>
        <w:rPr>
          <w:rFonts w:ascii="Arial" w:cs="Arial" w:eastAsia="Arial" w:hAnsi="Arial"/>
          <w:sz w:val="18"/>
          <w:szCs w:val="18"/>
          <w:color w:val="auto"/>
        </w:rPr>
        <w:t xml:space="preserve"> of this Proxy Statement.</w:t>
      </w:r>
    </w:p>
    <w:p>
      <w:pPr>
        <w:spacing w:after="0" w:line="122" w:lineRule="exact"/>
        <w:rPr>
          <w:sz w:val="20"/>
          <w:szCs w:val="20"/>
          <w:color w:val="auto"/>
        </w:rPr>
      </w:pPr>
    </w:p>
    <w:p>
      <w:pPr>
        <w:ind w:left="420" w:right="580" w:hanging="210"/>
        <w:spacing w:after="0" w:line="266" w:lineRule="auto"/>
        <w:tabs>
          <w:tab w:leader="none" w:pos="420" w:val="left"/>
        </w:tabs>
        <w:numPr>
          <w:ilvl w:val="0"/>
          <w:numId w:val="39"/>
        </w:numPr>
        <w:rPr>
          <w:rFonts w:ascii="Arial" w:cs="Arial" w:eastAsia="Arial" w:hAnsi="Arial"/>
          <w:sz w:val="18"/>
          <w:szCs w:val="18"/>
          <w:color w:val="0072AF"/>
        </w:rPr>
      </w:pPr>
      <w:r>
        <w:rPr>
          <w:rFonts w:ascii="Arial" w:cs="Arial" w:eastAsia="Arial" w:hAnsi="Arial"/>
          <w:sz w:val="18"/>
          <w:szCs w:val="18"/>
          <w:color w:val="auto"/>
        </w:rPr>
        <w:t>Adjusted EPS is a measure of long-term profitability and it excludes one-time and unusual charges and benefits.</w:t>
      </w:r>
    </w:p>
    <w:p>
      <w:pPr>
        <w:jc w:val="both"/>
        <w:ind w:left="420" w:right="20" w:hanging="210"/>
        <w:spacing w:after="0" w:line="253" w:lineRule="auto"/>
        <w:tabs>
          <w:tab w:leader="none" w:pos="420" w:val="left"/>
        </w:tabs>
        <w:numPr>
          <w:ilvl w:val="0"/>
          <w:numId w:val="39"/>
        </w:numPr>
        <w:rPr>
          <w:rFonts w:ascii="Arial" w:cs="Arial" w:eastAsia="Arial" w:hAnsi="Arial"/>
          <w:sz w:val="18"/>
          <w:szCs w:val="18"/>
          <w:color w:val="0072AF"/>
        </w:rPr>
      </w:pPr>
      <w:r>
        <w:rPr>
          <w:rFonts w:ascii="Arial" w:cs="Arial" w:eastAsia="Arial" w:hAnsi="Arial"/>
          <w:sz w:val="18"/>
          <w:szCs w:val="18"/>
          <w:color w:val="auto"/>
        </w:rPr>
        <w:t>Adjusted FCF provides resources to reposition and pursue new growth opportunities. Although Adjusted FCF was included as a measure in both the annual and long-term incentives for 2023, this duplication of measures in our plans will not continue in 2024.</w:t>
      </w:r>
    </w:p>
    <w:p>
      <w:pPr>
        <w:spacing w:after="0" w:line="12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Each year, the Committee considers a range of factors in establishing objectives. With regards to Adjusted FCF, expectations can differ from year to year, and in the case of the 2023 objectives, Adjusted FCF was set lower compared to 2022 performance largely due to the timing of working capital and higher than expected tax payments. Financial targets may be revised for special items such as to adjust for discontinued operations. For additional information, please see “Reconciliation of Reported Consolidated Results to Adjusted Measures” on page </w:t>
      </w:r>
      <w:r>
        <w:rPr>
          <w:rFonts w:ascii="Arial" w:cs="Arial" w:eastAsia="Arial" w:hAnsi="Arial"/>
          <w:sz w:val="18"/>
          <w:szCs w:val="18"/>
          <w:u w:val="single" w:color="auto"/>
          <w:color w:val="0000EE"/>
        </w:rPr>
        <w:t>96</w:t>
      </w:r>
      <w:r>
        <w:rPr>
          <w:rFonts w:ascii="Arial" w:cs="Arial" w:eastAsia="Arial" w:hAnsi="Arial"/>
          <w:sz w:val="18"/>
          <w:szCs w:val="18"/>
          <w:color w:val="auto"/>
        </w:rPr>
        <w:t xml:space="preserve"> of this Proxy Statement and “Treatment of Special Events” beginning on page </w:t>
      </w:r>
      <w:r>
        <w:rPr>
          <w:rFonts w:ascii="Arial" w:cs="Arial" w:eastAsia="Arial" w:hAnsi="Arial"/>
          <w:sz w:val="18"/>
          <w:szCs w:val="18"/>
          <w:u w:val="single" w:color="auto"/>
          <w:color w:val="0000EE"/>
        </w:rPr>
        <w:t>74</w:t>
      </w:r>
      <w:r>
        <w:rPr>
          <w:rFonts w:ascii="Arial" w:cs="Arial" w:eastAsia="Arial" w:hAnsi="Arial"/>
          <w:sz w:val="18"/>
          <w:szCs w:val="18"/>
          <w:color w:val="auto"/>
        </w:rPr>
        <w:t xml:space="preserve"> of this Proxy Statement. Our long-term financial targets take into account budgeted levels of share repurchases. The Committee sets the objectives at levels designed to have an appropriate degree of difficulty and stretch for each grant.</w:t>
      </w:r>
    </w:p>
    <w:p>
      <w:pPr>
        <w:spacing w:after="0" w:line="15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 the 2023-2025 CIU grant, the Committee will modify the resulting earned unit value by up to +/- 25% based on our cumulative three-year TSR as ranked against the S&amp;P 1000, linking payout to our relative TSR. The S&amp;P 1000 index represents a broad cross section of industries and encompasses the current Pitney Bowes market cap. If TSR is negative for the cumulative three-year period, there will not be a positive application of the TSR modifier regardless of the Company’s rank against its peers. Based on relative performance versus our peer group over the cumulative three-year period, the TSR modifier is applied as shown below:</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5340" w:type="dxa"/>
            <w:vAlign w:val="bottom"/>
            <w:tcBorders>
              <w:top w:val="single" w:sz="8" w:color="auto"/>
              <w:left w:val="single" w:sz="8" w:color="auto"/>
              <w:right w:val="single" w:sz="8" w:color="auto"/>
            </w:tcBorders>
            <w:shd w:val="clear" w:color="auto" w:fill="4B5A89"/>
          </w:tcPr>
          <w:p>
            <w:pPr>
              <w:jc w:val="center"/>
              <w:ind w:right="119"/>
              <w:spacing w:after="0"/>
              <w:rPr>
                <w:sz w:val="20"/>
                <w:szCs w:val="20"/>
                <w:color w:val="auto"/>
              </w:rPr>
            </w:pPr>
            <w:r>
              <w:rPr>
                <w:rFonts w:ascii="Arial" w:cs="Arial" w:eastAsia="Arial" w:hAnsi="Arial"/>
                <w:sz w:val="16"/>
                <w:szCs w:val="16"/>
                <w:b w:val="1"/>
                <w:bCs w:val="1"/>
                <w:color w:val="FFFFFF"/>
              </w:rPr>
              <w:t>2023 Company Rank</w:t>
            </w:r>
          </w:p>
        </w:tc>
        <w:tc>
          <w:tcPr>
            <w:tcW w:w="3840" w:type="dxa"/>
            <w:vAlign w:val="bottom"/>
            <w:tcBorders>
              <w:top w:val="single" w:sz="8" w:color="auto"/>
              <w:right w:val="single" w:sz="8" w:color="auto"/>
            </w:tcBorders>
            <w:shd w:val="clear" w:color="auto" w:fill="4B5A89"/>
          </w:tcPr>
          <w:p>
            <w:pPr>
              <w:spacing w:after="0"/>
              <w:rPr>
                <w:sz w:val="24"/>
                <w:szCs w:val="24"/>
                <w:color w:val="auto"/>
              </w:rPr>
            </w:pPr>
          </w:p>
        </w:tc>
      </w:tr>
      <w:tr>
        <w:trPr>
          <w:trHeight w:val="189"/>
        </w:trPr>
        <w:tc>
          <w:tcPr>
            <w:tcW w:w="5340" w:type="dxa"/>
            <w:vAlign w:val="bottom"/>
            <w:tcBorders>
              <w:left w:val="single" w:sz="8" w:color="auto"/>
              <w:right w:val="single" w:sz="8" w:color="auto"/>
            </w:tcBorders>
            <w:shd w:val="clear" w:color="auto" w:fill="4B5A89"/>
          </w:tcPr>
          <w:p>
            <w:pPr>
              <w:jc w:val="center"/>
              <w:ind w:right="119"/>
              <w:spacing w:after="0"/>
              <w:rPr>
                <w:sz w:val="20"/>
                <w:szCs w:val="20"/>
                <w:color w:val="auto"/>
              </w:rPr>
            </w:pPr>
            <w:r>
              <w:rPr>
                <w:rFonts w:ascii="Arial" w:cs="Arial" w:eastAsia="Arial" w:hAnsi="Arial"/>
                <w:sz w:val="16"/>
                <w:szCs w:val="16"/>
                <w:b w:val="1"/>
                <w:bCs w:val="1"/>
                <w:color w:val="FFFFFF"/>
              </w:rPr>
              <w:t>vs. Peer Group</w:t>
            </w:r>
          </w:p>
        </w:tc>
        <w:tc>
          <w:tcPr>
            <w:tcW w:w="3840" w:type="dxa"/>
            <w:vAlign w:val="bottom"/>
            <w:tcBorders>
              <w:right w:val="single" w:sz="8" w:color="auto"/>
            </w:tcBorders>
            <w:shd w:val="clear" w:color="auto" w:fill="4B5A89"/>
          </w:tcPr>
          <w:p>
            <w:pPr>
              <w:spacing w:after="0"/>
              <w:rPr>
                <w:sz w:val="16"/>
                <w:szCs w:val="16"/>
                <w:color w:val="auto"/>
              </w:rPr>
            </w:pPr>
          </w:p>
        </w:tc>
      </w:tr>
      <w:tr>
        <w:trPr>
          <w:trHeight w:val="223"/>
        </w:trPr>
        <w:tc>
          <w:tcPr>
            <w:tcW w:w="5340" w:type="dxa"/>
            <w:vAlign w:val="bottom"/>
            <w:tcBorders>
              <w:left w:val="single" w:sz="8" w:color="auto"/>
              <w:right w:val="single" w:sz="8" w:color="auto"/>
            </w:tcBorders>
            <w:shd w:val="clear" w:color="auto" w:fill="4B5A89"/>
          </w:tcPr>
          <w:p>
            <w:pPr>
              <w:jc w:val="center"/>
              <w:ind w:right="79"/>
              <w:spacing w:after="0"/>
              <w:rPr>
                <w:sz w:val="20"/>
                <w:szCs w:val="20"/>
                <w:color w:val="auto"/>
              </w:rPr>
            </w:pPr>
            <w:r>
              <w:rPr>
                <w:rFonts w:ascii="Arial" w:cs="Arial" w:eastAsia="Arial" w:hAnsi="Arial"/>
                <w:sz w:val="16"/>
                <w:szCs w:val="16"/>
                <w:b w:val="1"/>
                <w:bCs w:val="1"/>
                <w:color w:val="FFFFFF"/>
                <w:w w:val="99"/>
              </w:rPr>
              <w:t>(percentile)</w:t>
            </w:r>
          </w:p>
        </w:tc>
        <w:tc>
          <w:tcPr>
            <w:tcW w:w="3840" w:type="dxa"/>
            <w:vAlign w:val="bottom"/>
            <w:tcBorders>
              <w:right w:val="single" w:sz="8" w:color="auto"/>
            </w:tcBorders>
            <w:shd w:val="clear" w:color="auto" w:fill="4B5A89"/>
          </w:tcPr>
          <w:p>
            <w:pPr>
              <w:ind w:left="1460"/>
              <w:spacing w:after="0"/>
              <w:rPr>
                <w:sz w:val="20"/>
                <w:szCs w:val="20"/>
                <w:color w:val="auto"/>
              </w:rPr>
            </w:pPr>
            <w:r>
              <w:rPr>
                <w:rFonts w:ascii="Arial" w:cs="Arial" w:eastAsia="Arial" w:hAnsi="Arial"/>
                <w:sz w:val="16"/>
                <w:szCs w:val="16"/>
                <w:b w:val="1"/>
                <w:bCs w:val="1"/>
                <w:color w:val="FFFFFF"/>
              </w:rPr>
              <w:t>2023 Modifier</w:t>
            </w:r>
          </w:p>
        </w:tc>
      </w:tr>
      <w:tr>
        <w:trPr>
          <w:trHeight w:val="75"/>
        </w:trPr>
        <w:tc>
          <w:tcPr>
            <w:tcW w:w="5340" w:type="dxa"/>
            <w:vAlign w:val="bottom"/>
            <w:tcBorders>
              <w:left w:val="single" w:sz="8" w:color="auto"/>
              <w:bottom w:val="single" w:sz="8" w:color="auto"/>
              <w:right w:val="single" w:sz="8" w:color="auto"/>
            </w:tcBorders>
            <w:shd w:val="clear" w:color="auto" w:fill="4B5A89"/>
          </w:tcPr>
          <w:p>
            <w:pPr>
              <w:spacing w:after="0"/>
              <w:rPr>
                <w:sz w:val="6"/>
                <w:szCs w:val="6"/>
                <w:color w:val="auto"/>
              </w:rPr>
            </w:pPr>
          </w:p>
        </w:tc>
        <w:tc>
          <w:tcPr>
            <w:tcW w:w="3840" w:type="dxa"/>
            <w:vAlign w:val="bottom"/>
            <w:tcBorders>
              <w:bottom w:val="single" w:sz="8" w:color="auto"/>
              <w:right w:val="single" w:sz="8" w:color="auto"/>
            </w:tcBorders>
            <w:shd w:val="clear" w:color="auto" w:fill="4B5A89"/>
          </w:tcPr>
          <w:p>
            <w:pPr>
              <w:spacing w:after="0"/>
              <w:rPr>
                <w:sz w:val="6"/>
                <w:szCs w:val="6"/>
                <w:color w:val="auto"/>
              </w:rPr>
            </w:pPr>
          </w:p>
        </w:tc>
      </w:tr>
      <w:tr>
        <w:trPr>
          <w:trHeight w:val="288"/>
        </w:trPr>
        <w:tc>
          <w:tcPr>
            <w:tcW w:w="5340" w:type="dxa"/>
            <w:vAlign w:val="bottom"/>
            <w:tcBorders>
              <w:left w:val="single" w:sz="8" w:color="auto"/>
              <w:right w:val="single" w:sz="8" w:color="auto"/>
            </w:tcBorders>
          </w:tcPr>
          <w:p>
            <w:pPr>
              <w:jc w:val="center"/>
              <w:ind w:right="79"/>
              <w:spacing w:after="0"/>
              <w:rPr>
                <w:sz w:val="20"/>
                <w:szCs w:val="20"/>
                <w:color w:val="auto"/>
              </w:rPr>
            </w:pPr>
            <w:r>
              <w:rPr>
                <w:rFonts w:ascii="Arial" w:cs="Arial" w:eastAsia="Arial" w:hAnsi="Arial"/>
                <w:sz w:val="16"/>
                <w:szCs w:val="16"/>
                <w:color w:val="auto"/>
              </w:rPr>
              <w:t xml:space="preserve">&gt; 75th </w:t>
            </w:r>
            <w:r>
              <w:rPr>
                <w:rFonts w:ascii="Arial" w:cs="Arial" w:eastAsia="Arial" w:hAnsi="Arial"/>
                <w:sz w:val="14"/>
                <w:szCs w:val="14"/>
                <w:color w:val="auto"/>
              </w:rPr>
              <w:t>%</w:t>
            </w:r>
          </w:p>
        </w:tc>
        <w:tc>
          <w:tcPr>
            <w:tcW w:w="3840" w:type="dxa"/>
            <w:vAlign w:val="bottom"/>
            <w:tcBorders>
              <w:right w:val="single" w:sz="8" w:color="auto"/>
            </w:tcBorders>
          </w:tcPr>
          <w:p>
            <w:pPr>
              <w:jc w:val="center"/>
              <w:ind w:left="19"/>
              <w:spacing w:after="0"/>
              <w:rPr>
                <w:sz w:val="20"/>
                <w:szCs w:val="20"/>
                <w:color w:val="auto"/>
              </w:rPr>
            </w:pPr>
            <w:r>
              <w:rPr>
                <w:rFonts w:ascii="Arial" w:cs="Arial" w:eastAsia="Arial" w:hAnsi="Arial"/>
                <w:sz w:val="16"/>
                <w:szCs w:val="16"/>
                <w:color w:val="auto"/>
              </w:rPr>
              <w:t>+25%</w:t>
            </w:r>
          </w:p>
        </w:tc>
      </w:tr>
      <w:tr>
        <w:trPr>
          <w:trHeight w:val="83"/>
        </w:trPr>
        <w:tc>
          <w:tcPr>
            <w:tcW w:w="5340" w:type="dxa"/>
            <w:vAlign w:val="bottom"/>
            <w:tcBorders>
              <w:left w:val="single" w:sz="8" w:color="auto"/>
              <w:bottom w:val="single" w:sz="8" w:color="auto"/>
              <w:right w:val="single" w:sz="8" w:color="auto"/>
            </w:tcBorders>
          </w:tcPr>
          <w:p>
            <w:pPr>
              <w:spacing w:after="0"/>
              <w:rPr>
                <w:sz w:val="7"/>
                <w:szCs w:val="7"/>
                <w:color w:val="auto"/>
              </w:rPr>
            </w:pPr>
          </w:p>
        </w:tc>
        <w:tc>
          <w:tcPr>
            <w:tcW w:w="3840" w:type="dxa"/>
            <w:vAlign w:val="bottom"/>
            <w:tcBorders>
              <w:bottom w:val="single" w:sz="8" w:color="auto"/>
              <w:right w:val="single" w:sz="8" w:color="auto"/>
            </w:tcBorders>
          </w:tcPr>
          <w:p>
            <w:pPr>
              <w:spacing w:after="0"/>
              <w:rPr>
                <w:sz w:val="7"/>
                <w:szCs w:val="7"/>
                <w:color w:val="auto"/>
              </w:rPr>
            </w:pPr>
          </w:p>
        </w:tc>
      </w:tr>
      <w:tr>
        <w:trPr>
          <w:trHeight w:val="412"/>
        </w:trPr>
        <w:tc>
          <w:tcPr>
            <w:tcW w:w="5340" w:type="dxa"/>
            <w:vAlign w:val="bottom"/>
            <w:tcBorders>
              <w:left w:val="single" w:sz="8" w:color="auto"/>
              <w:bottom w:val="single" w:sz="8" w:color="auto"/>
              <w:right w:val="single" w:sz="8" w:color="auto"/>
            </w:tcBorders>
          </w:tcPr>
          <w:p>
            <w:pPr>
              <w:jc w:val="center"/>
              <w:ind w:right="79"/>
              <w:spacing w:after="0"/>
              <w:rPr>
                <w:sz w:val="20"/>
                <w:szCs w:val="20"/>
                <w:color w:val="auto"/>
              </w:rPr>
            </w:pPr>
            <w:r>
              <w:rPr>
                <w:rFonts w:ascii="Arial" w:cs="Arial" w:eastAsia="Arial" w:hAnsi="Arial"/>
                <w:sz w:val="16"/>
                <w:szCs w:val="16"/>
                <w:color w:val="auto"/>
                <w:w w:val="95"/>
              </w:rPr>
              <w:t>&gt; 70</w:t>
            </w:r>
            <w:r>
              <w:rPr>
                <w:rFonts w:ascii="Arial" w:cs="Arial" w:eastAsia="Arial" w:hAnsi="Arial"/>
                <w:sz w:val="26"/>
                <w:szCs w:val="26"/>
                <w:color w:val="auto"/>
                <w:w w:val="95"/>
                <w:vertAlign w:val="superscript"/>
              </w:rPr>
              <w:t>th</w:t>
            </w:r>
            <w:r>
              <w:rPr>
                <w:rFonts w:ascii="Arial" w:cs="Arial" w:eastAsia="Arial" w:hAnsi="Arial"/>
                <w:sz w:val="16"/>
                <w:szCs w:val="16"/>
                <w:color w:val="auto"/>
                <w:w w:val="95"/>
              </w:rPr>
              <w:t xml:space="preserve"> to 75</w:t>
            </w:r>
            <w:r>
              <w:rPr>
                <w:rFonts w:ascii="Arial" w:cs="Arial" w:eastAsia="Arial" w:hAnsi="Arial"/>
                <w:sz w:val="26"/>
                <w:szCs w:val="26"/>
                <w:color w:val="auto"/>
                <w:w w:val="95"/>
                <w:vertAlign w:val="superscript"/>
              </w:rPr>
              <w:t>th</w:t>
            </w:r>
            <w:r>
              <w:rPr>
                <w:rFonts w:ascii="Arial" w:cs="Arial" w:eastAsia="Arial" w:hAnsi="Arial"/>
                <w:sz w:val="16"/>
                <w:szCs w:val="16"/>
                <w:color w:val="auto"/>
                <w:w w:val="95"/>
              </w:rPr>
              <w:t xml:space="preserve"> %</w:t>
            </w:r>
          </w:p>
        </w:tc>
        <w:tc>
          <w:tcPr>
            <w:tcW w:w="3840" w:type="dxa"/>
            <w:vAlign w:val="bottom"/>
            <w:tcBorders>
              <w:bottom w:val="single" w:sz="8" w:color="auto"/>
              <w:right w:val="single" w:sz="8" w:color="auto"/>
            </w:tcBorders>
          </w:tcPr>
          <w:p>
            <w:pPr>
              <w:jc w:val="center"/>
              <w:ind w:left="19"/>
              <w:spacing w:after="0"/>
              <w:rPr>
                <w:sz w:val="20"/>
                <w:szCs w:val="20"/>
                <w:color w:val="auto"/>
              </w:rPr>
            </w:pPr>
            <w:r>
              <w:rPr>
                <w:rFonts w:ascii="Arial" w:cs="Arial" w:eastAsia="Arial" w:hAnsi="Arial"/>
                <w:sz w:val="16"/>
                <w:szCs w:val="16"/>
                <w:color w:val="auto"/>
              </w:rPr>
              <w:t>+20%</w:t>
            </w:r>
          </w:p>
        </w:tc>
      </w:tr>
      <w:tr>
        <w:trPr>
          <w:trHeight w:val="412"/>
        </w:trPr>
        <w:tc>
          <w:tcPr>
            <w:tcW w:w="5340" w:type="dxa"/>
            <w:vAlign w:val="bottom"/>
            <w:tcBorders>
              <w:left w:val="single" w:sz="8" w:color="auto"/>
              <w:bottom w:val="single" w:sz="8" w:color="auto"/>
              <w:right w:val="single" w:sz="8" w:color="auto"/>
            </w:tcBorders>
          </w:tcPr>
          <w:p>
            <w:pPr>
              <w:jc w:val="center"/>
              <w:ind w:right="79"/>
              <w:spacing w:after="0"/>
              <w:rPr>
                <w:sz w:val="20"/>
                <w:szCs w:val="20"/>
                <w:color w:val="auto"/>
              </w:rPr>
            </w:pPr>
            <w:r>
              <w:rPr>
                <w:rFonts w:ascii="Arial" w:cs="Arial" w:eastAsia="Arial" w:hAnsi="Arial"/>
                <w:sz w:val="16"/>
                <w:szCs w:val="16"/>
                <w:color w:val="auto"/>
                <w:w w:val="95"/>
              </w:rPr>
              <w:t>&gt; 65</w:t>
            </w:r>
            <w:r>
              <w:rPr>
                <w:rFonts w:ascii="Arial" w:cs="Arial" w:eastAsia="Arial" w:hAnsi="Arial"/>
                <w:sz w:val="26"/>
                <w:szCs w:val="26"/>
                <w:color w:val="auto"/>
                <w:w w:val="95"/>
                <w:vertAlign w:val="superscript"/>
              </w:rPr>
              <w:t>th</w:t>
            </w:r>
            <w:r>
              <w:rPr>
                <w:rFonts w:ascii="Arial" w:cs="Arial" w:eastAsia="Arial" w:hAnsi="Arial"/>
                <w:sz w:val="16"/>
                <w:szCs w:val="16"/>
                <w:color w:val="auto"/>
                <w:w w:val="95"/>
              </w:rPr>
              <w:t xml:space="preserve"> to 70</w:t>
            </w:r>
            <w:r>
              <w:rPr>
                <w:rFonts w:ascii="Arial" w:cs="Arial" w:eastAsia="Arial" w:hAnsi="Arial"/>
                <w:sz w:val="26"/>
                <w:szCs w:val="26"/>
                <w:color w:val="auto"/>
                <w:w w:val="95"/>
                <w:vertAlign w:val="superscript"/>
              </w:rPr>
              <w:t>th</w:t>
            </w:r>
            <w:r>
              <w:rPr>
                <w:rFonts w:ascii="Arial" w:cs="Arial" w:eastAsia="Arial" w:hAnsi="Arial"/>
                <w:sz w:val="16"/>
                <w:szCs w:val="16"/>
                <w:color w:val="auto"/>
                <w:w w:val="95"/>
              </w:rPr>
              <w:t xml:space="preserve"> %</w:t>
            </w:r>
          </w:p>
        </w:tc>
        <w:tc>
          <w:tcPr>
            <w:tcW w:w="3840" w:type="dxa"/>
            <w:vAlign w:val="bottom"/>
            <w:tcBorders>
              <w:bottom w:val="single" w:sz="8" w:color="auto"/>
              <w:right w:val="single" w:sz="8" w:color="auto"/>
            </w:tcBorders>
          </w:tcPr>
          <w:p>
            <w:pPr>
              <w:jc w:val="center"/>
              <w:ind w:left="19"/>
              <w:spacing w:after="0"/>
              <w:rPr>
                <w:sz w:val="20"/>
                <w:szCs w:val="20"/>
                <w:color w:val="auto"/>
              </w:rPr>
            </w:pPr>
            <w:r>
              <w:rPr>
                <w:rFonts w:ascii="Arial" w:cs="Arial" w:eastAsia="Arial" w:hAnsi="Arial"/>
                <w:sz w:val="16"/>
                <w:szCs w:val="16"/>
                <w:color w:val="auto"/>
              </w:rPr>
              <w:t>+15%</w:t>
            </w:r>
          </w:p>
        </w:tc>
      </w:tr>
      <w:tr>
        <w:trPr>
          <w:trHeight w:val="412"/>
        </w:trPr>
        <w:tc>
          <w:tcPr>
            <w:tcW w:w="5340" w:type="dxa"/>
            <w:vAlign w:val="bottom"/>
            <w:tcBorders>
              <w:left w:val="single" w:sz="8" w:color="auto"/>
              <w:bottom w:val="single" w:sz="8" w:color="auto"/>
              <w:right w:val="single" w:sz="8" w:color="auto"/>
            </w:tcBorders>
          </w:tcPr>
          <w:p>
            <w:pPr>
              <w:jc w:val="center"/>
              <w:ind w:right="79"/>
              <w:spacing w:after="0"/>
              <w:rPr>
                <w:sz w:val="20"/>
                <w:szCs w:val="20"/>
                <w:color w:val="auto"/>
              </w:rPr>
            </w:pPr>
            <w:r>
              <w:rPr>
                <w:rFonts w:ascii="Arial" w:cs="Arial" w:eastAsia="Arial" w:hAnsi="Arial"/>
                <w:sz w:val="16"/>
                <w:szCs w:val="16"/>
                <w:color w:val="auto"/>
                <w:w w:val="95"/>
              </w:rPr>
              <w:t>&gt; 60</w:t>
            </w:r>
            <w:r>
              <w:rPr>
                <w:rFonts w:ascii="Arial" w:cs="Arial" w:eastAsia="Arial" w:hAnsi="Arial"/>
                <w:sz w:val="26"/>
                <w:szCs w:val="26"/>
                <w:color w:val="auto"/>
                <w:w w:val="95"/>
                <w:vertAlign w:val="superscript"/>
              </w:rPr>
              <w:t>th</w:t>
            </w:r>
            <w:r>
              <w:rPr>
                <w:rFonts w:ascii="Arial" w:cs="Arial" w:eastAsia="Arial" w:hAnsi="Arial"/>
                <w:sz w:val="16"/>
                <w:szCs w:val="16"/>
                <w:color w:val="auto"/>
                <w:w w:val="95"/>
              </w:rPr>
              <w:t xml:space="preserve"> to 65</w:t>
            </w:r>
            <w:r>
              <w:rPr>
                <w:rFonts w:ascii="Arial" w:cs="Arial" w:eastAsia="Arial" w:hAnsi="Arial"/>
                <w:sz w:val="26"/>
                <w:szCs w:val="26"/>
                <w:color w:val="auto"/>
                <w:w w:val="95"/>
                <w:vertAlign w:val="superscript"/>
              </w:rPr>
              <w:t>th</w:t>
            </w:r>
            <w:r>
              <w:rPr>
                <w:rFonts w:ascii="Arial" w:cs="Arial" w:eastAsia="Arial" w:hAnsi="Arial"/>
                <w:sz w:val="16"/>
                <w:szCs w:val="16"/>
                <w:color w:val="auto"/>
                <w:w w:val="95"/>
              </w:rPr>
              <w:t xml:space="preserve"> %</w:t>
            </w:r>
          </w:p>
        </w:tc>
        <w:tc>
          <w:tcPr>
            <w:tcW w:w="3840" w:type="dxa"/>
            <w:vAlign w:val="bottom"/>
            <w:tcBorders>
              <w:bottom w:val="single" w:sz="8" w:color="auto"/>
              <w:right w:val="single" w:sz="8" w:color="auto"/>
            </w:tcBorders>
          </w:tcPr>
          <w:p>
            <w:pPr>
              <w:jc w:val="center"/>
              <w:ind w:left="19"/>
              <w:spacing w:after="0"/>
              <w:rPr>
                <w:sz w:val="20"/>
                <w:szCs w:val="20"/>
                <w:color w:val="auto"/>
              </w:rPr>
            </w:pPr>
            <w:r>
              <w:rPr>
                <w:rFonts w:ascii="Arial" w:cs="Arial" w:eastAsia="Arial" w:hAnsi="Arial"/>
                <w:sz w:val="16"/>
                <w:szCs w:val="16"/>
                <w:color w:val="auto"/>
              </w:rPr>
              <w:t>+10%</w:t>
            </w:r>
          </w:p>
        </w:tc>
      </w:tr>
      <w:tr>
        <w:trPr>
          <w:trHeight w:val="412"/>
        </w:trPr>
        <w:tc>
          <w:tcPr>
            <w:tcW w:w="5340" w:type="dxa"/>
            <w:vAlign w:val="bottom"/>
            <w:tcBorders>
              <w:left w:val="single" w:sz="8" w:color="auto"/>
              <w:bottom w:val="single" w:sz="8" w:color="auto"/>
              <w:right w:val="single" w:sz="8" w:color="auto"/>
            </w:tcBorders>
          </w:tcPr>
          <w:p>
            <w:pPr>
              <w:jc w:val="center"/>
              <w:ind w:right="79"/>
              <w:spacing w:after="0"/>
              <w:rPr>
                <w:sz w:val="20"/>
                <w:szCs w:val="20"/>
                <w:color w:val="auto"/>
              </w:rPr>
            </w:pPr>
            <w:r>
              <w:rPr>
                <w:rFonts w:ascii="Arial" w:cs="Arial" w:eastAsia="Arial" w:hAnsi="Arial"/>
                <w:sz w:val="16"/>
                <w:szCs w:val="16"/>
                <w:color w:val="auto"/>
                <w:w w:val="95"/>
              </w:rPr>
              <w:t>&gt; 55</w:t>
            </w:r>
            <w:r>
              <w:rPr>
                <w:rFonts w:ascii="Arial" w:cs="Arial" w:eastAsia="Arial" w:hAnsi="Arial"/>
                <w:sz w:val="26"/>
                <w:szCs w:val="26"/>
                <w:color w:val="auto"/>
                <w:w w:val="95"/>
                <w:vertAlign w:val="superscript"/>
              </w:rPr>
              <w:t>th</w:t>
            </w:r>
            <w:r>
              <w:rPr>
                <w:rFonts w:ascii="Arial" w:cs="Arial" w:eastAsia="Arial" w:hAnsi="Arial"/>
                <w:sz w:val="16"/>
                <w:szCs w:val="16"/>
                <w:color w:val="auto"/>
                <w:w w:val="95"/>
              </w:rPr>
              <w:t xml:space="preserve"> to 60</w:t>
            </w:r>
            <w:r>
              <w:rPr>
                <w:rFonts w:ascii="Arial" w:cs="Arial" w:eastAsia="Arial" w:hAnsi="Arial"/>
                <w:sz w:val="26"/>
                <w:szCs w:val="26"/>
                <w:color w:val="auto"/>
                <w:w w:val="95"/>
                <w:vertAlign w:val="superscript"/>
              </w:rPr>
              <w:t>th</w:t>
            </w:r>
            <w:r>
              <w:rPr>
                <w:rFonts w:ascii="Arial" w:cs="Arial" w:eastAsia="Arial" w:hAnsi="Arial"/>
                <w:sz w:val="16"/>
                <w:szCs w:val="16"/>
                <w:color w:val="auto"/>
                <w:w w:val="95"/>
              </w:rPr>
              <w:t xml:space="preserve"> %</w:t>
            </w:r>
          </w:p>
        </w:tc>
        <w:tc>
          <w:tcPr>
            <w:tcW w:w="3840" w:type="dxa"/>
            <w:vAlign w:val="bottom"/>
            <w:tcBorders>
              <w:bottom w:val="single" w:sz="8" w:color="auto"/>
              <w:right w:val="single" w:sz="8" w:color="auto"/>
            </w:tcBorders>
          </w:tcPr>
          <w:p>
            <w:pPr>
              <w:jc w:val="center"/>
              <w:ind w:left="39"/>
              <w:spacing w:after="0"/>
              <w:rPr>
                <w:sz w:val="20"/>
                <w:szCs w:val="20"/>
                <w:color w:val="auto"/>
              </w:rPr>
            </w:pPr>
            <w:r>
              <w:rPr>
                <w:rFonts w:ascii="Arial" w:cs="Arial" w:eastAsia="Arial" w:hAnsi="Arial"/>
                <w:sz w:val="16"/>
                <w:szCs w:val="16"/>
                <w:color w:val="auto"/>
                <w:w w:val="98"/>
              </w:rPr>
              <w:t>+5%</w:t>
            </w:r>
          </w:p>
        </w:tc>
      </w:tr>
      <w:tr>
        <w:trPr>
          <w:trHeight w:val="412"/>
        </w:trPr>
        <w:tc>
          <w:tcPr>
            <w:tcW w:w="5340" w:type="dxa"/>
            <w:vAlign w:val="bottom"/>
            <w:tcBorders>
              <w:left w:val="single" w:sz="8" w:color="auto"/>
              <w:bottom w:val="single" w:sz="8" w:color="auto"/>
              <w:right w:val="single" w:sz="8" w:color="auto"/>
            </w:tcBorders>
          </w:tcPr>
          <w:p>
            <w:pPr>
              <w:jc w:val="center"/>
              <w:ind w:right="79"/>
              <w:spacing w:after="0"/>
              <w:rPr>
                <w:sz w:val="20"/>
                <w:szCs w:val="20"/>
                <w:color w:val="auto"/>
              </w:rPr>
            </w:pPr>
            <w:r>
              <w:rPr>
                <w:rFonts w:ascii="Arial" w:cs="Arial" w:eastAsia="Arial" w:hAnsi="Arial"/>
                <w:sz w:val="16"/>
                <w:szCs w:val="16"/>
                <w:color w:val="auto"/>
                <w:w w:val="95"/>
              </w:rPr>
              <w:t>&gt; 45</w:t>
            </w:r>
            <w:r>
              <w:rPr>
                <w:rFonts w:ascii="Arial" w:cs="Arial" w:eastAsia="Arial" w:hAnsi="Arial"/>
                <w:sz w:val="26"/>
                <w:szCs w:val="26"/>
                <w:color w:val="auto"/>
                <w:w w:val="95"/>
                <w:vertAlign w:val="superscript"/>
              </w:rPr>
              <w:t>th</w:t>
            </w:r>
            <w:r>
              <w:rPr>
                <w:rFonts w:ascii="Arial" w:cs="Arial" w:eastAsia="Arial" w:hAnsi="Arial"/>
                <w:sz w:val="16"/>
                <w:szCs w:val="16"/>
                <w:color w:val="auto"/>
                <w:w w:val="95"/>
              </w:rPr>
              <w:t xml:space="preserve"> to 55</w:t>
            </w:r>
            <w:r>
              <w:rPr>
                <w:rFonts w:ascii="Arial" w:cs="Arial" w:eastAsia="Arial" w:hAnsi="Arial"/>
                <w:sz w:val="26"/>
                <w:szCs w:val="26"/>
                <w:color w:val="auto"/>
                <w:w w:val="95"/>
                <w:vertAlign w:val="superscript"/>
              </w:rPr>
              <w:t>th</w:t>
            </w:r>
            <w:r>
              <w:rPr>
                <w:rFonts w:ascii="Arial" w:cs="Arial" w:eastAsia="Arial" w:hAnsi="Arial"/>
                <w:sz w:val="16"/>
                <w:szCs w:val="16"/>
                <w:color w:val="auto"/>
                <w:w w:val="95"/>
              </w:rPr>
              <w:t xml:space="preserve"> %</w:t>
            </w:r>
          </w:p>
        </w:tc>
        <w:tc>
          <w:tcPr>
            <w:tcW w:w="3840" w:type="dxa"/>
            <w:vAlign w:val="bottom"/>
            <w:tcBorders>
              <w:bottom w:val="single" w:sz="8" w:color="auto"/>
              <w:right w:val="single" w:sz="8" w:color="auto"/>
            </w:tcBorders>
          </w:tcPr>
          <w:p>
            <w:pPr>
              <w:jc w:val="center"/>
              <w:ind w:left="39"/>
              <w:spacing w:after="0"/>
              <w:rPr>
                <w:sz w:val="20"/>
                <w:szCs w:val="20"/>
                <w:color w:val="auto"/>
              </w:rPr>
            </w:pPr>
            <w:r>
              <w:rPr>
                <w:rFonts w:ascii="Arial" w:cs="Arial" w:eastAsia="Arial" w:hAnsi="Arial"/>
                <w:sz w:val="16"/>
                <w:szCs w:val="16"/>
                <w:color w:val="auto"/>
                <w:w w:val="98"/>
              </w:rPr>
              <w:t>+0%</w:t>
            </w:r>
          </w:p>
        </w:tc>
      </w:tr>
      <w:tr>
        <w:trPr>
          <w:trHeight w:val="412"/>
        </w:trPr>
        <w:tc>
          <w:tcPr>
            <w:tcW w:w="5340" w:type="dxa"/>
            <w:vAlign w:val="bottom"/>
            <w:tcBorders>
              <w:left w:val="single" w:sz="8" w:color="auto"/>
              <w:bottom w:val="single" w:sz="8" w:color="auto"/>
              <w:right w:val="single" w:sz="8" w:color="auto"/>
            </w:tcBorders>
          </w:tcPr>
          <w:p>
            <w:pPr>
              <w:jc w:val="center"/>
              <w:ind w:right="79"/>
              <w:spacing w:after="0"/>
              <w:rPr>
                <w:sz w:val="20"/>
                <w:szCs w:val="20"/>
                <w:color w:val="auto"/>
              </w:rPr>
            </w:pPr>
            <w:r>
              <w:rPr>
                <w:rFonts w:ascii="Arial" w:cs="Arial" w:eastAsia="Arial" w:hAnsi="Arial"/>
                <w:sz w:val="16"/>
                <w:szCs w:val="16"/>
                <w:color w:val="auto"/>
                <w:w w:val="95"/>
              </w:rPr>
              <w:t>&gt; 40</w:t>
            </w:r>
            <w:r>
              <w:rPr>
                <w:rFonts w:ascii="Arial" w:cs="Arial" w:eastAsia="Arial" w:hAnsi="Arial"/>
                <w:sz w:val="26"/>
                <w:szCs w:val="26"/>
                <w:color w:val="auto"/>
                <w:w w:val="95"/>
                <w:vertAlign w:val="superscript"/>
              </w:rPr>
              <w:t>th</w:t>
            </w:r>
            <w:r>
              <w:rPr>
                <w:rFonts w:ascii="Arial" w:cs="Arial" w:eastAsia="Arial" w:hAnsi="Arial"/>
                <w:sz w:val="16"/>
                <w:szCs w:val="16"/>
                <w:color w:val="auto"/>
                <w:w w:val="95"/>
              </w:rPr>
              <w:t xml:space="preserve"> to 45</w:t>
            </w:r>
            <w:r>
              <w:rPr>
                <w:rFonts w:ascii="Arial" w:cs="Arial" w:eastAsia="Arial" w:hAnsi="Arial"/>
                <w:sz w:val="26"/>
                <w:szCs w:val="26"/>
                <w:color w:val="auto"/>
                <w:w w:val="95"/>
                <w:vertAlign w:val="superscript"/>
              </w:rPr>
              <w:t>th</w:t>
            </w:r>
            <w:r>
              <w:rPr>
                <w:rFonts w:ascii="Arial" w:cs="Arial" w:eastAsia="Arial" w:hAnsi="Arial"/>
                <w:sz w:val="16"/>
                <w:szCs w:val="16"/>
                <w:color w:val="auto"/>
                <w:w w:val="95"/>
              </w:rPr>
              <w:t xml:space="preserve"> %</w:t>
            </w:r>
          </w:p>
        </w:tc>
        <w:tc>
          <w:tcPr>
            <w:tcW w:w="3840" w:type="dxa"/>
            <w:vAlign w:val="bottom"/>
            <w:tcBorders>
              <w:bottom w:val="single" w:sz="8" w:color="auto"/>
              <w:right w:val="single" w:sz="8" w:color="auto"/>
            </w:tcBorders>
          </w:tcPr>
          <w:p>
            <w:pPr>
              <w:jc w:val="center"/>
              <w:ind w:left="39"/>
              <w:spacing w:after="0"/>
              <w:rPr>
                <w:sz w:val="20"/>
                <w:szCs w:val="20"/>
                <w:color w:val="auto"/>
              </w:rPr>
            </w:pPr>
            <w:r>
              <w:rPr>
                <w:rFonts w:ascii="Arial" w:cs="Arial" w:eastAsia="Arial" w:hAnsi="Arial"/>
                <w:sz w:val="16"/>
                <w:szCs w:val="16"/>
                <w:color w:val="auto"/>
                <w:w w:val="99"/>
              </w:rPr>
              <w:t>–5%</w:t>
            </w:r>
          </w:p>
        </w:tc>
      </w:tr>
      <w:tr>
        <w:trPr>
          <w:trHeight w:val="412"/>
        </w:trPr>
        <w:tc>
          <w:tcPr>
            <w:tcW w:w="5340" w:type="dxa"/>
            <w:vAlign w:val="bottom"/>
            <w:tcBorders>
              <w:left w:val="single" w:sz="8" w:color="auto"/>
              <w:bottom w:val="single" w:sz="8" w:color="auto"/>
              <w:right w:val="single" w:sz="8" w:color="auto"/>
            </w:tcBorders>
          </w:tcPr>
          <w:p>
            <w:pPr>
              <w:jc w:val="center"/>
              <w:ind w:right="79"/>
              <w:spacing w:after="0"/>
              <w:rPr>
                <w:sz w:val="20"/>
                <w:szCs w:val="20"/>
                <w:color w:val="auto"/>
              </w:rPr>
            </w:pPr>
            <w:r>
              <w:rPr>
                <w:rFonts w:ascii="Arial" w:cs="Arial" w:eastAsia="Arial" w:hAnsi="Arial"/>
                <w:sz w:val="16"/>
                <w:szCs w:val="16"/>
                <w:color w:val="auto"/>
                <w:w w:val="95"/>
              </w:rPr>
              <w:t>&gt; 35</w:t>
            </w:r>
            <w:r>
              <w:rPr>
                <w:rFonts w:ascii="Arial" w:cs="Arial" w:eastAsia="Arial" w:hAnsi="Arial"/>
                <w:sz w:val="26"/>
                <w:szCs w:val="26"/>
                <w:color w:val="auto"/>
                <w:w w:val="95"/>
                <w:vertAlign w:val="superscript"/>
              </w:rPr>
              <w:t>th</w:t>
            </w:r>
            <w:r>
              <w:rPr>
                <w:rFonts w:ascii="Arial" w:cs="Arial" w:eastAsia="Arial" w:hAnsi="Arial"/>
                <w:sz w:val="16"/>
                <w:szCs w:val="16"/>
                <w:color w:val="auto"/>
                <w:w w:val="95"/>
              </w:rPr>
              <w:t xml:space="preserve"> to 40</w:t>
            </w:r>
            <w:r>
              <w:rPr>
                <w:rFonts w:ascii="Arial" w:cs="Arial" w:eastAsia="Arial" w:hAnsi="Arial"/>
                <w:sz w:val="26"/>
                <w:szCs w:val="26"/>
                <w:color w:val="auto"/>
                <w:w w:val="95"/>
                <w:vertAlign w:val="superscript"/>
              </w:rPr>
              <w:t>th</w:t>
            </w:r>
            <w:r>
              <w:rPr>
                <w:rFonts w:ascii="Arial" w:cs="Arial" w:eastAsia="Arial" w:hAnsi="Arial"/>
                <w:sz w:val="16"/>
                <w:szCs w:val="16"/>
                <w:color w:val="auto"/>
                <w:w w:val="95"/>
              </w:rPr>
              <w:t xml:space="preserve"> %</w:t>
            </w:r>
          </w:p>
        </w:tc>
        <w:tc>
          <w:tcPr>
            <w:tcW w:w="3840" w:type="dxa"/>
            <w:vAlign w:val="bottom"/>
            <w:tcBorders>
              <w:bottom w:val="single" w:sz="8" w:color="auto"/>
              <w:right w:val="single" w:sz="8" w:color="auto"/>
            </w:tcBorders>
          </w:tcPr>
          <w:p>
            <w:pPr>
              <w:jc w:val="center"/>
              <w:ind w:left="39"/>
              <w:spacing w:after="0"/>
              <w:rPr>
                <w:sz w:val="20"/>
                <w:szCs w:val="20"/>
                <w:color w:val="auto"/>
              </w:rPr>
            </w:pPr>
            <w:r>
              <w:rPr>
                <w:rFonts w:ascii="Arial" w:cs="Arial" w:eastAsia="Arial" w:hAnsi="Arial"/>
                <w:sz w:val="16"/>
                <w:szCs w:val="16"/>
                <w:color w:val="auto"/>
                <w:w w:val="97"/>
              </w:rPr>
              <w:t>–10%</w:t>
            </w:r>
          </w:p>
        </w:tc>
      </w:tr>
      <w:tr>
        <w:trPr>
          <w:trHeight w:val="412"/>
        </w:trPr>
        <w:tc>
          <w:tcPr>
            <w:tcW w:w="5340" w:type="dxa"/>
            <w:vAlign w:val="bottom"/>
            <w:tcBorders>
              <w:left w:val="single" w:sz="8" w:color="auto"/>
              <w:bottom w:val="single" w:sz="8" w:color="auto"/>
              <w:right w:val="single" w:sz="8" w:color="auto"/>
            </w:tcBorders>
          </w:tcPr>
          <w:p>
            <w:pPr>
              <w:jc w:val="center"/>
              <w:ind w:right="79"/>
              <w:spacing w:after="0"/>
              <w:rPr>
                <w:sz w:val="20"/>
                <w:szCs w:val="20"/>
                <w:color w:val="auto"/>
              </w:rPr>
            </w:pPr>
            <w:r>
              <w:rPr>
                <w:rFonts w:ascii="Arial" w:cs="Arial" w:eastAsia="Arial" w:hAnsi="Arial"/>
                <w:sz w:val="16"/>
                <w:szCs w:val="16"/>
                <w:color w:val="auto"/>
                <w:w w:val="95"/>
              </w:rPr>
              <w:t>&gt; 30</w:t>
            </w:r>
            <w:r>
              <w:rPr>
                <w:rFonts w:ascii="Arial" w:cs="Arial" w:eastAsia="Arial" w:hAnsi="Arial"/>
                <w:sz w:val="26"/>
                <w:szCs w:val="26"/>
                <w:color w:val="auto"/>
                <w:w w:val="95"/>
                <w:vertAlign w:val="superscript"/>
              </w:rPr>
              <w:t>th</w:t>
            </w:r>
            <w:r>
              <w:rPr>
                <w:rFonts w:ascii="Arial" w:cs="Arial" w:eastAsia="Arial" w:hAnsi="Arial"/>
                <w:sz w:val="16"/>
                <w:szCs w:val="16"/>
                <w:color w:val="auto"/>
                <w:w w:val="95"/>
              </w:rPr>
              <w:t xml:space="preserve"> to 35</w:t>
            </w:r>
            <w:r>
              <w:rPr>
                <w:rFonts w:ascii="Arial" w:cs="Arial" w:eastAsia="Arial" w:hAnsi="Arial"/>
                <w:sz w:val="26"/>
                <w:szCs w:val="26"/>
                <w:color w:val="auto"/>
                <w:w w:val="95"/>
                <w:vertAlign w:val="superscript"/>
              </w:rPr>
              <w:t>th</w:t>
            </w:r>
            <w:r>
              <w:rPr>
                <w:rFonts w:ascii="Arial" w:cs="Arial" w:eastAsia="Arial" w:hAnsi="Arial"/>
                <w:sz w:val="16"/>
                <w:szCs w:val="16"/>
                <w:color w:val="auto"/>
                <w:w w:val="95"/>
              </w:rPr>
              <w:t xml:space="preserve"> %</w:t>
            </w:r>
          </w:p>
        </w:tc>
        <w:tc>
          <w:tcPr>
            <w:tcW w:w="3840" w:type="dxa"/>
            <w:vAlign w:val="bottom"/>
            <w:tcBorders>
              <w:bottom w:val="single" w:sz="8" w:color="auto"/>
              <w:right w:val="single" w:sz="8" w:color="auto"/>
            </w:tcBorders>
          </w:tcPr>
          <w:p>
            <w:pPr>
              <w:jc w:val="center"/>
              <w:ind w:left="39"/>
              <w:spacing w:after="0"/>
              <w:rPr>
                <w:sz w:val="20"/>
                <w:szCs w:val="20"/>
                <w:color w:val="auto"/>
              </w:rPr>
            </w:pPr>
            <w:r>
              <w:rPr>
                <w:rFonts w:ascii="Arial" w:cs="Arial" w:eastAsia="Arial" w:hAnsi="Arial"/>
                <w:sz w:val="16"/>
                <w:szCs w:val="16"/>
                <w:color w:val="auto"/>
                <w:w w:val="97"/>
              </w:rPr>
              <w:t>–15%</w:t>
            </w:r>
          </w:p>
        </w:tc>
      </w:tr>
      <w:tr>
        <w:trPr>
          <w:trHeight w:val="412"/>
        </w:trPr>
        <w:tc>
          <w:tcPr>
            <w:tcW w:w="5340" w:type="dxa"/>
            <w:vAlign w:val="bottom"/>
            <w:tcBorders>
              <w:left w:val="single" w:sz="8" w:color="auto"/>
              <w:bottom w:val="single" w:sz="8" w:color="auto"/>
              <w:right w:val="single" w:sz="8" w:color="auto"/>
            </w:tcBorders>
          </w:tcPr>
          <w:p>
            <w:pPr>
              <w:jc w:val="center"/>
              <w:ind w:right="59"/>
              <w:spacing w:after="0"/>
              <w:rPr>
                <w:sz w:val="20"/>
                <w:szCs w:val="20"/>
                <w:color w:val="auto"/>
              </w:rPr>
            </w:pPr>
            <w:r>
              <w:rPr>
                <w:rFonts w:ascii="Arial" w:cs="Arial" w:eastAsia="Arial" w:hAnsi="Arial"/>
                <w:sz w:val="16"/>
                <w:szCs w:val="16"/>
                <w:color w:val="auto"/>
                <w:w w:val="94"/>
              </w:rPr>
              <w:t>25</w:t>
            </w:r>
            <w:r>
              <w:rPr>
                <w:rFonts w:ascii="Arial" w:cs="Arial" w:eastAsia="Arial" w:hAnsi="Arial"/>
                <w:sz w:val="26"/>
                <w:szCs w:val="26"/>
                <w:color w:val="auto"/>
                <w:w w:val="94"/>
                <w:vertAlign w:val="superscript"/>
              </w:rPr>
              <w:t>th</w:t>
            </w:r>
            <w:r>
              <w:rPr>
                <w:rFonts w:ascii="Arial" w:cs="Arial" w:eastAsia="Arial" w:hAnsi="Arial"/>
                <w:sz w:val="16"/>
                <w:szCs w:val="16"/>
                <w:color w:val="auto"/>
                <w:w w:val="94"/>
              </w:rPr>
              <w:t xml:space="preserve"> to 30</w:t>
            </w:r>
            <w:r>
              <w:rPr>
                <w:rFonts w:ascii="Arial" w:cs="Arial" w:eastAsia="Arial" w:hAnsi="Arial"/>
                <w:sz w:val="26"/>
                <w:szCs w:val="26"/>
                <w:color w:val="auto"/>
                <w:w w:val="94"/>
                <w:vertAlign w:val="superscript"/>
              </w:rPr>
              <w:t>th</w:t>
            </w:r>
            <w:r>
              <w:rPr>
                <w:rFonts w:ascii="Arial" w:cs="Arial" w:eastAsia="Arial" w:hAnsi="Arial"/>
                <w:sz w:val="16"/>
                <w:szCs w:val="16"/>
                <w:color w:val="auto"/>
                <w:w w:val="94"/>
              </w:rPr>
              <w:t xml:space="preserve"> %</w:t>
            </w:r>
          </w:p>
        </w:tc>
        <w:tc>
          <w:tcPr>
            <w:tcW w:w="3840" w:type="dxa"/>
            <w:vAlign w:val="bottom"/>
            <w:tcBorders>
              <w:bottom w:val="single" w:sz="8" w:color="auto"/>
              <w:right w:val="single" w:sz="8" w:color="auto"/>
            </w:tcBorders>
          </w:tcPr>
          <w:p>
            <w:pPr>
              <w:jc w:val="center"/>
              <w:ind w:left="39"/>
              <w:spacing w:after="0"/>
              <w:rPr>
                <w:sz w:val="20"/>
                <w:szCs w:val="20"/>
                <w:color w:val="auto"/>
              </w:rPr>
            </w:pPr>
            <w:r>
              <w:rPr>
                <w:rFonts w:ascii="Arial" w:cs="Arial" w:eastAsia="Arial" w:hAnsi="Arial"/>
                <w:sz w:val="16"/>
                <w:szCs w:val="16"/>
                <w:color w:val="auto"/>
                <w:w w:val="97"/>
              </w:rPr>
              <w:t>–20%</w:t>
            </w:r>
          </w:p>
        </w:tc>
      </w:tr>
      <w:tr>
        <w:trPr>
          <w:trHeight w:val="426"/>
        </w:trPr>
        <w:tc>
          <w:tcPr>
            <w:tcW w:w="5340" w:type="dxa"/>
            <w:vAlign w:val="bottom"/>
            <w:tcBorders>
              <w:left w:val="single" w:sz="8" w:color="auto"/>
              <w:bottom w:val="single" w:sz="8" w:color="auto"/>
              <w:right w:val="single" w:sz="8" w:color="auto"/>
            </w:tcBorders>
          </w:tcPr>
          <w:p>
            <w:pPr>
              <w:jc w:val="center"/>
              <w:ind w:right="79"/>
              <w:spacing w:after="0"/>
              <w:rPr>
                <w:sz w:val="20"/>
                <w:szCs w:val="20"/>
                <w:color w:val="auto"/>
              </w:rPr>
            </w:pPr>
            <w:r>
              <w:rPr>
                <w:rFonts w:ascii="Arial" w:cs="Arial" w:eastAsia="Arial" w:hAnsi="Arial"/>
                <w:sz w:val="16"/>
                <w:szCs w:val="16"/>
                <w:color w:val="auto"/>
                <w:w w:val="99"/>
              </w:rPr>
              <w:t>Below 25</w:t>
            </w:r>
            <w:r>
              <w:rPr>
                <w:rFonts w:ascii="Arial" w:cs="Arial" w:eastAsia="Arial" w:hAnsi="Arial"/>
                <w:sz w:val="26"/>
                <w:szCs w:val="26"/>
                <w:color w:val="auto"/>
                <w:w w:val="99"/>
                <w:vertAlign w:val="superscript"/>
              </w:rPr>
              <w:t>th</w:t>
            </w:r>
            <w:r>
              <w:rPr>
                <w:rFonts w:ascii="Arial" w:cs="Arial" w:eastAsia="Arial" w:hAnsi="Arial"/>
                <w:sz w:val="16"/>
                <w:szCs w:val="16"/>
                <w:color w:val="auto"/>
                <w:w w:val="99"/>
              </w:rPr>
              <w:t xml:space="preserve"> %</w:t>
            </w:r>
          </w:p>
        </w:tc>
        <w:tc>
          <w:tcPr>
            <w:tcW w:w="3840" w:type="dxa"/>
            <w:vAlign w:val="bottom"/>
            <w:tcBorders>
              <w:bottom w:val="single" w:sz="8" w:color="auto"/>
              <w:right w:val="single" w:sz="8" w:color="auto"/>
            </w:tcBorders>
          </w:tcPr>
          <w:p>
            <w:pPr>
              <w:jc w:val="center"/>
              <w:ind w:left="39"/>
              <w:spacing w:after="0"/>
              <w:rPr>
                <w:sz w:val="20"/>
                <w:szCs w:val="20"/>
                <w:color w:val="auto"/>
              </w:rPr>
            </w:pPr>
            <w:r>
              <w:rPr>
                <w:rFonts w:ascii="Arial" w:cs="Arial" w:eastAsia="Arial" w:hAnsi="Arial"/>
                <w:sz w:val="16"/>
                <w:szCs w:val="16"/>
                <w:color w:val="auto"/>
                <w:w w:val="97"/>
              </w:rPr>
              <w:t>–25%</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128905</wp:posOffset>
            </wp:positionV>
            <wp:extent cx="699516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166370</wp:posOffset>
            </wp:positionV>
            <wp:extent cx="5829300" cy="13030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829300" cy="130302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Update for 2024:</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 the 2024 plan, the TSR modifier will switch from a “step up” methodology based on ranges, as illustrated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above, to a straight-line methodology interpolated between threshold, target, and maximum objectives. In this</w:t>
      </w:r>
    </w:p>
    <w:p>
      <w:pPr>
        <w:ind w:left="40"/>
        <w:spacing w:after="0" w:line="234" w:lineRule="auto"/>
        <w:rPr>
          <w:sz w:val="20"/>
          <w:szCs w:val="20"/>
          <w:color w:val="auto"/>
        </w:rPr>
      </w:pPr>
      <w:r>
        <w:rPr>
          <w:rFonts w:ascii="Arial" w:cs="Arial" w:eastAsia="Arial" w:hAnsi="Arial"/>
          <w:sz w:val="18"/>
          <w:szCs w:val="18"/>
          <w:color w:val="auto"/>
        </w:rPr>
        <w:t>formula, our TSR rank relative to peers at 51% is equivalent to a 0% modifier, a 25% TSR rank or less is</w:t>
      </w:r>
    </w:p>
    <w:p>
      <w:pPr>
        <w:ind w:left="40"/>
        <w:spacing w:after="0" w:line="235" w:lineRule="auto"/>
        <w:rPr>
          <w:sz w:val="20"/>
          <w:szCs w:val="20"/>
          <w:color w:val="auto"/>
        </w:rPr>
      </w:pPr>
      <w:r>
        <w:rPr>
          <w:rFonts w:ascii="Arial" w:cs="Arial" w:eastAsia="Arial" w:hAnsi="Arial"/>
          <w:sz w:val="18"/>
          <w:szCs w:val="18"/>
          <w:color w:val="auto"/>
        </w:rPr>
        <w:t>equivalent to a -25% modifier, and a 75% rank or more is equivalent to a 25% modifier. This will eliminate the</w:t>
      </w:r>
    </w:p>
    <w:p>
      <w:pPr>
        <w:ind w:left="40"/>
        <w:spacing w:after="0" w:line="235" w:lineRule="auto"/>
        <w:rPr>
          <w:sz w:val="20"/>
          <w:szCs w:val="20"/>
          <w:color w:val="auto"/>
        </w:rPr>
      </w:pPr>
      <w:r>
        <w:rPr>
          <w:rFonts w:ascii="Arial" w:cs="Arial" w:eastAsia="Arial" w:hAnsi="Arial"/>
          <w:sz w:val="18"/>
          <w:szCs w:val="18"/>
          <w:color w:val="auto"/>
        </w:rPr>
        <w:t>potential for achievement of a modifier of 0% for a rank of less than 51% and apply more stringent negative</w:t>
      </w:r>
    </w:p>
    <w:p>
      <w:pPr>
        <w:ind w:left="40"/>
        <w:spacing w:after="0" w:line="235" w:lineRule="auto"/>
        <w:rPr>
          <w:sz w:val="20"/>
          <w:szCs w:val="20"/>
          <w:color w:val="auto"/>
        </w:rPr>
      </w:pPr>
      <w:r>
        <w:rPr>
          <w:rFonts w:ascii="Arial" w:cs="Arial" w:eastAsia="Arial" w:hAnsi="Arial"/>
          <w:sz w:val="18"/>
          <w:szCs w:val="18"/>
          <w:color w:val="auto"/>
        </w:rPr>
        <w:t>modification to the CIU grant.</w:t>
      </w:r>
    </w:p>
    <w:p>
      <w:pPr>
        <w:ind w:left="40"/>
        <w:spacing w:after="0"/>
        <w:rPr>
          <w:sz w:val="20"/>
          <w:szCs w:val="20"/>
          <w:color w:val="auto"/>
        </w:rPr>
      </w:pPr>
      <w:r>
        <w:rPr>
          <w:rFonts w:ascii="Arial" w:cs="Arial" w:eastAsia="Arial" w:hAnsi="Arial"/>
          <w:sz w:val="18"/>
          <w:szCs w:val="18"/>
          <w:color w:val="auto"/>
        </w:rPr>
        <w:t> </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2060" w:type="dxa"/>
            <w:vAlign w:val="bottom"/>
            <w:tcBorders>
              <w:right w:val="single" w:sz="8" w:color="4B5A89"/>
            </w:tcBorders>
            <w:shd w:val="clear" w:color="auto" w:fill="CBCEE0"/>
          </w:tcPr>
          <w:p>
            <w:pPr>
              <w:spacing w:after="0"/>
              <w:rPr>
                <w:sz w:val="24"/>
                <w:szCs w:val="24"/>
                <w:color w:val="auto"/>
              </w:rPr>
            </w:pPr>
          </w:p>
        </w:tc>
        <w:tc>
          <w:tcPr>
            <w:tcW w:w="1300" w:type="dxa"/>
            <w:vAlign w:val="bottom"/>
            <w:tcBorders>
              <w:right w:val="single" w:sz="8" w:color="4B5A89"/>
            </w:tcBorders>
            <w:shd w:val="clear" w:color="auto" w:fill="4B5A89"/>
          </w:tcPr>
          <w:p>
            <w:pPr>
              <w:spacing w:after="0"/>
              <w:rPr>
                <w:sz w:val="24"/>
                <w:szCs w:val="24"/>
                <w:color w:val="auto"/>
              </w:rPr>
            </w:pPr>
          </w:p>
        </w:tc>
        <w:tc>
          <w:tcPr>
            <w:tcW w:w="2440" w:type="dxa"/>
            <w:vAlign w:val="bottom"/>
            <w:tcBorders>
              <w:right w:val="single" w:sz="8" w:color="4B5A89"/>
            </w:tcBorders>
            <w:shd w:val="clear" w:color="auto" w:fill="4B5A89"/>
          </w:tcPr>
          <w:p>
            <w:pPr>
              <w:jc w:val="center"/>
              <w:spacing w:after="0"/>
              <w:rPr>
                <w:sz w:val="20"/>
                <w:szCs w:val="20"/>
                <w:color w:val="auto"/>
              </w:rPr>
            </w:pPr>
            <w:r>
              <w:rPr>
                <w:rFonts w:ascii="Arial" w:cs="Arial" w:eastAsia="Arial" w:hAnsi="Arial"/>
                <w:sz w:val="18"/>
                <w:szCs w:val="18"/>
                <w:b w:val="1"/>
                <w:bCs w:val="1"/>
                <w:color w:val="FFFFFF"/>
                <w:w w:val="99"/>
              </w:rPr>
              <w:t>2024</w:t>
            </w:r>
          </w:p>
        </w:tc>
        <w:tc>
          <w:tcPr>
            <w:tcW w:w="1320" w:type="dxa"/>
            <w:vAlign w:val="bottom"/>
            <w:tcBorders>
              <w:right w:val="single" w:sz="8" w:color="CBCEE0"/>
            </w:tcBorders>
            <w:shd w:val="clear" w:color="auto" w:fill="4B5A89"/>
          </w:tcPr>
          <w:p>
            <w:pPr>
              <w:spacing w:after="0"/>
              <w:rPr>
                <w:sz w:val="24"/>
                <w:szCs w:val="24"/>
                <w:color w:val="auto"/>
              </w:rPr>
            </w:pPr>
          </w:p>
        </w:tc>
        <w:tc>
          <w:tcPr>
            <w:tcW w:w="2060" w:type="dxa"/>
            <w:vAlign w:val="bottom"/>
            <w:shd w:val="clear" w:color="auto" w:fill="CBCEE0"/>
          </w:tcPr>
          <w:p>
            <w:pPr>
              <w:spacing w:after="0"/>
              <w:rPr>
                <w:sz w:val="24"/>
                <w:szCs w:val="24"/>
                <w:color w:val="auto"/>
              </w:rPr>
            </w:pPr>
          </w:p>
        </w:tc>
      </w:tr>
      <w:tr>
        <w:trPr>
          <w:trHeight w:val="203"/>
        </w:trPr>
        <w:tc>
          <w:tcPr>
            <w:tcW w:w="2060" w:type="dxa"/>
            <w:vAlign w:val="bottom"/>
            <w:tcBorders>
              <w:right w:val="single" w:sz="8" w:color="4B5A89"/>
            </w:tcBorders>
            <w:shd w:val="clear" w:color="auto" w:fill="CBCEE0"/>
          </w:tcPr>
          <w:p>
            <w:pPr>
              <w:spacing w:after="0"/>
              <w:rPr>
                <w:sz w:val="17"/>
                <w:szCs w:val="17"/>
                <w:color w:val="auto"/>
              </w:rPr>
            </w:pPr>
          </w:p>
        </w:tc>
        <w:tc>
          <w:tcPr>
            <w:tcW w:w="1300" w:type="dxa"/>
            <w:vAlign w:val="bottom"/>
            <w:tcBorders>
              <w:right w:val="single" w:sz="8" w:color="4B5A89"/>
            </w:tcBorders>
            <w:shd w:val="clear" w:color="auto" w:fill="4B5A89"/>
          </w:tcPr>
          <w:p>
            <w:pPr>
              <w:spacing w:after="0"/>
              <w:rPr>
                <w:sz w:val="17"/>
                <w:szCs w:val="17"/>
                <w:color w:val="auto"/>
              </w:rPr>
            </w:pPr>
          </w:p>
        </w:tc>
        <w:tc>
          <w:tcPr>
            <w:tcW w:w="2440" w:type="dxa"/>
            <w:vAlign w:val="bottom"/>
            <w:tcBorders>
              <w:right w:val="single" w:sz="8" w:color="4B5A89"/>
            </w:tcBorders>
            <w:shd w:val="clear" w:color="auto" w:fill="4B5A89"/>
          </w:tcPr>
          <w:p>
            <w:pPr>
              <w:jc w:val="center"/>
              <w:spacing w:after="0" w:line="202" w:lineRule="exact"/>
              <w:rPr>
                <w:sz w:val="20"/>
                <w:szCs w:val="20"/>
                <w:color w:val="auto"/>
              </w:rPr>
            </w:pPr>
            <w:r>
              <w:rPr>
                <w:rFonts w:ascii="Arial" w:cs="Arial" w:eastAsia="Arial" w:hAnsi="Arial"/>
                <w:sz w:val="18"/>
                <w:szCs w:val="18"/>
                <w:b w:val="1"/>
                <w:bCs w:val="1"/>
                <w:color w:val="FFFFFF"/>
                <w:w w:val="99"/>
              </w:rPr>
              <w:t>Company Rank vs.</w:t>
            </w:r>
          </w:p>
        </w:tc>
        <w:tc>
          <w:tcPr>
            <w:tcW w:w="1320" w:type="dxa"/>
            <w:vAlign w:val="bottom"/>
            <w:tcBorders>
              <w:right w:val="single" w:sz="8" w:color="CBCEE0"/>
            </w:tcBorders>
            <w:shd w:val="clear" w:color="auto" w:fill="4B5A89"/>
          </w:tcPr>
          <w:p>
            <w:pPr>
              <w:jc w:val="right"/>
              <w:ind w:right="410"/>
              <w:spacing w:after="0" w:line="202" w:lineRule="exact"/>
              <w:rPr>
                <w:sz w:val="20"/>
                <w:szCs w:val="20"/>
                <w:color w:val="auto"/>
              </w:rPr>
            </w:pPr>
            <w:r>
              <w:rPr>
                <w:rFonts w:ascii="Arial" w:cs="Arial" w:eastAsia="Arial" w:hAnsi="Arial"/>
                <w:sz w:val="18"/>
                <w:szCs w:val="18"/>
                <w:b w:val="1"/>
                <w:bCs w:val="1"/>
                <w:color w:val="FFFFFF"/>
              </w:rPr>
              <w:t>2024</w:t>
            </w:r>
          </w:p>
        </w:tc>
        <w:tc>
          <w:tcPr>
            <w:tcW w:w="2060" w:type="dxa"/>
            <w:vAlign w:val="bottom"/>
            <w:shd w:val="clear" w:color="auto" w:fill="CBCEE0"/>
          </w:tcPr>
          <w:p>
            <w:pPr>
              <w:spacing w:after="0"/>
              <w:rPr>
                <w:sz w:val="17"/>
                <w:szCs w:val="17"/>
                <w:color w:val="auto"/>
              </w:rPr>
            </w:pPr>
          </w:p>
        </w:tc>
      </w:tr>
      <w:tr>
        <w:trPr>
          <w:trHeight w:val="247"/>
        </w:trPr>
        <w:tc>
          <w:tcPr>
            <w:tcW w:w="2060" w:type="dxa"/>
            <w:vAlign w:val="bottom"/>
            <w:tcBorders>
              <w:right w:val="single" w:sz="8" w:color="4B5A89"/>
            </w:tcBorders>
            <w:shd w:val="clear" w:color="auto" w:fill="CBCEE0"/>
          </w:tcPr>
          <w:p>
            <w:pPr>
              <w:spacing w:after="0"/>
              <w:rPr>
                <w:sz w:val="21"/>
                <w:szCs w:val="21"/>
                <w:color w:val="auto"/>
              </w:rPr>
            </w:pPr>
          </w:p>
        </w:tc>
        <w:tc>
          <w:tcPr>
            <w:tcW w:w="1300" w:type="dxa"/>
            <w:vAlign w:val="bottom"/>
            <w:tcBorders>
              <w:right w:val="single" w:sz="8" w:color="4B5A89"/>
            </w:tcBorders>
            <w:shd w:val="clear" w:color="auto" w:fill="4B5A89"/>
          </w:tcPr>
          <w:p>
            <w:pPr>
              <w:spacing w:after="0"/>
              <w:rPr>
                <w:sz w:val="21"/>
                <w:szCs w:val="21"/>
                <w:color w:val="auto"/>
              </w:rPr>
            </w:pPr>
          </w:p>
        </w:tc>
        <w:tc>
          <w:tcPr>
            <w:tcW w:w="2440" w:type="dxa"/>
            <w:vAlign w:val="bottom"/>
            <w:tcBorders>
              <w:right w:val="single" w:sz="8" w:color="4B5A89"/>
            </w:tcBorders>
            <w:shd w:val="clear" w:color="auto" w:fill="4B5A89"/>
          </w:tcPr>
          <w:p>
            <w:pPr>
              <w:jc w:val="center"/>
              <w:spacing w:after="0"/>
              <w:rPr>
                <w:sz w:val="20"/>
                <w:szCs w:val="20"/>
                <w:color w:val="auto"/>
              </w:rPr>
            </w:pPr>
            <w:r>
              <w:rPr>
                <w:rFonts w:ascii="Arial" w:cs="Arial" w:eastAsia="Arial" w:hAnsi="Arial"/>
                <w:sz w:val="18"/>
                <w:szCs w:val="18"/>
                <w:b w:val="1"/>
                <w:bCs w:val="1"/>
                <w:color w:val="FFFFFF"/>
                <w:w w:val="99"/>
              </w:rPr>
              <w:t>Peer Group (percentile)</w:t>
            </w:r>
          </w:p>
        </w:tc>
        <w:tc>
          <w:tcPr>
            <w:tcW w:w="1320" w:type="dxa"/>
            <w:vAlign w:val="bottom"/>
            <w:tcBorders>
              <w:right w:val="single" w:sz="8" w:color="CBCEE0"/>
            </w:tcBorders>
            <w:shd w:val="clear" w:color="auto" w:fill="4B5A89"/>
          </w:tcPr>
          <w:p>
            <w:pPr>
              <w:jc w:val="center"/>
              <w:spacing w:after="0"/>
              <w:rPr>
                <w:sz w:val="20"/>
                <w:szCs w:val="20"/>
                <w:color w:val="auto"/>
              </w:rPr>
            </w:pPr>
            <w:r>
              <w:rPr>
                <w:rFonts w:ascii="Arial" w:cs="Arial" w:eastAsia="Arial" w:hAnsi="Arial"/>
                <w:sz w:val="18"/>
                <w:szCs w:val="18"/>
                <w:b w:val="1"/>
                <w:bCs w:val="1"/>
                <w:color w:val="FFFFFF"/>
                <w:w w:val="99"/>
              </w:rPr>
              <w:t>Modifier</w:t>
            </w:r>
          </w:p>
        </w:tc>
        <w:tc>
          <w:tcPr>
            <w:tcW w:w="2060" w:type="dxa"/>
            <w:vAlign w:val="bottom"/>
            <w:shd w:val="clear" w:color="auto" w:fill="CBCEE0"/>
          </w:tcPr>
          <w:p>
            <w:pPr>
              <w:spacing w:after="0"/>
              <w:rPr>
                <w:sz w:val="21"/>
                <w:szCs w:val="21"/>
                <w:color w:val="auto"/>
              </w:rPr>
            </w:pPr>
          </w:p>
        </w:tc>
      </w:tr>
      <w:tr>
        <w:trPr>
          <w:trHeight w:val="83"/>
        </w:trPr>
        <w:tc>
          <w:tcPr>
            <w:tcW w:w="2060" w:type="dxa"/>
            <w:vAlign w:val="bottom"/>
            <w:tcBorders>
              <w:right w:val="single" w:sz="8" w:color="4B5A89"/>
            </w:tcBorders>
            <w:shd w:val="clear" w:color="auto" w:fill="CBCEE0"/>
          </w:tcPr>
          <w:p>
            <w:pPr>
              <w:spacing w:after="0"/>
              <w:rPr>
                <w:sz w:val="7"/>
                <w:szCs w:val="7"/>
                <w:color w:val="auto"/>
              </w:rPr>
            </w:pPr>
          </w:p>
        </w:tc>
        <w:tc>
          <w:tcPr>
            <w:tcW w:w="1300" w:type="dxa"/>
            <w:vAlign w:val="bottom"/>
            <w:tcBorders>
              <w:right w:val="single" w:sz="8" w:color="4B5A89"/>
            </w:tcBorders>
            <w:shd w:val="clear" w:color="auto" w:fill="4B5A89"/>
          </w:tcPr>
          <w:p>
            <w:pPr>
              <w:spacing w:after="0"/>
              <w:rPr>
                <w:sz w:val="7"/>
                <w:szCs w:val="7"/>
                <w:color w:val="auto"/>
              </w:rPr>
            </w:pPr>
          </w:p>
        </w:tc>
        <w:tc>
          <w:tcPr>
            <w:tcW w:w="2440" w:type="dxa"/>
            <w:vAlign w:val="bottom"/>
            <w:tcBorders>
              <w:right w:val="single" w:sz="8" w:color="4B5A89"/>
            </w:tcBorders>
            <w:shd w:val="clear" w:color="auto" w:fill="4B5A89"/>
          </w:tcPr>
          <w:p>
            <w:pPr>
              <w:spacing w:after="0"/>
              <w:rPr>
                <w:sz w:val="7"/>
                <w:szCs w:val="7"/>
                <w:color w:val="auto"/>
              </w:rPr>
            </w:pPr>
          </w:p>
        </w:tc>
        <w:tc>
          <w:tcPr>
            <w:tcW w:w="1320" w:type="dxa"/>
            <w:vAlign w:val="bottom"/>
            <w:tcBorders>
              <w:right w:val="single" w:sz="8" w:color="CBCEE0"/>
            </w:tcBorders>
            <w:shd w:val="clear" w:color="auto" w:fill="4B5A89"/>
          </w:tcPr>
          <w:p>
            <w:pPr>
              <w:spacing w:after="0"/>
              <w:rPr>
                <w:sz w:val="7"/>
                <w:szCs w:val="7"/>
                <w:color w:val="auto"/>
              </w:rPr>
            </w:pPr>
          </w:p>
        </w:tc>
        <w:tc>
          <w:tcPr>
            <w:tcW w:w="2060" w:type="dxa"/>
            <w:vAlign w:val="bottom"/>
            <w:shd w:val="clear" w:color="auto" w:fill="CBCEE0"/>
          </w:tcPr>
          <w:p>
            <w:pPr>
              <w:spacing w:after="0"/>
              <w:rPr>
                <w:sz w:val="7"/>
                <w:szCs w:val="7"/>
                <w:color w:val="auto"/>
              </w:rPr>
            </w:pPr>
          </w:p>
        </w:tc>
      </w:tr>
      <w:tr>
        <w:trPr>
          <w:trHeight w:val="459"/>
        </w:trPr>
        <w:tc>
          <w:tcPr>
            <w:tcW w:w="2060" w:type="dxa"/>
            <w:vAlign w:val="bottom"/>
            <w:tcBorders>
              <w:bottom w:val="single" w:sz="8" w:color="CBCEE0"/>
              <w:right w:val="single" w:sz="8" w:color="4B5A89"/>
            </w:tcBorders>
            <w:shd w:val="clear" w:color="auto" w:fill="CBCEE0"/>
          </w:tcPr>
          <w:p>
            <w:pPr>
              <w:spacing w:after="0"/>
              <w:rPr>
                <w:sz w:val="24"/>
                <w:szCs w:val="24"/>
                <w:color w:val="auto"/>
              </w:rPr>
            </w:pPr>
          </w:p>
        </w:tc>
        <w:tc>
          <w:tcPr>
            <w:tcW w:w="1300" w:type="dxa"/>
            <w:vAlign w:val="bottom"/>
            <w:tcBorders>
              <w:bottom w:val="single" w:sz="8" w:color="4B5A89"/>
              <w:right w:val="single" w:sz="8" w:color="4B5A89"/>
            </w:tcBorders>
          </w:tcPr>
          <w:p>
            <w:pPr>
              <w:ind w:left="80"/>
              <w:spacing w:after="0"/>
              <w:rPr>
                <w:sz w:val="20"/>
                <w:szCs w:val="20"/>
                <w:color w:val="auto"/>
              </w:rPr>
            </w:pPr>
            <w:r>
              <w:rPr>
                <w:rFonts w:ascii="Arial" w:cs="Arial" w:eastAsia="Arial" w:hAnsi="Arial"/>
                <w:sz w:val="18"/>
                <w:szCs w:val="18"/>
                <w:color w:val="auto"/>
              </w:rPr>
              <w:t>Max</w:t>
            </w:r>
          </w:p>
        </w:tc>
        <w:tc>
          <w:tcPr>
            <w:tcW w:w="2440" w:type="dxa"/>
            <w:vAlign w:val="bottom"/>
            <w:tcBorders>
              <w:bottom w:val="single" w:sz="8" w:color="4B5A89"/>
              <w:right w:val="single" w:sz="8" w:color="4B5A89"/>
            </w:tcBorders>
          </w:tcPr>
          <w:p>
            <w:pPr>
              <w:jc w:val="center"/>
              <w:spacing w:after="0"/>
              <w:rPr>
                <w:sz w:val="20"/>
                <w:szCs w:val="20"/>
                <w:color w:val="auto"/>
              </w:rPr>
            </w:pPr>
            <w:r>
              <w:rPr>
                <w:rFonts w:ascii="Arial" w:cs="Arial" w:eastAsia="Arial" w:hAnsi="Arial"/>
                <w:sz w:val="18"/>
                <w:szCs w:val="18"/>
                <w:color w:val="auto"/>
                <w:w w:val="88"/>
              </w:rPr>
              <w:t>75</w:t>
            </w:r>
            <w:r>
              <w:rPr>
                <w:rFonts w:ascii="Arial" w:cs="Arial" w:eastAsia="Arial" w:hAnsi="Arial"/>
                <w:sz w:val="29"/>
                <w:szCs w:val="29"/>
                <w:color w:val="auto"/>
                <w:w w:val="88"/>
                <w:vertAlign w:val="superscript"/>
              </w:rPr>
              <w:t>th</w:t>
            </w:r>
          </w:p>
        </w:tc>
        <w:tc>
          <w:tcPr>
            <w:tcW w:w="1320" w:type="dxa"/>
            <w:vAlign w:val="bottom"/>
            <w:tcBorders>
              <w:bottom w:val="single" w:sz="8" w:color="4B5A89"/>
              <w:right w:val="single" w:sz="8" w:color="CBCEE0"/>
            </w:tcBorders>
          </w:tcPr>
          <w:p>
            <w:pPr>
              <w:jc w:val="center"/>
              <w:spacing w:after="0"/>
              <w:rPr>
                <w:sz w:val="20"/>
                <w:szCs w:val="20"/>
                <w:color w:val="auto"/>
              </w:rPr>
            </w:pPr>
            <w:r>
              <w:rPr>
                <w:rFonts w:ascii="Arial" w:cs="Arial" w:eastAsia="Arial" w:hAnsi="Arial"/>
                <w:sz w:val="18"/>
                <w:szCs w:val="18"/>
                <w:color w:val="auto"/>
                <w:w w:val="99"/>
              </w:rPr>
              <w:t>25%</w:t>
            </w:r>
          </w:p>
        </w:tc>
        <w:tc>
          <w:tcPr>
            <w:tcW w:w="2060" w:type="dxa"/>
            <w:vAlign w:val="bottom"/>
            <w:tcBorders>
              <w:bottom w:val="single" w:sz="8" w:color="CBCEE0"/>
            </w:tcBorders>
            <w:shd w:val="clear" w:color="auto" w:fill="CBCEE0"/>
          </w:tcPr>
          <w:p>
            <w:pPr>
              <w:spacing w:after="0"/>
              <w:rPr>
                <w:sz w:val="24"/>
                <w:szCs w:val="24"/>
                <w:color w:val="auto"/>
              </w:rPr>
            </w:pPr>
          </w:p>
        </w:tc>
      </w:tr>
      <w:tr>
        <w:trPr>
          <w:trHeight w:val="453"/>
        </w:trPr>
        <w:tc>
          <w:tcPr>
            <w:tcW w:w="2060" w:type="dxa"/>
            <w:vAlign w:val="bottom"/>
            <w:tcBorders>
              <w:bottom w:val="single" w:sz="8" w:color="CBCEE0"/>
              <w:right w:val="single" w:sz="8" w:color="4B5A89"/>
            </w:tcBorders>
            <w:shd w:val="clear" w:color="auto" w:fill="CBCEE0"/>
          </w:tcPr>
          <w:p>
            <w:pPr>
              <w:spacing w:after="0"/>
              <w:rPr>
                <w:sz w:val="24"/>
                <w:szCs w:val="24"/>
                <w:color w:val="auto"/>
              </w:rPr>
            </w:pPr>
          </w:p>
        </w:tc>
        <w:tc>
          <w:tcPr>
            <w:tcW w:w="1300" w:type="dxa"/>
            <w:vAlign w:val="bottom"/>
            <w:tcBorders>
              <w:bottom w:val="single" w:sz="8" w:color="4B5A89"/>
              <w:right w:val="single" w:sz="8" w:color="4B5A89"/>
            </w:tcBorders>
          </w:tcPr>
          <w:p>
            <w:pPr>
              <w:ind w:left="80"/>
              <w:spacing w:after="0"/>
              <w:rPr>
                <w:sz w:val="20"/>
                <w:szCs w:val="20"/>
                <w:color w:val="auto"/>
              </w:rPr>
            </w:pPr>
            <w:r>
              <w:rPr>
                <w:rFonts w:ascii="Arial" w:cs="Arial" w:eastAsia="Arial" w:hAnsi="Arial"/>
                <w:sz w:val="18"/>
                <w:szCs w:val="18"/>
                <w:color w:val="auto"/>
              </w:rPr>
              <w:t>Target</w:t>
            </w:r>
          </w:p>
        </w:tc>
        <w:tc>
          <w:tcPr>
            <w:tcW w:w="2440" w:type="dxa"/>
            <w:vAlign w:val="bottom"/>
            <w:tcBorders>
              <w:bottom w:val="single" w:sz="8" w:color="4B5A89"/>
              <w:right w:val="single" w:sz="8" w:color="4B5A89"/>
            </w:tcBorders>
          </w:tcPr>
          <w:p>
            <w:pPr>
              <w:jc w:val="center"/>
              <w:spacing w:after="0"/>
              <w:rPr>
                <w:sz w:val="20"/>
                <w:szCs w:val="20"/>
                <w:color w:val="auto"/>
              </w:rPr>
            </w:pPr>
            <w:r>
              <w:rPr>
                <w:rFonts w:ascii="Arial" w:cs="Arial" w:eastAsia="Arial" w:hAnsi="Arial"/>
                <w:sz w:val="18"/>
                <w:szCs w:val="18"/>
                <w:color w:val="auto"/>
                <w:w w:val="91"/>
              </w:rPr>
              <w:t>51</w:t>
            </w:r>
            <w:r>
              <w:rPr>
                <w:rFonts w:ascii="Arial" w:cs="Arial" w:eastAsia="Arial" w:hAnsi="Arial"/>
                <w:sz w:val="29"/>
                <w:szCs w:val="29"/>
                <w:color w:val="auto"/>
                <w:w w:val="91"/>
                <w:vertAlign w:val="superscript"/>
              </w:rPr>
              <w:t>st</w:t>
            </w:r>
          </w:p>
        </w:tc>
        <w:tc>
          <w:tcPr>
            <w:tcW w:w="1320" w:type="dxa"/>
            <w:vAlign w:val="bottom"/>
            <w:tcBorders>
              <w:bottom w:val="single" w:sz="8" w:color="4B5A89"/>
              <w:right w:val="single" w:sz="8" w:color="CBCEE0"/>
            </w:tcBorders>
          </w:tcPr>
          <w:p>
            <w:pPr>
              <w:jc w:val="center"/>
              <w:spacing w:after="0"/>
              <w:rPr>
                <w:sz w:val="20"/>
                <w:szCs w:val="20"/>
                <w:color w:val="auto"/>
              </w:rPr>
            </w:pPr>
            <w:r>
              <w:rPr>
                <w:rFonts w:ascii="Arial" w:cs="Arial" w:eastAsia="Arial" w:hAnsi="Arial"/>
                <w:sz w:val="18"/>
                <w:szCs w:val="18"/>
                <w:color w:val="auto"/>
                <w:w w:val="99"/>
              </w:rPr>
              <w:t>0%</w:t>
            </w:r>
          </w:p>
        </w:tc>
        <w:tc>
          <w:tcPr>
            <w:tcW w:w="2060" w:type="dxa"/>
            <w:vAlign w:val="bottom"/>
            <w:tcBorders>
              <w:bottom w:val="single" w:sz="8" w:color="CBCEE0"/>
            </w:tcBorders>
            <w:shd w:val="clear" w:color="auto" w:fill="CBCEE0"/>
          </w:tcPr>
          <w:p>
            <w:pPr>
              <w:spacing w:after="0"/>
              <w:rPr>
                <w:sz w:val="24"/>
                <w:szCs w:val="24"/>
                <w:color w:val="auto"/>
              </w:rPr>
            </w:pPr>
          </w:p>
        </w:tc>
      </w:tr>
      <w:tr>
        <w:trPr>
          <w:trHeight w:val="453"/>
        </w:trPr>
        <w:tc>
          <w:tcPr>
            <w:tcW w:w="2060" w:type="dxa"/>
            <w:vAlign w:val="bottom"/>
            <w:tcBorders>
              <w:bottom w:val="single" w:sz="8" w:color="CBCEE0"/>
              <w:right w:val="single" w:sz="8" w:color="4B5A89"/>
            </w:tcBorders>
            <w:shd w:val="clear" w:color="auto" w:fill="CBCEE0"/>
          </w:tcPr>
          <w:p>
            <w:pPr>
              <w:spacing w:after="0"/>
              <w:rPr>
                <w:sz w:val="24"/>
                <w:szCs w:val="24"/>
                <w:color w:val="auto"/>
              </w:rPr>
            </w:pPr>
          </w:p>
        </w:tc>
        <w:tc>
          <w:tcPr>
            <w:tcW w:w="1300" w:type="dxa"/>
            <w:vAlign w:val="bottom"/>
            <w:tcBorders>
              <w:bottom w:val="single" w:sz="8" w:color="4B5A89"/>
              <w:right w:val="single" w:sz="8" w:color="4B5A89"/>
            </w:tcBorders>
          </w:tcPr>
          <w:p>
            <w:pPr>
              <w:ind w:left="80"/>
              <w:spacing w:after="0"/>
              <w:rPr>
                <w:sz w:val="20"/>
                <w:szCs w:val="20"/>
                <w:color w:val="auto"/>
              </w:rPr>
            </w:pPr>
            <w:r>
              <w:rPr>
                <w:rFonts w:ascii="Arial" w:cs="Arial" w:eastAsia="Arial" w:hAnsi="Arial"/>
                <w:sz w:val="18"/>
                <w:szCs w:val="18"/>
                <w:color w:val="auto"/>
              </w:rPr>
              <w:t>Threshold</w:t>
            </w:r>
          </w:p>
        </w:tc>
        <w:tc>
          <w:tcPr>
            <w:tcW w:w="2440" w:type="dxa"/>
            <w:vAlign w:val="bottom"/>
            <w:tcBorders>
              <w:bottom w:val="single" w:sz="8" w:color="4B5A89"/>
              <w:right w:val="single" w:sz="8" w:color="4B5A89"/>
            </w:tcBorders>
          </w:tcPr>
          <w:p>
            <w:pPr>
              <w:jc w:val="center"/>
              <w:spacing w:after="0"/>
              <w:rPr>
                <w:sz w:val="20"/>
                <w:szCs w:val="20"/>
                <w:color w:val="auto"/>
              </w:rPr>
            </w:pPr>
            <w:r>
              <w:rPr>
                <w:rFonts w:ascii="Arial" w:cs="Arial" w:eastAsia="Arial" w:hAnsi="Arial"/>
                <w:sz w:val="18"/>
                <w:szCs w:val="18"/>
                <w:color w:val="auto"/>
                <w:w w:val="88"/>
              </w:rPr>
              <w:t>25</w:t>
            </w:r>
            <w:r>
              <w:rPr>
                <w:rFonts w:ascii="Arial" w:cs="Arial" w:eastAsia="Arial" w:hAnsi="Arial"/>
                <w:sz w:val="29"/>
                <w:szCs w:val="29"/>
                <w:color w:val="auto"/>
                <w:w w:val="88"/>
                <w:vertAlign w:val="superscript"/>
              </w:rPr>
              <w:t>th</w:t>
            </w:r>
          </w:p>
        </w:tc>
        <w:tc>
          <w:tcPr>
            <w:tcW w:w="1320" w:type="dxa"/>
            <w:vAlign w:val="bottom"/>
            <w:tcBorders>
              <w:bottom w:val="single" w:sz="8" w:color="4B5A89"/>
              <w:right w:val="single" w:sz="8" w:color="CBCEE0"/>
            </w:tcBorders>
          </w:tcPr>
          <w:p>
            <w:pPr>
              <w:jc w:val="center"/>
              <w:spacing w:after="0"/>
              <w:rPr>
                <w:sz w:val="20"/>
                <w:szCs w:val="20"/>
                <w:color w:val="auto"/>
              </w:rPr>
            </w:pPr>
            <w:r>
              <w:rPr>
                <w:rFonts w:ascii="Arial" w:cs="Arial" w:eastAsia="Arial" w:hAnsi="Arial"/>
                <w:sz w:val="18"/>
                <w:szCs w:val="18"/>
                <w:color w:val="auto"/>
                <w:w w:val="99"/>
              </w:rPr>
              <w:t>-25%</w:t>
            </w:r>
          </w:p>
        </w:tc>
        <w:tc>
          <w:tcPr>
            <w:tcW w:w="2060" w:type="dxa"/>
            <w:vAlign w:val="bottom"/>
            <w:tcBorders>
              <w:bottom w:val="single" w:sz="8" w:color="CBCEE0"/>
            </w:tcBorders>
            <w:shd w:val="clear" w:color="auto" w:fill="CBCEE0"/>
          </w:tcPr>
          <w:p>
            <w:pPr>
              <w:spacing w:after="0"/>
              <w:rPr>
                <w:sz w:val="24"/>
                <w:szCs w:val="24"/>
                <w:color w:val="auto"/>
              </w:rPr>
            </w:pPr>
          </w:p>
        </w:tc>
      </w:tr>
      <w:tr>
        <w:trPr>
          <w:trHeight w:val="88"/>
        </w:trPr>
        <w:tc>
          <w:tcPr>
            <w:tcW w:w="2060" w:type="dxa"/>
            <w:vAlign w:val="bottom"/>
            <w:tcBorders>
              <w:right w:val="single" w:sz="8" w:color="CBCEE0"/>
            </w:tcBorders>
            <w:shd w:val="clear" w:color="auto" w:fill="CBCEE0"/>
          </w:tcPr>
          <w:p>
            <w:pPr>
              <w:spacing w:after="0"/>
              <w:rPr>
                <w:sz w:val="7"/>
                <w:szCs w:val="7"/>
                <w:color w:val="auto"/>
              </w:rPr>
            </w:pPr>
          </w:p>
        </w:tc>
        <w:tc>
          <w:tcPr>
            <w:tcW w:w="1300" w:type="dxa"/>
            <w:vAlign w:val="bottom"/>
            <w:tcBorders>
              <w:right w:val="single" w:sz="8" w:color="CBCEE0"/>
            </w:tcBorders>
            <w:shd w:val="clear" w:color="auto" w:fill="CBCEE0"/>
          </w:tcPr>
          <w:p>
            <w:pPr>
              <w:spacing w:after="0"/>
              <w:rPr>
                <w:sz w:val="7"/>
                <w:szCs w:val="7"/>
                <w:color w:val="auto"/>
              </w:rPr>
            </w:pPr>
          </w:p>
        </w:tc>
        <w:tc>
          <w:tcPr>
            <w:tcW w:w="2440" w:type="dxa"/>
            <w:vAlign w:val="bottom"/>
            <w:tcBorders>
              <w:right w:val="single" w:sz="8" w:color="CBCEE0"/>
            </w:tcBorders>
            <w:shd w:val="clear" w:color="auto" w:fill="CBCEE0"/>
          </w:tcPr>
          <w:p>
            <w:pPr>
              <w:spacing w:after="0"/>
              <w:rPr>
                <w:sz w:val="7"/>
                <w:szCs w:val="7"/>
                <w:color w:val="auto"/>
              </w:rPr>
            </w:pPr>
          </w:p>
        </w:tc>
        <w:tc>
          <w:tcPr>
            <w:tcW w:w="1320" w:type="dxa"/>
            <w:vAlign w:val="bottom"/>
            <w:tcBorders>
              <w:right w:val="single" w:sz="8" w:color="CBCEE0"/>
            </w:tcBorders>
            <w:shd w:val="clear" w:color="auto" w:fill="CBCEE0"/>
          </w:tcPr>
          <w:p>
            <w:pPr>
              <w:spacing w:after="0"/>
              <w:rPr>
                <w:sz w:val="7"/>
                <w:szCs w:val="7"/>
                <w:color w:val="auto"/>
              </w:rPr>
            </w:pPr>
          </w:p>
        </w:tc>
        <w:tc>
          <w:tcPr>
            <w:tcW w:w="2060" w:type="dxa"/>
            <w:vAlign w:val="bottom"/>
            <w:shd w:val="clear" w:color="auto" w:fill="CBCEE0"/>
          </w:tcPr>
          <w:p>
            <w:pPr>
              <w:spacing w:after="0"/>
              <w:rPr>
                <w:sz w:val="7"/>
                <w:szCs w:val="7"/>
                <w:color w:val="auto"/>
              </w:rPr>
            </w:pPr>
          </w:p>
        </w:tc>
      </w:tr>
    </w:tbl>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number of units vesting at the end of the cycle can range from 0% to 200% of the initial number granted based on achievement of the Committee-approved financial goals and application of the cumulative three-year TSR modifier. The Committee also can employ discretion in determining the vesting percentage to reflect more accurately the Company’s overall performance.</w:t>
      </w:r>
    </w:p>
    <w:p>
      <w:pPr>
        <w:spacing w:after="0" w:line="133"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When the 2020 long-term incentive awards were issued, we replaced Performance Stock Units (PSUs) with CIUs. Under SEC disclosure rules, stock awards are required to be included in the Summary Compensation Table in the year granted, while CIU awards are included at the end of the performance period when they are actually earned. This means </w:t>
      </w:r>
      <w:r>
        <w:rPr>
          <w:rFonts w:ascii="Arial" w:cs="Arial" w:eastAsia="Arial" w:hAnsi="Arial"/>
          <w:sz w:val="18"/>
          <w:szCs w:val="18"/>
          <w:b w:val="1"/>
          <w:bCs w:val="1"/>
          <w:color w:val="auto"/>
        </w:rPr>
        <w:t>total compensation appears significantly higher for 2023 and 2022 when compared to 2021</w:t>
      </w:r>
      <w:r>
        <w:rPr>
          <w:rFonts w:ascii="Arial" w:cs="Arial" w:eastAsia="Arial" w:hAnsi="Arial"/>
          <w:sz w:val="18"/>
          <w:szCs w:val="18"/>
          <w:color w:val="auto"/>
        </w:rPr>
        <w:t xml:space="preserve"> </w:t>
      </w:r>
      <w:r>
        <w:rPr>
          <w:rFonts w:ascii="Arial" w:cs="Arial" w:eastAsia="Arial" w:hAnsi="Arial"/>
          <w:sz w:val="18"/>
          <w:szCs w:val="18"/>
          <w:b w:val="1"/>
          <w:bCs w:val="1"/>
          <w:color w:val="auto"/>
        </w:rPr>
        <w:t>because CIU awards are not included in the Summary Compensation Table until actually earned</w:t>
      </w:r>
      <w:r>
        <w:rPr>
          <w:rFonts w:ascii="Arial" w:cs="Arial" w:eastAsia="Arial" w:hAnsi="Arial"/>
          <w:sz w:val="18"/>
          <w:szCs w:val="18"/>
          <w:color w:val="auto"/>
        </w:rPr>
        <w:t>. 2022 was</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year that CIU pay-outs were included in the Summary Compensation Table for NEOs other than Mr. Fairweather and Mr. Zegras, who had a CIU pay-out in the 2021 Summary Compensation Table.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B5A89"/>
        </w:rPr>
        <w:t>Cash Incentive Units Objectives, Metrics and Funding for the Completed 2021-2023 Grant Cycle</w:t>
      </w:r>
    </w:p>
    <w:p>
      <w:pPr>
        <w:spacing w:after="0" w:line="1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2021-2023 CIU cycle utilizes annual financial targets (Adjusted EPS and Adjusted FCF) set at the beginning of each calendar year within the three-year cycle, results of which are aggregated at the end of the three-year performance period. For the 2021-2023 CIU cycles, the unit multiplier at target is 100%. The CIU multiplier range is based upon the achievement of the pre-determined financial objectives described above, each weighted at 50%. Additionally, final results are modified by a cumulative three-year TSR modifier of up to plus or minus (+/-) 25% based on relative performance compared with proxy peers. The TSR modifier for the 2021-2023 CIU cycle pay-out utilized the peer companies in place at the time the award was granted as was disclosed in the Proxy Statement filed in 2022 covering fiscal year 2021.</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2023, the Company achieved between threshold and target for the Adjusted EPS and Adjusted FCF objectives. The table below shows the financial targets, each weighted at 50%, and the levels of achievement relating to the 2021-2023 CIUs. The combination of the financial metrics and the TSR modifier resulted in a 0.62 per unit pay-out for the NEOs’ 2021-2023 CIU awards as illustrated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Due to competitive sensitivity, we do not disclose forward-looking target goals for multi-year performance periods.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jc w:val="center"/>
              <w:ind w:right="204"/>
              <w:spacing w:after="0"/>
              <w:rPr>
                <w:sz w:val="20"/>
                <w:szCs w:val="20"/>
                <w:color w:val="auto"/>
              </w:rPr>
            </w:pPr>
            <w:r>
              <w:rPr>
                <w:rFonts w:ascii="Arial" w:cs="Arial" w:eastAsia="Arial" w:hAnsi="Arial"/>
                <w:sz w:val="14"/>
                <w:szCs w:val="14"/>
                <w:b w:val="1"/>
                <w:bCs w:val="1"/>
                <w:color w:val="auto"/>
              </w:rPr>
              <w:t>2021-2023</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1880" w:type="dxa"/>
            <w:vAlign w:val="bottom"/>
          </w:tcPr>
          <w:p>
            <w:pPr>
              <w:jc w:val="center"/>
              <w:ind w:right="204"/>
              <w:spacing w:after="0"/>
              <w:rPr>
                <w:sz w:val="20"/>
                <w:szCs w:val="20"/>
                <w:color w:val="auto"/>
              </w:rPr>
            </w:pPr>
            <w:r>
              <w:rPr>
                <w:rFonts w:ascii="Arial" w:cs="Arial" w:eastAsia="Arial" w:hAnsi="Arial"/>
                <w:sz w:val="14"/>
                <w:szCs w:val="14"/>
                <w:b w:val="1"/>
                <w:bCs w:val="1"/>
                <w:color w:val="auto"/>
              </w:rPr>
              <w:t>Adjusted Earnings</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Metric</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1880" w:type="dxa"/>
            <w:vAlign w:val="bottom"/>
          </w:tcPr>
          <w:p>
            <w:pPr>
              <w:jc w:val="center"/>
              <w:ind w:right="204"/>
              <w:spacing w:after="0"/>
              <w:rPr>
                <w:sz w:val="20"/>
                <w:szCs w:val="20"/>
                <w:color w:val="auto"/>
              </w:rPr>
            </w:pPr>
            <w:r>
              <w:rPr>
                <w:rFonts w:ascii="Arial" w:cs="Arial" w:eastAsia="Arial" w:hAnsi="Arial"/>
                <w:sz w:val="14"/>
                <w:szCs w:val="14"/>
                <w:b w:val="1"/>
                <w:bCs w:val="1"/>
                <w:color w:val="auto"/>
              </w:rPr>
              <w:t>Per Share</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ind w:left="240"/>
              <w:spacing w:after="0"/>
              <w:rPr>
                <w:sz w:val="20"/>
                <w:szCs w:val="20"/>
                <w:color w:val="auto"/>
              </w:rPr>
            </w:pPr>
            <w:r>
              <w:rPr>
                <w:rFonts w:ascii="Arial" w:cs="Arial" w:eastAsia="Arial" w:hAnsi="Arial"/>
                <w:sz w:val="14"/>
                <w:szCs w:val="14"/>
                <w:b w:val="1"/>
                <w:bCs w:val="1"/>
                <w:color w:val="auto"/>
              </w:rPr>
              <w:t>Actual</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Pay-out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9"/>
              </w:rPr>
              <w:t>TSR</w:t>
            </w:r>
          </w:p>
        </w:tc>
        <w:tc>
          <w:tcPr>
            <w:tcW w:w="1240" w:type="dxa"/>
            <w:vAlign w:val="bottom"/>
          </w:tcPr>
          <w:p>
            <w:pPr>
              <w:jc w:val="center"/>
              <w:ind w:left="8"/>
              <w:spacing w:after="0"/>
              <w:rPr>
                <w:sz w:val="20"/>
                <w:szCs w:val="20"/>
                <w:color w:val="auto"/>
              </w:rPr>
            </w:pPr>
            <w:r>
              <w:rPr>
                <w:rFonts w:ascii="Arial" w:cs="Arial" w:eastAsia="Arial" w:hAnsi="Arial"/>
                <w:sz w:val="14"/>
                <w:szCs w:val="14"/>
                <w:b w:val="1"/>
                <w:bCs w:val="1"/>
                <w:color w:val="auto"/>
              </w:rPr>
              <w:t>Performance</w:t>
            </w:r>
          </w:p>
        </w:tc>
      </w:tr>
      <w:tr>
        <w:trPr>
          <w:trHeight w:val="270"/>
        </w:trPr>
        <w:tc>
          <w:tcPr>
            <w:tcW w:w="1880" w:type="dxa"/>
            <w:vAlign w:val="bottom"/>
            <w:tcBorders>
              <w:bottom w:val="single" w:sz="8" w:color="0072AF"/>
            </w:tcBorders>
          </w:tcPr>
          <w:p>
            <w:pPr>
              <w:jc w:val="center"/>
              <w:ind w:right="164"/>
              <w:spacing w:after="0"/>
              <w:rPr>
                <w:sz w:val="20"/>
                <w:szCs w:val="20"/>
                <w:color w:val="auto"/>
              </w:rPr>
            </w:pPr>
            <w:r>
              <w:rPr>
                <w:rFonts w:ascii="Arial" w:cs="Arial" w:eastAsia="Arial" w:hAnsi="Arial"/>
                <w:sz w:val="14"/>
                <w:szCs w:val="14"/>
                <w:b w:val="1"/>
                <w:bCs w:val="1"/>
                <w:color w:val="auto"/>
              </w:rPr>
              <w:t>(Adjusted EPS)</w:t>
            </w:r>
            <w:r>
              <w:rPr>
                <w:rFonts w:ascii="Arial" w:cs="Arial" w:eastAsia="Arial" w:hAnsi="Arial"/>
                <w:sz w:val="23"/>
                <w:szCs w:val="23"/>
                <w:b w:val="1"/>
                <w:bCs w:val="1"/>
                <w:color w:val="auto"/>
                <w:vertAlign w:val="superscript"/>
              </w:rPr>
              <w:t>(1)</w:t>
            </w:r>
          </w:p>
        </w:tc>
        <w:tc>
          <w:tcPr>
            <w:tcW w:w="1120" w:type="dxa"/>
            <w:vAlign w:val="bottom"/>
            <w:tcBorders>
              <w:bottom w:val="single" w:sz="8" w:color="0072AF"/>
            </w:tcBorders>
          </w:tcPr>
          <w:p>
            <w:pPr>
              <w:jc w:val="center"/>
              <w:spacing w:after="0"/>
              <w:rPr>
                <w:sz w:val="20"/>
                <w:szCs w:val="20"/>
                <w:color w:val="auto"/>
              </w:rPr>
            </w:pPr>
            <w:r>
              <w:rPr>
                <w:rFonts w:ascii="Arial" w:cs="Arial" w:eastAsia="Arial" w:hAnsi="Arial"/>
                <w:sz w:val="14"/>
                <w:szCs w:val="14"/>
                <w:b w:val="1"/>
                <w:bCs w:val="1"/>
                <w:color w:val="auto"/>
              </w:rPr>
              <w:t>Threshold</w:t>
            </w:r>
          </w:p>
        </w:tc>
        <w:tc>
          <w:tcPr>
            <w:tcW w:w="860" w:type="dxa"/>
            <w:vAlign w:val="bottom"/>
            <w:tcBorders>
              <w:bottom w:val="single" w:sz="8" w:color="0072AF"/>
            </w:tcBorders>
          </w:tcPr>
          <w:p>
            <w:pPr>
              <w:ind w:left="200"/>
              <w:spacing w:after="0"/>
              <w:rPr>
                <w:sz w:val="20"/>
                <w:szCs w:val="20"/>
                <w:color w:val="auto"/>
              </w:rPr>
            </w:pPr>
            <w:r>
              <w:rPr>
                <w:rFonts w:ascii="Arial" w:cs="Arial" w:eastAsia="Arial" w:hAnsi="Arial"/>
                <w:sz w:val="14"/>
                <w:szCs w:val="14"/>
                <w:b w:val="1"/>
                <w:bCs w:val="1"/>
                <w:color w:val="auto"/>
              </w:rPr>
              <w:t>Target</w:t>
            </w:r>
          </w:p>
        </w:tc>
        <w:tc>
          <w:tcPr>
            <w:tcW w:w="1100" w:type="dxa"/>
            <w:vAlign w:val="bottom"/>
            <w:tcBorders>
              <w:bottom w:val="single" w:sz="8" w:color="0072AF"/>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900" w:type="dxa"/>
            <w:vAlign w:val="bottom"/>
            <w:tcBorders>
              <w:bottom w:val="single" w:sz="8" w:color="0072AF"/>
            </w:tcBorders>
          </w:tcPr>
          <w:p>
            <w:pPr>
              <w:ind w:left="240"/>
              <w:spacing w:after="0"/>
              <w:rPr>
                <w:sz w:val="20"/>
                <w:szCs w:val="20"/>
                <w:color w:val="auto"/>
              </w:rPr>
            </w:pPr>
            <w:r>
              <w:rPr>
                <w:rFonts w:ascii="Arial" w:cs="Arial" w:eastAsia="Arial" w:hAnsi="Arial"/>
                <w:sz w:val="14"/>
                <w:szCs w:val="14"/>
                <w:b w:val="1"/>
                <w:bCs w:val="1"/>
                <w:color w:val="auto"/>
              </w:rPr>
              <w:t>Result</w:t>
            </w:r>
          </w:p>
        </w:tc>
        <w:tc>
          <w:tcPr>
            <w:tcW w:w="1020" w:type="dxa"/>
            <w:vAlign w:val="bottom"/>
            <w:tcBorders>
              <w:bottom w:val="single" w:sz="8" w:color="0072AF"/>
            </w:tcBorders>
          </w:tcPr>
          <w:p>
            <w:pPr>
              <w:jc w:val="center"/>
              <w:spacing w:after="0"/>
              <w:rPr>
                <w:sz w:val="20"/>
                <w:szCs w:val="20"/>
                <w:color w:val="auto"/>
              </w:rPr>
            </w:pPr>
            <w:r>
              <w:rPr>
                <w:rFonts w:ascii="Arial" w:cs="Arial" w:eastAsia="Arial" w:hAnsi="Arial"/>
                <w:sz w:val="14"/>
                <w:szCs w:val="14"/>
                <w:b w:val="1"/>
                <w:bCs w:val="1"/>
                <w:color w:val="auto"/>
              </w:rPr>
              <w:t>Value</w:t>
            </w:r>
          </w:p>
        </w:tc>
        <w:tc>
          <w:tcPr>
            <w:tcW w:w="1060" w:type="dxa"/>
            <w:vAlign w:val="bottom"/>
            <w:tcBorders>
              <w:bottom w:val="single" w:sz="8" w:color="0072AF"/>
            </w:tcBorders>
          </w:tcPr>
          <w:p>
            <w:pPr>
              <w:jc w:val="center"/>
              <w:spacing w:after="0"/>
              <w:rPr>
                <w:sz w:val="20"/>
                <w:szCs w:val="20"/>
                <w:color w:val="auto"/>
              </w:rPr>
            </w:pPr>
            <w:r>
              <w:rPr>
                <w:rFonts w:ascii="Arial" w:cs="Arial" w:eastAsia="Arial" w:hAnsi="Arial"/>
                <w:sz w:val="14"/>
                <w:szCs w:val="14"/>
                <w:b w:val="1"/>
                <w:bCs w:val="1"/>
                <w:color w:val="auto"/>
              </w:rPr>
              <w:t>Modifier</w:t>
            </w:r>
          </w:p>
        </w:tc>
        <w:tc>
          <w:tcPr>
            <w:tcW w:w="1240" w:type="dxa"/>
            <w:vAlign w:val="bottom"/>
            <w:tcBorders>
              <w:bottom w:val="single" w:sz="8" w:color="0072AF"/>
            </w:tcBorders>
          </w:tcPr>
          <w:p>
            <w:pPr>
              <w:jc w:val="center"/>
              <w:ind w:left="8"/>
              <w:spacing w:after="0"/>
              <w:rPr>
                <w:sz w:val="20"/>
                <w:szCs w:val="20"/>
                <w:color w:val="auto"/>
              </w:rPr>
            </w:pPr>
            <w:r>
              <w:rPr>
                <w:rFonts w:ascii="Arial" w:cs="Arial" w:eastAsia="Arial" w:hAnsi="Arial"/>
                <w:sz w:val="14"/>
                <w:szCs w:val="14"/>
                <w:b w:val="1"/>
                <w:bCs w:val="1"/>
                <w:color w:val="auto"/>
              </w:rPr>
              <w:t>Multiplier</w:t>
            </w:r>
          </w:p>
        </w:tc>
      </w:tr>
      <w:tr>
        <w:trPr>
          <w:trHeight w:val="311"/>
        </w:trPr>
        <w:tc>
          <w:tcPr>
            <w:tcW w:w="1880" w:type="dxa"/>
            <w:vAlign w:val="bottom"/>
            <w:tcBorders>
              <w:right w:val="single" w:sz="8" w:color="0072AF"/>
            </w:tcBorders>
          </w:tcPr>
          <w:p>
            <w:pPr>
              <w:jc w:val="center"/>
              <w:ind w:right="164"/>
              <w:spacing w:after="0"/>
              <w:rPr>
                <w:sz w:val="20"/>
                <w:szCs w:val="20"/>
                <w:color w:val="auto"/>
              </w:rPr>
            </w:pPr>
            <w:r>
              <w:rPr>
                <w:rFonts w:ascii="Arial" w:cs="Arial" w:eastAsia="Arial" w:hAnsi="Arial"/>
                <w:sz w:val="16"/>
                <w:szCs w:val="16"/>
                <w:color w:val="auto"/>
              </w:rPr>
              <w:t>2021</w:t>
            </w:r>
          </w:p>
        </w:tc>
        <w:tc>
          <w:tcPr>
            <w:tcW w:w="112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6"/>
                <w:szCs w:val="16"/>
                <w:color w:val="auto"/>
                <w:w w:val="99"/>
              </w:rPr>
              <w:t>$0.15</w:t>
            </w:r>
          </w:p>
        </w:tc>
        <w:tc>
          <w:tcPr>
            <w:tcW w:w="860" w:type="dxa"/>
            <w:vAlign w:val="bottom"/>
            <w:tcBorders>
              <w:bottom w:val="single" w:sz="8" w:color="CBCEE0"/>
            </w:tcBorders>
            <w:shd w:val="clear" w:color="auto" w:fill="CBCEE0"/>
          </w:tcPr>
          <w:p>
            <w:pPr>
              <w:ind w:left="220"/>
              <w:spacing w:after="0"/>
              <w:rPr>
                <w:sz w:val="20"/>
                <w:szCs w:val="20"/>
                <w:color w:val="auto"/>
              </w:rPr>
            </w:pPr>
            <w:r>
              <w:rPr>
                <w:rFonts w:ascii="Arial" w:cs="Arial" w:eastAsia="Arial" w:hAnsi="Arial"/>
                <w:sz w:val="16"/>
                <w:szCs w:val="16"/>
                <w:color w:val="auto"/>
              </w:rPr>
              <w:t>$0.32</w:t>
            </w:r>
          </w:p>
        </w:tc>
        <w:tc>
          <w:tcPr>
            <w:tcW w:w="110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6"/>
                <w:szCs w:val="16"/>
                <w:color w:val="auto"/>
              </w:rPr>
              <w:t>$0.42</w:t>
            </w:r>
          </w:p>
        </w:tc>
        <w:tc>
          <w:tcPr>
            <w:tcW w:w="900" w:type="dxa"/>
            <w:vAlign w:val="bottom"/>
            <w:tcBorders>
              <w:bottom w:val="single" w:sz="8" w:color="CBCEE0"/>
            </w:tcBorders>
            <w:shd w:val="clear" w:color="auto" w:fill="CBCEE0"/>
          </w:tcPr>
          <w:p>
            <w:pPr>
              <w:ind w:left="260"/>
              <w:spacing w:after="0"/>
              <w:rPr>
                <w:sz w:val="20"/>
                <w:szCs w:val="20"/>
                <w:color w:val="auto"/>
              </w:rPr>
            </w:pPr>
            <w:r>
              <w:rPr>
                <w:rFonts w:ascii="Arial" w:cs="Arial" w:eastAsia="Arial" w:hAnsi="Arial"/>
                <w:sz w:val="16"/>
                <w:szCs w:val="16"/>
                <w:color w:val="auto"/>
              </w:rPr>
              <w:t>$0.32</w:t>
            </w:r>
          </w:p>
        </w:tc>
        <w:tc>
          <w:tcPr>
            <w:tcW w:w="102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6"/>
                <w:szCs w:val="16"/>
                <w:color w:val="auto"/>
              </w:rPr>
              <w:t>0.17</w:t>
            </w:r>
          </w:p>
        </w:tc>
        <w:tc>
          <w:tcPr>
            <w:tcW w:w="1060" w:type="dxa"/>
            <w:vAlign w:val="bottom"/>
            <w:tcBorders>
              <w:bottom w:val="single" w:sz="8" w:color="CBCEE0"/>
            </w:tcBorders>
            <w:shd w:val="clear" w:color="auto" w:fill="CBCEE0"/>
          </w:tcPr>
          <w:p>
            <w:pPr>
              <w:spacing w:after="0"/>
              <w:rPr>
                <w:sz w:val="24"/>
                <w:szCs w:val="24"/>
                <w:color w:val="auto"/>
              </w:rPr>
            </w:pPr>
          </w:p>
        </w:tc>
        <w:tc>
          <w:tcPr>
            <w:tcW w:w="1240" w:type="dxa"/>
            <w:vAlign w:val="bottom"/>
            <w:tcBorders>
              <w:bottom w:val="single" w:sz="8" w:color="CBCEE0"/>
              <w:right w:val="single" w:sz="8" w:color="0072AF"/>
            </w:tcBorders>
            <w:shd w:val="clear" w:color="auto" w:fill="CBCEE0"/>
          </w:tcPr>
          <w:p>
            <w:pPr>
              <w:spacing w:after="0"/>
              <w:rPr>
                <w:sz w:val="24"/>
                <w:szCs w:val="24"/>
                <w:color w:val="auto"/>
              </w:rPr>
            </w:pPr>
          </w:p>
        </w:tc>
      </w:tr>
      <w:tr>
        <w:trPr>
          <w:trHeight w:val="268"/>
        </w:trPr>
        <w:tc>
          <w:tcPr>
            <w:tcW w:w="1880" w:type="dxa"/>
            <w:vAlign w:val="bottom"/>
            <w:tcBorders>
              <w:right w:val="single" w:sz="8" w:color="0072AF"/>
            </w:tcBorders>
          </w:tcPr>
          <w:p>
            <w:pPr>
              <w:jc w:val="center"/>
              <w:ind w:right="164"/>
              <w:spacing w:after="0"/>
              <w:rPr>
                <w:sz w:val="20"/>
                <w:szCs w:val="20"/>
                <w:color w:val="auto"/>
              </w:rPr>
            </w:pPr>
            <w:r>
              <w:rPr>
                <w:rFonts w:ascii="Arial" w:cs="Arial" w:eastAsia="Arial" w:hAnsi="Arial"/>
                <w:sz w:val="16"/>
                <w:szCs w:val="16"/>
                <w:color w:val="auto"/>
              </w:rPr>
              <w:t>2022</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$0.16</w:t>
            </w:r>
          </w:p>
        </w:tc>
        <w:tc>
          <w:tcPr>
            <w:tcW w:w="860" w:type="dxa"/>
            <w:vAlign w:val="bottom"/>
          </w:tcPr>
          <w:p>
            <w:pPr>
              <w:ind w:left="220"/>
              <w:spacing w:after="0"/>
              <w:rPr>
                <w:sz w:val="20"/>
                <w:szCs w:val="20"/>
                <w:color w:val="auto"/>
              </w:rPr>
            </w:pPr>
            <w:r>
              <w:rPr>
                <w:rFonts w:ascii="Arial" w:cs="Arial" w:eastAsia="Arial" w:hAnsi="Arial"/>
                <w:sz w:val="16"/>
                <w:szCs w:val="16"/>
                <w:color w:val="auto"/>
              </w:rPr>
              <w:t>$0.32</w:t>
            </w:r>
          </w:p>
        </w:tc>
        <w:tc>
          <w:tcPr>
            <w:tcW w:w="1100" w:type="dxa"/>
            <w:vAlign w:val="bottom"/>
          </w:tcPr>
          <w:p>
            <w:pPr>
              <w:jc w:val="center"/>
              <w:spacing w:after="0"/>
              <w:rPr>
                <w:sz w:val="20"/>
                <w:szCs w:val="20"/>
                <w:color w:val="auto"/>
              </w:rPr>
            </w:pPr>
            <w:r>
              <w:rPr>
                <w:rFonts w:ascii="Arial" w:cs="Arial" w:eastAsia="Arial" w:hAnsi="Arial"/>
                <w:sz w:val="16"/>
                <w:szCs w:val="16"/>
                <w:color w:val="auto"/>
              </w:rPr>
              <w:t>$0.41</w:t>
            </w:r>
          </w:p>
        </w:tc>
        <w:tc>
          <w:tcPr>
            <w:tcW w:w="900" w:type="dxa"/>
            <w:vAlign w:val="bottom"/>
          </w:tcPr>
          <w:p>
            <w:pPr>
              <w:ind w:left="260"/>
              <w:spacing w:after="0"/>
              <w:rPr>
                <w:sz w:val="20"/>
                <w:szCs w:val="20"/>
                <w:color w:val="auto"/>
              </w:rPr>
            </w:pPr>
            <w:r>
              <w:rPr>
                <w:rFonts w:ascii="Arial" w:cs="Arial" w:eastAsia="Arial" w:hAnsi="Arial"/>
                <w:sz w:val="16"/>
                <w:szCs w:val="16"/>
                <w:color w:val="auto"/>
              </w:rPr>
              <w:t>$0.15</w:t>
            </w:r>
          </w:p>
        </w:tc>
        <w:tc>
          <w:tcPr>
            <w:tcW w:w="1020" w:type="dxa"/>
            <w:vAlign w:val="bottom"/>
          </w:tcPr>
          <w:p>
            <w:pPr>
              <w:jc w:val="center"/>
              <w:spacing w:after="0"/>
              <w:rPr>
                <w:sz w:val="20"/>
                <w:szCs w:val="20"/>
                <w:color w:val="auto"/>
              </w:rPr>
            </w:pPr>
            <w:r>
              <w:rPr>
                <w:rFonts w:ascii="Arial" w:cs="Arial" w:eastAsia="Arial" w:hAnsi="Arial"/>
                <w:sz w:val="16"/>
                <w:szCs w:val="16"/>
                <w:color w:val="auto"/>
              </w:rPr>
              <w:t>0.00</w:t>
            </w:r>
          </w:p>
        </w:tc>
        <w:tc>
          <w:tcPr>
            <w:tcW w:w="1060" w:type="dxa"/>
            <w:vAlign w:val="bottom"/>
          </w:tcPr>
          <w:p>
            <w:pPr>
              <w:spacing w:after="0"/>
              <w:rPr>
                <w:sz w:val="23"/>
                <w:szCs w:val="23"/>
                <w:color w:val="auto"/>
              </w:rPr>
            </w:pPr>
          </w:p>
        </w:tc>
        <w:tc>
          <w:tcPr>
            <w:tcW w:w="1240" w:type="dxa"/>
            <w:vAlign w:val="bottom"/>
            <w:tcBorders>
              <w:right w:val="single" w:sz="8" w:color="0072AF"/>
            </w:tcBorders>
          </w:tcPr>
          <w:p>
            <w:pPr>
              <w:spacing w:after="0"/>
              <w:rPr>
                <w:sz w:val="23"/>
                <w:szCs w:val="23"/>
                <w:color w:val="auto"/>
              </w:rPr>
            </w:pPr>
          </w:p>
        </w:tc>
      </w:tr>
      <w:tr>
        <w:trPr>
          <w:trHeight w:val="56"/>
        </w:trPr>
        <w:tc>
          <w:tcPr>
            <w:tcW w:w="1880" w:type="dxa"/>
            <w:vAlign w:val="bottom"/>
            <w:tcBorders>
              <w:right w:val="single" w:sz="8" w:color="0072AF"/>
            </w:tcBorders>
          </w:tcPr>
          <w:p>
            <w:pPr>
              <w:spacing w:after="0"/>
              <w:rPr>
                <w:sz w:val="4"/>
                <w:szCs w:val="4"/>
                <w:color w:val="auto"/>
              </w:rPr>
            </w:pPr>
          </w:p>
        </w:tc>
        <w:tc>
          <w:tcPr>
            <w:tcW w:w="1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40" w:type="dxa"/>
            <w:vAlign w:val="bottom"/>
            <w:tcBorders>
              <w:right w:val="single" w:sz="8" w:color="0072AF"/>
            </w:tcBorders>
          </w:tcPr>
          <w:p>
            <w:pPr>
              <w:spacing w:after="0"/>
              <w:rPr>
                <w:sz w:val="4"/>
                <w:szCs w:val="4"/>
                <w:color w:val="auto"/>
              </w:rPr>
            </w:pPr>
          </w:p>
        </w:tc>
      </w:tr>
      <w:tr>
        <w:trPr>
          <w:trHeight w:val="268"/>
        </w:trPr>
        <w:tc>
          <w:tcPr>
            <w:tcW w:w="1880" w:type="dxa"/>
            <w:vAlign w:val="bottom"/>
            <w:tcBorders>
              <w:right w:val="single" w:sz="8" w:color="0072AF"/>
            </w:tcBorders>
          </w:tcPr>
          <w:p>
            <w:pPr>
              <w:jc w:val="center"/>
              <w:ind w:right="164"/>
              <w:spacing w:after="0"/>
              <w:rPr>
                <w:sz w:val="20"/>
                <w:szCs w:val="20"/>
                <w:color w:val="auto"/>
              </w:rPr>
            </w:pPr>
            <w:r>
              <w:rPr>
                <w:rFonts w:ascii="Arial" w:cs="Arial" w:eastAsia="Arial" w:hAnsi="Arial"/>
                <w:sz w:val="16"/>
                <w:szCs w:val="16"/>
                <w:color w:val="auto"/>
              </w:rPr>
              <w:t>2023</w:t>
            </w:r>
          </w:p>
        </w:tc>
        <w:tc>
          <w:tcPr>
            <w:tcW w:w="1120" w:type="dxa"/>
            <w:vAlign w:val="bottom"/>
            <w:shd w:val="clear" w:color="auto" w:fill="CBCEE0"/>
          </w:tcPr>
          <w:p>
            <w:pPr>
              <w:jc w:val="center"/>
              <w:spacing w:after="0"/>
              <w:rPr>
                <w:sz w:val="20"/>
                <w:szCs w:val="20"/>
                <w:color w:val="auto"/>
              </w:rPr>
            </w:pPr>
            <w:r>
              <w:rPr>
                <w:rFonts w:ascii="Arial" w:cs="Arial" w:eastAsia="Arial" w:hAnsi="Arial"/>
                <w:sz w:val="16"/>
                <w:szCs w:val="16"/>
                <w:color w:val="auto"/>
                <w:w w:val="99"/>
              </w:rPr>
              <w:t>$0.00</w:t>
            </w:r>
          </w:p>
        </w:tc>
        <w:tc>
          <w:tcPr>
            <w:tcW w:w="860" w:type="dxa"/>
            <w:vAlign w:val="bottom"/>
            <w:shd w:val="clear" w:color="auto" w:fill="CBCEE0"/>
          </w:tcPr>
          <w:p>
            <w:pPr>
              <w:ind w:left="220"/>
              <w:spacing w:after="0"/>
              <w:rPr>
                <w:sz w:val="20"/>
                <w:szCs w:val="20"/>
                <w:color w:val="auto"/>
              </w:rPr>
            </w:pPr>
            <w:r>
              <w:rPr>
                <w:rFonts w:ascii="Arial" w:cs="Arial" w:eastAsia="Arial" w:hAnsi="Arial"/>
                <w:sz w:val="16"/>
                <w:szCs w:val="16"/>
                <w:color w:val="auto"/>
              </w:rPr>
              <w:t>$0.10</w:t>
            </w:r>
          </w:p>
        </w:tc>
        <w:tc>
          <w:tcPr>
            <w:tcW w:w="1100" w:type="dxa"/>
            <w:vAlign w:val="bottom"/>
            <w:shd w:val="clear" w:color="auto" w:fill="CBCEE0"/>
          </w:tcPr>
          <w:p>
            <w:pPr>
              <w:jc w:val="center"/>
              <w:spacing w:after="0"/>
              <w:rPr>
                <w:sz w:val="20"/>
                <w:szCs w:val="20"/>
                <w:color w:val="auto"/>
              </w:rPr>
            </w:pPr>
            <w:r>
              <w:rPr>
                <w:rFonts w:ascii="Arial" w:cs="Arial" w:eastAsia="Arial" w:hAnsi="Arial"/>
                <w:sz w:val="16"/>
                <w:szCs w:val="16"/>
                <w:color w:val="auto"/>
              </w:rPr>
              <w:t>$0.20</w:t>
            </w:r>
          </w:p>
        </w:tc>
        <w:tc>
          <w:tcPr>
            <w:tcW w:w="900" w:type="dxa"/>
            <w:vAlign w:val="bottom"/>
            <w:shd w:val="clear" w:color="auto" w:fill="CBCEE0"/>
          </w:tcPr>
          <w:p>
            <w:pPr>
              <w:ind w:left="260"/>
              <w:spacing w:after="0"/>
              <w:rPr>
                <w:sz w:val="20"/>
                <w:szCs w:val="20"/>
                <w:color w:val="auto"/>
              </w:rPr>
            </w:pPr>
            <w:r>
              <w:rPr>
                <w:rFonts w:ascii="Arial" w:cs="Arial" w:eastAsia="Arial" w:hAnsi="Arial"/>
                <w:sz w:val="16"/>
                <w:szCs w:val="16"/>
                <w:color w:val="auto"/>
              </w:rPr>
              <w:t>$0.04</w:t>
            </w:r>
          </w:p>
        </w:tc>
        <w:tc>
          <w:tcPr>
            <w:tcW w:w="1020" w:type="dxa"/>
            <w:vAlign w:val="bottom"/>
            <w:shd w:val="clear" w:color="auto" w:fill="CBCEE0"/>
          </w:tcPr>
          <w:p>
            <w:pPr>
              <w:jc w:val="center"/>
              <w:spacing w:after="0"/>
              <w:rPr>
                <w:sz w:val="20"/>
                <w:szCs w:val="20"/>
                <w:color w:val="auto"/>
              </w:rPr>
            </w:pPr>
            <w:r>
              <w:rPr>
                <w:rFonts w:ascii="Arial" w:cs="Arial" w:eastAsia="Arial" w:hAnsi="Arial"/>
                <w:sz w:val="16"/>
                <w:szCs w:val="16"/>
                <w:color w:val="auto"/>
              </w:rPr>
              <w:t>0.10</w:t>
            </w:r>
          </w:p>
        </w:tc>
        <w:tc>
          <w:tcPr>
            <w:tcW w:w="1060" w:type="dxa"/>
            <w:vAlign w:val="bottom"/>
            <w:shd w:val="clear" w:color="auto" w:fill="CBCEE0"/>
          </w:tcPr>
          <w:p>
            <w:pPr>
              <w:spacing w:after="0"/>
              <w:rPr>
                <w:sz w:val="23"/>
                <w:szCs w:val="23"/>
                <w:color w:val="auto"/>
              </w:rPr>
            </w:pPr>
          </w:p>
        </w:tc>
        <w:tc>
          <w:tcPr>
            <w:tcW w:w="1240" w:type="dxa"/>
            <w:vAlign w:val="bottom"/>
            <w:tcBorders>
              <w:right w:val="single" w:sz="8" w:color="0072AF"/>
            </w:tcBorders>
            <w:shd w:val="clear" w:color="auto" w:fill="CBCEE0"/>
          </w:tcPr>
          <w:p>
            <w:pPr>
              <w:spacing w:after="0"/>
              <w:rPr>
                <w:sz w:val="23"/>
                <w:szCs w:val="23"/>
                <w:color w:val="auto"/>
              </w:rPr>
            </w:pPr>
          </w:p>
        </w:tc>
      </w:tr>
      <w:tr>
        <w:trPr>
          <w:trHeight w:val="70"/>
        </w:trPr>
        <w:tc>
          <w:tcPr>
            <w:tcW w:w="1880" w:type="dxa"/>
            <w:vAlign w:val="bottom"/>
            <w:tcBorders>
              <w:right w:val="single" w:sz="8" w:color="0072AF"/>
            </w:tcBorders>
          </w:tcPr>
          <w:p>
            <w:pPr>
              <w:spacing w:after="0"/>
              <w:rPr>
                <w:sz w:val="6"/>
                <w:szCs w:val="6"/>
                <w:color w:val="auto"/>
              </w:rPr>
            </w:pPr>
          </w:p>
        </w:tc>
        <w:tc>
          <w:tcPr>
            <w:tcW w:w="1120" w:type="dxa"/>
            <w:vAlign w:val="bottom"/>
            <w:shd w:val="clear" w:color="auto" w:fill="CBCEE0"/>
          </w:tcPr>
          <w:p>
            <w:pPr>
              <w:spacing w:after="0"/>
              <w:rPr>
                <w:sz w:val="6"/>
                <w:szCs w:val="6"/>
                <w:color w:val="auto"/>
              </w:rPr>
            </w:pPr>
          </w:p>
        </w:tc>
        <w:tc>
          <w:tcPr>
            <w:tcW w:w="860" w:type="dxa"/>
            <w:vAlign w:val="bottom"/>
            <w:shd w:val="clear" w:color="auto" w:fill="CBCEE0"/>
          </w:tcPr>
          <w:p>
            <w:pPr>
              <w:spacing w:after="0"/>
              <w:rPr>
                <w:sz w:val="6"/>
                <w:szCs w:val="6"/>
                <w:color w:val="auto"/>
              </w:rPr>
            </w:pPr>
          </w:p>
        </w:tc>
        <w:tc>
          <w:tcPr>
            <w:tcW w:w="1100" w:type="dxa"/>
            <w:vAlign w:val="bottom"/>
            <w:shd w:val="clear" w:color="auto" w:fill="CBCEE0"/>
          </w:tcPr>
          <w:p>
            <w:pPr>
              <w:spacing w:after="0"/>
              <w:rPr>
                <w:sz w:val="6"/>
                <w:szCs w:val="6"/>
                <w:color w:val="auto"/>
              </w:rPr>
            </w:pPr>
          </w:p>
        </w:tc>
        <w:tc>
          <w:tcPr>
            <w:tcW w:w="900" w:type="dxa"/>
            <w:vAlign w:val="bottom"/>
            <w:shd w:val="clear" w:color="auto" w:fill="CBCEE0"/>
          </w:tcPr>
          <w:p>
            <w:pPr>
              <w:spacing w:after="0"/>
              <w:rPr>
                <w:sz w:val="6"/>
                <w:szCs w:val="6"/>
                <w:color w:val="auto"/>
              </w:rPr>
            </w:pPr>
          </w:p>
        </w:tc>
        <w:tc>
          <w:tcPr>
            <w:tcW w:w="1020" w:type="dxa"/>
            <w:vAlign w:val="bottom"/>
            <w:shd w:val="clear" w:color="auto" w:fill="CBCEE0"/>
          </w:tcPr>
          <w:p>
            <w:pPr>
              <w:spacing w:after="0"/>
              <w:rPr>
                <w:sz w:val="6"/>
                <w:szCs w:val="6"/>
                <w:color w:val="auto"/>
              </w:rPr>
            </w:pPr>
          </w:p>
        </w:tc>
        <w:tc>
          <w:tcPr>
            <w:tcW w:w="1060" w:type="dxa"/>
            <w:vAlign w:val="bottom"/>
            <w:shd w:val="clear" w:color="auto" w:fill="CBCEE0"/>
          </w:tcPr>
          <w:p>
            <w:pPr>
              <w:spacing w:after="0"/>
              <w:rPr>
                <w:sz w:val="6"/>
                <w:szCs w:val="6"/>
                <w:color w:val="auto"/>
              </w:rPr>
            </w:pPr>
          </w:p>
        </w:tc>
        <w:tc>
          <w:tcPr>
            <w:tcW w:w="1240" w:type="dxa"/>
            <w:vAlign w:val="bottom"/>
            <w:tcBorders>
              <w:right w:val="single" w:sz="8" w:color="0072AF"/>
            </w:tcBorders>
            <w:shd w:val="clear" w:color="auto" w:fill="CBCEE0"/>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5816600</wp:posOffset>
            </wp:positionH>
            <wp:positionV relativeFrom="paragraph">
              <wp:posOffset>-1122680</wp:posOffset>
            </wp:positionV>
            <wp:extent cx="8255" cy="4889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48895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67" w:name="page68"/>
    <w:bookmarkEnd w:id="67"/>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33"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1640" w:type="dxa"/>
            <w:vAlign w:val="bottom"/>
          </w:tcPr>
          <w:p>
            <w:pPr>
              <w:jc w:val="center"/>
              <w:ind w:right="84"/>
              <w:spacing w:after="0"/>
              <w:rPr>
                <w:sz w:val="20"/>
                <w:szCs w:val="20"/>
                <w:color w:val="auto"/>
              </w:rPr>
            </w:pPr>
            <w:r>
              <w:rPr>
                <w:rFonts w:ascii="Arial" w:cs="Arial" w:eastAsia="Arial" w:hAnsi="Arial"/>
                <w:sz w:val="14"/>
                <w:szCs w:val="14"/>
                <w:b w:val="1"/>
                <w:bCs w:val="1"/>
                <w:color w:val="auto"/>
              </w:rPr>
              <w:t>2021-2023</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1640" w:type="dxa"/>
            <w:vAlign w:val="bottom"/>
          </w:tcPr>
          <w:p>
            <w:pPr>
              <w:jc w:val="center"/>
              <w:ind w:right="124"/>
              <w:spacing w:after="0"/>
              <w:rPr>
                <w:sz w:val="20"/>
                <w:szCs w:val="20"/>
                <w:color w:val="auto"/>
              </w:rPr>
            </w:pPr>
            <w:r>
              <w:rPr>
                <w:rFonts w:ascii="Arial" w:cs="Arial" w:eastAsia="Arial" w:hAnsi="Arial"/>
                <w:sz w:val="14"/>
                <w:szCs w:val="14"/>
                <w:b w:val="1"/>
                <w:bCs w:val="1"/>
                <w:color w:val="auto"/>
              </w:rPr>
              <w:t>Adjusted Free</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Metric</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1640" w:type="dxa"/>
            <w:vAlign w:val="bottom"/>
          </w:tcPr>
          <w:p>
            <w:pPr>
              <w:jc w:val="center"/>
              <w:ind w:right="84"/>
              <w:spacing w:after="0"/>
              <w:rPr>
                <w:sz w:val="20"/>
                <w:szCs w:val="20"/>
                <w:color w:val="auto"/>
              </w:rPr>
            </w:pPr>
            <w:r>
              <w:rPr>
                <w:rFonts w:ascii="Arial" w:cs="Arial" w:eastAsia="Arial" w:hAnsi="Arial"/>
                <w:sz w:val="14"/>
                <w:szCs w:val="14"/>
                <w:b w:val="1"/>
                <w:bCs w:val="1"/>
                <w:color w:val="auto"/>
              </w:rPr>
              <w:t>Cash Flow</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Actual</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Pay-out</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TSR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Performance</w:t>
            </w:r>
          </w:p>
        </w:tc>
      </w:tr>
      <w:tr>
        <w:trPr>
          <w:trHeight w:val="270"/>
        </w:trPr>
        <w:tc>
          <w:tcPr>
            <w:tcW w:w="1640" w:type="dxa"/>
            <w:vAlign w:val="bottom"/>
            <w:tcBorders>
              <w:bottom w:val="single" w:sz="8" w:color="0072AF"/>
            </w:tcBorders>
          </w:tcPr>
          <w:p>
            <w:pPr>
              <w:jc w:val="center"/>
              <w:ind w:right="64"/>
              <w:spacing w:after="0"/>
              <w:rPr>
                <w:sz w:val="20"/>
                <w:szCs w:val="20"/>
                <w:color w:val="auto"/>
              </w:rPr>
            </w:pPr>
            <w:r>
              <w:rPr>
                <w:rFonts w:ascii="Arial" w:cs="Arial" w:eastAsia="Arial" w:hAnsi="Arial"/>
                <w:sz w:val="14"/>
                <w:szCs w:val="14"/>
                <w:b w:val="1"/>
                <w:bCs w:val="1"/>
                <w:color w:val="auto"/>
                <w:w w:val="99"/>
              </w:rPr>
              <w:t>(Adjusted FCF)</w:t>
            </w:r>
            <w:r>
              <w:rPr>
                <w:rFonts w:ascii="Arial" w:cs="Arial" w:eastAsia="Arial" w:hAnsi="Arial"/>
                <w:sz w:val="23"/>
                <w:szCs w:val="23"/>
                <w:b w:val="1"/>
                <w:bCs w:val="1"/>
                <w:color w:val="auto"/>
                <w:w w:val="99"/>
                <w:vertAlign w:val="superscript"/>
              </w:rPr>
              <w:t>(1)</w:t>
            </w:r>
          </w:p>
        </w:tc>
        <w:tc>
          <w:tcPr>
            <w:tcW w:w="1100" w:type="dxa"/>
            <w:vAlign w:val="bottom"/>
            <w:tcBorders>
              <w:bottom w:val="single" w:sz="8" w:color="0072AF"/>
            </w:tcBorders>
          </w:tcPr>
          <w:p>
            <w:pPr>
              <w:jc w:val="center"/>
              <w:spacing w:after="0"/>
              <w:rPr>
                <w:sz w:val="20"/>
                <w:szCs w:val="20"/>
                <w:color w:val="auto"/>
              </w:rPr>
            </w:pPr>
            <w:r>
              <w:rPr>
                <w:rFonts w:ascii="Arial" w:cs="Arial" w:eastAsia="Arial" w:hAnsi="Arial"/>
                <w:sz w:val="14"/>
                <w:szCs w:val="14"/>
                <w:b w:val="1"/>
                <w:bCs w:val="1"/>
                <w:color w:val="auto"/>
              </w:rPr>
              <w:t>Threshold</w:t>
            </w:r>
          </w:p>
        </w:tc>
        <w:tc>
          <w:tcPr>
            <w:tcW w:w="1120" w:type="dxa"/>
            <w:vAlign w:val="bottom"/>
            <w:tcBorders>
              <w:bottom w:val="single" w:sz="8" w:color="0072AF"/>
            </w:tcBorders>
          </w:tcPr>
          <w:p>
            <w:pPr>
              <w:jc w:val="center"/>
              <w:spacing w:after="0"/>
              <w:rPr>
                <w:sz w:val="20"/>
                <w:szCs w:val="20"/>
                <w:color w:val="auto"/>
              </w:rPr>
            </w:pPr>
            <w:r>
              <w:rPr>
                <w:rFonts w:ascii="Arial" w:cs="Arial" w:eastAsia="Arial" w:hAnsi="Arial"/>
                <w:sz w:val="14"/>
                <w:szCs w:val="14"/>
                <w:b w:val="1"/>
                <w:bCs w:val="1"/>
                <w:color w:val="auto"/>
                <w:w w:val="98"/>
              </w:rPr>
              <w:t>Target</w:t>
            </w:r>
          </w:p>
        </w:tc>
        <w:tc>
          <w:tcPr>
            <w:tcW w:w="1120" w:type="dxa"/>
            <w:vAlign w:val="bottom"/>
            <w:tcBorders>
              <w:bottom w:val="single" w:sz="8" w:color="0072AF"/>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1100" w:type="dxa"/>
            <w:vAlign w:val="bottom"/>
            <w:tcBorders>
              <w:bottom w:val="single" w:sz="8" w:color="0072AF"/>
            </w:tcBorders>
          </w:tcPr>
          <w:p>
            <w:pPr>
              <w:jc w:val="center"/>
              <w:spacing w:after="0"/>
              <w:rPr>
                <w:sz w:val="20"/>
                <w:szCs w:val="20"/>
                <w:color w:val="auto"/>
              </w:rPr>
            </w:pPr>
            <w:r>
              <w:rPr>
                <w:rFonts w:ascii="Arial" w:cs="Arial" w:eastAsia="Arial" w:hAnsi="Arial"/>
                <w:sz w:val="14"/>
                <w:szCs w:val="14"/>
                <w:b w:val="1"/>
                <w:bCs w:val="1"/>
                <w:color w:val="auto"/>
              </w:rPr>
              <w:t>Result</w:t>
            </w:r>
          </w:p>
        </w:tc>
        <w:tc>
          <w:tcPr>
            <w:tcW w:w="800" w:type="dxa"/>
            <w:vAlign w:val="bottom"/>
            <w:tcBorders>
              <w:bottom w:val="single" w:sz="8" w:color="0072AF"/>
            </w:tcBorders>
          </w:tcPr>
          <w:p>
            <w:pPr>
              <w:jc w:val="center"/>
              <w:spacing w:after="0"/>
              <w:rPr>
                <w:sz w:val="20"/>
                <w:szCs w:val="20"/>
                <w:color w:val="auto"/>
              </w:rPr>
            </w:pPr>
            <w:r>
              <w:rPr>
                <w:rFonts w:ascii="Arial" w:cs="Arial" w:eastAsia="Arial" w:hAnsi="Arial"/>
                <w:sz w:val="14"/>
                <w:szCs w:val="14"/>
                <w:b w:val="1"/>
                <w:bCs w:val="1"/>
                <w:color w:val="auto"/>
              </w:rPr>
              <w:t>Value</w:t>
            </w:r>
          </w:p>
        </w:tc>
        <w:tc>
          <w:tcPr>
            <w:tcW w:w="1160" w:type="dxa"/>
            <w:vAlign w:val="bottom"/>
            <w:tcBorders>
              <w:bottom w:val="single" w:sz="8" w:color="0072AF"/>
            </w:tcBorders>
          </w:tcPr>
          <w:p>
            <w:pPr>
              <w:jc w:val="center"/>
              <w:spacing w:after="0"/>
              <w:rPr>
                <w:sz w:val="20"/>
                <w:szCs w:val="20"/>
                <w:color w:val="auto"/>
              </w:rPr>
            </w:pPr>
            <w:r>
              <w:rPr>
                <w:rFonts w:ascii="Arial" w:cs="Arial" w:eastAsia="Arial" w:hAnsi="Arial"/>
                <w:sz w:val="14"/>
                <w:szCs w:val="14"/>
                <w:b w:val="1"/>
                <w:bCs w:val="1"/>
                <w:color w:val="auto"/>
              </w:rPr>
              <w:t>Modifier</w:t>
            </w:r>
          </w:p>
        </w:tc>
        <w:tc>
          <w:tcPr>
            <w:tcW w:w="1140" w:type="dxa"/>
            <w:vAlign w:val="bottom"/>
            <w:tcBorders>
              <w:bottom w:val="single" w:sz="8" w:color="0072AF"/>
            </w:tcBorders>
          </w:tcPr>
          <w:p>
            <w:pPr>
              <w:jc w:val="center"/>
              <w:spacing w:after="0"/>
              <w:rPr>
                <w:sz w:val="20"/>
                <w:szCs w:val="20"/>
                <w:color w:val="auto"/>
              </w:rPr>
            </w:pPr>
            <w:r>
              <w:rPr>
                <w:rFonts w:ascii="Arial" w:cs="Arial" w:eastAsia="Arial" w:hAnsi="Arial"/>
                <w:sz w:val="14"/>
                <w:szCs w:val="14"/>
                <w:b w:val="1"/>
                <w:bCs w:val="1"/>
                <w:color w:val="auto"/>
              </w:rPr>
              <w:t>Multiplier</w:t>
            </w:r>
          </w:p>
        </w:tc>
      </w:tr>
      <w:tr>
        <w:trPr>
          <w:trHeight w:val="311"/>
        </w:trPr>
        <w:tc>
          <w:tcPr>
            <w:tcW w:w="1640" w:type="dxa"/>
            <w:vAlign w:val="bottom"/>
            <w:tcBorders>
              <w:right w:val="single" w:sz="8" w:color="0072AF"/>
            </w:tcBorders>
          </w:tcPr>
          <w:p>
            <w:pPr>
              <w:jc w:val="center"/>
              <w:ind w:right="84"/>
              <w:spacing w:after="0"/>
              <w:rPr>
                <w:sz w:val="20"/>
                <w:szCs w:val="20"/>
                <w:color w:val="auto"/>
              </w:rPr>
            </w:pPr>
            <w:r>
              <w:rPr>
                <w:rFonts w:ascii="Arial" w:cs="Arial" w:eastAsia="Arial" w:hAnsi="Arial"/>
                <w:sz w:val="16"/>
                <w:szCs w:val="16"/>
                <w:color w:val="auto"/>
              </w:rPr>
              <w:t>2021</w:t>
            </w:r>
          </w:p>
        </w:tc>
        <w:tc>
          <w:tcPr>
            <w:tcW w:w="110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6"/>
                <w:szCs w:val="16"/>
                <w:color w:val="auto"/>
              </w:rPr>
              <w:t>$100 million</w:t>
            </w:r>
          </w:p>
        </w:tc>
        <w:tc>
          <w:tcPr>
            <w:tcW w:w="112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6"/>
                <w:szCs w:val="16"/>
                <w:color w:val="auto"/>
              </w:rPr>
              <w:t>$135 million</w:t>
            </w:r>
          </w:p>
        </w:tc>
        <w:tc>
          <w:tcPr>
            <w:tcW w:w="112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6"/>
                <w:szCs w:val="16"/>
                <w:color w:val="auto"/>
              </w:rPr>
              <w:t>$170 million</w:t>
            </w:r>
          </w:p>
        </w:tc>
        <w:tc>
          <w:tcPr>
            <w:tcW w:w="110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6"/>
                <w:szCs w:val="16"/>
                <w:color w:val="auto"/>
              </w:rPr>
              <w:t>$119 million</w:t>
            </w:r>
          </w:p>
        </w:tc>
        <w:tc>
          <w:tcPr>
            <w:tcW w:w="80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6"/>
                <w:szCs w:val="16"/>
                <w:color w:val="auto"/>
              </w:rPr>
              <w:t>0.12</w:t>
            </w:r>
          </w:p>
        </w:tc>
        <w:tc>
          <w:tcPr>
            <w:tcW w:w="1160" w:type="dxa"/>
            <w:vAlign w:val="bottom"/>
            <w:tcBorders>
              <w:bottom w:val="single" w:sz="8" w:color="CBCEE0"/>
            </w:tcBorders>
            <w:shd w:val="clear" w:color="auto" w:fill="CBCEE0"/>
          </w:tcPr>
          <w:p>
            <w:pPr>
              <w:spacing w:after="0"/>
              <w:rPr>
                <w:sz w:val="24"/>
                <w:szCs w:val="24"/>
                <w:color w:val="auto"/>
              </w:rPr>
            </w:pPr>
          </w:p>
        </w:tc>
        <w:tc>
          <w:tcPr>
            <w:tcW w:w="1140" w:type="dxa"/>
            <w:vAlign w:val="bottom"/>
            <w:tcBorders>
              <w:bottom w:val="single" w:sz="8" w:color="CBCEE0"/>
              <w:right w:val="single" w:sz="8" w:color="0072AF"/>
            </w:tcBorders>
            <w:shd w:val="clear" w:color="auto" w:fill="CBCEE0"/>
          </w:tcPr>
          <w:p>
            <w:pPr>
              <w:spacing w:after="0"/>
              <w:rPr>
                <w:sz w:val="24"/>
                <w:szCs w:val="24"/>
                <w:color w:val="auto"/>
              </w:rPr>
            </w:pPr>
          </w:p>
        </w:tc>
      </w:tr>
      <w:tr>
        <w:trPr>
          <w:trHeight w:val="268"/>
        </w:trPr>
        <w:tc>
          <w:tcPr>
            <w:tcW w:w="1640" w:type="dxa"/>
            <w:vAlign w:val="bottom"/>
            <w:tcBorders>
              <w:right w:val="single" w:sz="8" w:color="0072AF"/>
            </w:tcBorders>
          </w:tcPr>
          <w:p>
            <w:pPr>
              <w:jc w:val="center"/>
              <w:ind w:right="84"/>
              <w:spacing w:after="0"/>
              <w:rPr>
                <w:sz w:val="20"/>
                <w:szCs w:val="20"/>
                <w:color w:val="auto"/>
              </w:rPr>
            </w:pPr>
            <w:r>
              <w:rPr>
                <w:rFonts w:ascii="Arial" w:cs="Arial" w:eastAsia="Arial" w:hAnsi="Arial"/>
                <w:sz w:val="16"/>
                <w:szCs w:val="16"/>
                <w:color w:val="auto"/>
              </w:rPr>
              <w:t>2022</w:t>
            </w:r>
          </w:p>
        </w:tc>
        <w:tc>
          <w:tcPr>
            <w:tcW w:w="1100" w:type="dxa"/>
            <w:vAlign w:val="bottom"/>
          </w:tcPr>
          <w:p>
            <w:pPr>
              <w:jc w:val="center"/>
              <w:spacing w:after="0"/>
              <w:rPr>
                <w:sz w:val="20"/>
                <w:szCs w:val="20"/>
                <w:color w:val="auto"/>
              </w:rPr>
            </w:pPr>
            <w:r>
              <w:rPr>
                <w:rFonts w:ascii="Arial" w:cs="Arial" w:eastAsia="Arial" w:hAnsi="Arial"/>
                <w:sz w:val="16"/>
                <w:szCs w:val="16"/>
                <w:color w:val="auto"/>
              </w:rPr>
              <w:t>$44 million</w:t>
            </w:r>
          </w:p>
        </w:tc>
        <w:tc>
          <w:tcPr>
            <w:tcW w:w="1120" w:type="dxa"/>
            <w:vAlign w:val="bottom"/>
          </w:tcPr>
          <w:p>
            <w:pPr>
              <w:jc w:val="center"/>
              <w:spacing w:after="0"/>
              <w:rPr>
                <w:sz w:val="20"/>
                <w:szCs w:val="20"/>
                <w:color w:val="auto"/>
              </w:rPr>
            </w:pPr>
            <w:r>
              <w:rPr>
                <w:rFonts w:ascii="Arial" w:cs="Arial" w:eastAsia="Arial" w:hAnsi="Arial"/>
                <w:sz w:val="16"/>
                <w:szCs w:val="16"/>
                <w:color w:val="auto"/>
              </w:rPr>
              <w:t>$92 million</w:t>
            </w:r>
          </w:p>
        </w:tc>
        <w:tc>
          <w:tcPr>
            <w:tcW w:w="1120" w:type="dxa"/>
            <w:vAlign w:val="bottom"/>
          </w:tcPr>
          <w:p>
            <w:pPr>
              <w:jc w:val="center"/>
              <w:spacing w:after="0"/>
              <w:rPr>
                <w:sz w:val="20"/>
                <w:szCs w:val="20"/>
                <w:color w:val="auto"/>
              </w:rPr>
            </w:pPr>
            <w:r>
              <w:rPr>
                <w:rFonts w:ascii="Arial" w:cs="Arial" w:eastAsia="Arial" w:hAnsi="Arial"/>
                <w:sz w:val="16"/>
                <w:szCs w:val="16"/>
                <w:color w:val="auto"/>
              </w:rPr>
              <w:t>$140 million</w:t>
            </w:r>
          </w:p>
        </w:tc>
        <w:tc>
          <w:tcPr>
            <w:tcW w:w="1100" w:type="dxa"/>
            <w:vAlign w:val="bottom"/>
          </w:tcPr>
          <w:p>
            <w:pPr>
              <w:jc w:val="center"/>
              <w:spacing w:after="0"/>
              <w:rPr>
                <w:sz w:val="20"/>
                <w:szCs w:val="20"/>
                <w:color w:val="auto"/>
              </w:rPr>
            </w:pPr>
            <w:r>
              <w:rPr>
                <w:rFonts w:ascii="Arial" w:cs="Arial" w:eastAsia="Arial" w:hAnsi="Arial"/>
                <w:sz w:val="16"/>
                <w:szCs w:val="16"/>
                <w:color w:val="auto"/>
              </w:rPr>
              <w:t>$85 million</w:t>
            </w:r>
          </w:p>
        </w:tc>
        <w:tc>
          <w:tcPr>
            <w:tcW w:w="800" w:type="dxa"/>
            <w:vAlign w:val="bottom"/>
          </w:tcPr>
          <w:p>
            <w:pPr>
              <w:jc w:val="center"/>
              <w:spacing w:after="0"/>
              <w:rPr>
                <w:sz w:val="20"/>
                <w:szCs w:val="20"/>
                <w:color w:val="auto"/>
              </w:rPr>
            </w:pPr>
            <w:r>
              <w:rPr>
                <w:rFonts w:ascii="Arial" w:cs="Arial" w:eastAsia="Arial" w:hAnsi="Arial"/>
                <w:sz w:val="16"/>
                <w:szCs w:val="16"/>
                <w:color w:val="auto"/>
              </w:rPr>
              <w:t>0.15</w:t>
            </w:r>
          </w:p>
        </w:tc>
        <w:tc>
          <w:tcPr>
            <w:tcW w:w="1160" w:type="dxa"/>
            <w:vAlign w:val="bottom"/>
          </w:tcPr>
          <w:p>
            <w:pPr>
              <w:spacing w:after="0"/>
              <w:rPr>
                <w:sz w:val="23"/>
                <w:szCs w:val="23"/>
                <w:color w:val="auto"/>
              </w:rPr>
            </w:pPr>
          </w:p>
        </w:tc>
        <w:tc>
          <w:tcPr>
            <w:tcW w:w="1140" w:type="dxa"/>
            <w:vAlign w:val="bottom"/>
            <w:tcBorders>
              <w:right w:val="single" w:sz="8" w:color="0072AF"/>
            </w:tcBorders>
          </w:tcPr>
          <w:p>
            <w:pPr>
              <w:spacing w:after="0"/>
              <w:rPr>
                <w:sz w:val="23"/>
                <w:szCs w:val="23"/>
                <w:color w:val="auto"/>
              </w:rPr>
            </w:pPr>
          </w:p>
        </w:tc>
      </w:tr>
      <w:tr>
        <w:trPr>
          <w:trHeight w:val="56"/>
        </w:trPr>
        <w:tc>
          <w:tcPr>
            <w:tcW w:w="1640" w:type="dxa"/>
            <w:vAlign w:val="bottom"/>
            <w:tcBorders>
              <w:right w:val="single" w:sz="8" w:color="0072AF"/>
            </w:tcBorders>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40" w:type="dxa"/>
            <w:vAlign w:val="bottom"/>
            <w:tcBorders>
              <w:right w:val="single" w:sz="8" w:color="0072AF"/>
            </w:tcBorders>
          </w:tcPr>
          <w:p>
            <w:pPr>
              <w:spacing w:after="0"/>
              <w:rPr>
                <w:sz w:val="4"/>
                <w:szCs w:val="4"/>
                <w:color w:val="auto"/>
              </w:rPr>
            </w:pPr>
          </w:p>
        </w:tc>
      </w:tr>
      <w:tr>
        <w:trPr>
          <w:trHeight w:val="268"/>
        </w:trPr>
        <w:tc>
          <w:tcPr>
            <w:tcW w:w="1640" w:type="dxa"/>
            <w:vAlign w:val="bottom"/>
            <w:tcBorders>
              <w:right w:val="single" w:sz="8" w:color="0072AF"/>
            </w:tcBorders>
          </w:tcPr>
          <w:p>
            <w:pPr>
              <w:jc w:val="center"/>
              <w:ind w:right="84"/>
              <w:spacing w:after="0"/>
              <w:rPr>
                <w:sz w:val="20"/>
                <w:szCs w:val="20"/>
                <w:color w:val="auto"/>
              </w:rPr>
            </w:pPr>
            <w:r>
              <w:rPr>
                <w:rFonts w:ascii="Arial" w:cs="Arial" w:eastAsia="Arial" w:hAnsi="Arial"/>
                <w:sz w:val="16"/>
                <w:szCs w:val="16"/>
                <w:color w:val="auto"/>
              </w:rPr>
              <w:t>2023</w:t>
            </w:r>
          </w:p>
        </w:tc>
        <w:tc>
          <w:tcPr>
            <w:tcW w:w="1100" w:type="dxa"/>
            <w:vAlign w:val="bottom"/>
            <w:shd w:val="clear" w:color="auto" w:fill="CBCEE0"/>
          </w:tcPr>
          <w:p>
            <w:pPr>
              <w:jc w:val="center"/>
              <w:spacing w:after="0"/>
              <w:rPr>
                <w:sz w:val="20"/>
                <w:szCs w:val="20"/>
                <w:color w:val="auto"/>
              </w:rPr>
            </w:pPr>
            <w:r>
              <w:rPr>
                <w:rFonts w:ascii="Arial" w:cs="Arial" w:eastAsia="Arial" w:hAnsi="Arial"/>
                <w:sz w:val="16"/>
                <w:szCs w:val="16"/>
                <w:color w:val="auto"/>
              </w:rPr>
              <w:t>$20 million</w:t>
            </w:r>
          </w:p>
        </w:tc>
        <w:tc>
          <w:tcPr>
            <w:tcW w:w="1120" w:type="dxa"/>
            <w:vAlign w:val="bottom"/>
            <w:shd w:val="clear" w:color="auto" w:fill="CBCEE0"/>
          </w:tcPr>
          <w:p>
            <w:pPr>
              <w:jc w:val="center"/>
              <w:spacing w:after="0"/>
              <w:rPr>
                <w:sz w:val="20"/>
                <w:szCs w:val="20"/>
                <w:color w:val="auto"/>
              </w:rPr>
            </w:pPr>
            <w:r>
              <w:rPr>
                <w:rFonts w:ascii="Arial" w:cs="Arial" w:eastAsia="Arial" w:hAnsi="Arial"/>
                <w:sz w:val="16"/>
                <w:szCs w:val="16"/>
                <w:color w:val="auto"/>
              </w:rPr>
              <w:t>$55 million</w:t>
            </w:r>
          </w:p>
        </w:tc>
        <w:tc>
          <w:tcPr>
            <w:tcW w:w="1120" w:type="dxa"/>
            <w:vAlign w:val="bottom"/>
            <w:shd w:val="clear" w:color="auto" w:fill="CBCEE0"/>
          </w:tcPr>
          <w:p>
            <w:pPr>
              <w:jc w:val="center"/>
              <w:spacing w:after="0"/>
              <w:rPr>
                <w:sz w:val="20"/>
                <w:szCs w:val="20"/>
                <w:color w:val="auto"/>
              </w:rPr>
            </w:pPr>
            <w:r>
              <w:rPr>
                <w:rFonts w:ascii="Arial" w:cs="Arial" w:eastAsia="Arial" w:hAnsi="Arial"/>
                <w:sz w:val="16"/>
                <w:szCs w:val="16"/>
                <w:color w:val="auto"/>
              </w:rPr>
              <w:t>$120 million</w:t>
            </w:r>
          </w:p>
        </w:tc>
        <w:tc>
          <w:tcPr>
            <w:tcW w:w="1100" w:type="dxa"/>
            <w:vAlign w:val="bottom"/>
            <w:shd w:val="clear" w:color="auto" w:fill="CBCEE0"/>
          </w:tcPr>
          <w:p>
            <w:pPr>
              <w:jc w:val="center"/>
              <w:spacing w:after="0"/>
              <w:rPr>
                <w:sz w:val="20"/>
                <w:szCs w:val="20"/>
                <w:color w:val="auto"/>
              </w:rPr>
            </w:pPr>
            <w:r>
              <w:rPr>
                <w:rFonts w:ascii="Arial" w:cs="Arial" w:eastAsia="Arial" w:hAnsi="Arial"/>
                <w:sz w:val="16"/>
                <w:szCs w:val="16"/>
                <w:color w:val="auto"/>
              </w:rPr>
              <w:t>$25 million</w:t>
            </w:r>
          </w:p>
        </w:tc>
        <w:tc>
          <w:tcPr>
            <w:tcW w:w="800" w:type="dxa"/>
            <w:vAlign w:val="bottom"/>
            <w:shd w:val="clear" w:color="auto" w:fill="CBCEE0"/>
          </w:tcPr>
          <w:p>
            <w:pPr>
              <w:jc w:val="center"/>
              <w:spacing w:after="0"/>
              <w:rPr>
                <w:sz w:val="20"/>
                <w:szCs w:val="20"/>
                <w:color w:val="auto"/>
              </w:rPr>
            </w:pPr>
            <w:r>
              <w:rPr>
                <w:rFonts w:ascii="Arial" w:cs="Arial" w:eastAsia="Arial" w:hAnsi="Arial"/>
                <w:sz w:val="16"/>
                <w:szCs w:val="16"/>
                <w:color w:val="auto"/>
              </w:rPr>
              <w:t>0.08</w:t>
            </w:r>
          </w:p>
        </w:tc>
        <w:tc>
          <w:tcPr>
            <w:tcW w:w="1160" w:type="dxa"/>
            <w:vAlign w:val="bottom"/>
            <w:shd w:val="clear" w:color="auto" w:fill="CBCEE0"/>
          </w:tcPr>
          <w:p>
            <w:pPr>
              <w:spacing w:after="0"/>
              <w:rPr>
                <w:sz w:val="23"/>
                <w:szCs w:val="23"/>
                <w:color w:val="auto"/>
              </w:rPr>
            </w:pPr>
          </w:p>
        </w:tc>
        <w:tc>
          <w:tcPr>
            <w:tcW w:w="1140" w:type="dxa"/>
            <w:vAlign w:val="bottom"/>
            <w:tcBorders>
              <w:right w:val="single" w:sz="8" w:color="0072AF"/>
            </w:tcBorders>
            <w:shd w:val="clear" w:color="auto" w:fill="CBCEE0"/>
          </w:tcPr>
          <w:p>
            <w:pPr>
              <w:spacing w:after="0"/>
              <w:rPr>
                <w:sz w:val="23"/>
                <w:szCs w:val="23"/>
                <w:color w:val="auto"/>
              </w:rPr>
            </w:pPr>
          </w:p>
        </w:tc>
      </w:tr>
      <w:tr>
        <w:trPr>
          <w:trHeight w:val="70"/>
        </w:trPr>
        <w:tc>
          <w:tcPr>
            <w:tcW w:w="1640" w:type="dxa"/>
            <w:vAlign w:val="bottom"/>
            <w:tcBorders>
              <w:bottom w:val="single" w:sz="8" w:color="0072AF"/>
              <w:right w:val="single" w:sz="8" w:color="0072AF"/>
            </w:tcBorders>
          </w:tcPr>
          <w:p>
            <w:pPr>
              <w:spacing w:after="0"/>
              <w:rPr>
                <w:sz w:val="6"/>
                <w:szCs w:val="6"/>
                <w:color w:val="auto"/>
              </w:rPr>
            </w:pPr>
          </w:p>
        </w:tc>
        <w:tc>
          <w:tcPr>
            <w:tcW w:w="1100" w:type="dxa"/>
            <w:vAlign w:val="bottom"/>
            <w:tcBorders>
              <w:bottom w:val="single" w:sz="8" w:color="0072AF"/>
            </w:tcBorders>
            <w:shd w:val="clear" w:color="auto" w:fill="CBCEE0"/>
          </w:tcPr>
          <w:p>
            <w:pPr>
              <w:spacing w:after="0"/>
              <w:rPr>
                <w:sz w:val="6"/>
                <w:szCs w:val="6"/>
                <w:color w:val="auto"/>
              </w:rPr>
            </w:pPr>
          </w:p>
        </w:tc>
        <w:tc>
          <w:tcPr>
            <w:tcW w:w="1120" w:type="dxa"/>
            <w:vAlign w:val="bottom"/>
            <w:tcBorders>
              <w:bottom w:val="single" w:sz="8" w:color="0072AF"/>
            </w:tcBorders>
            <w:shd w:val="clear" w:color="auto" w:fill="CBCEE0"/>
          </w:tcPr>
          <w:p>
            <w:pPr>
              <w:spacing w:after="0"/>
              <w:rPr>
                <w:sz w:val="6"/>
                <w:szCs w:val="6"/>
                <w:color w:val="auto"/>
              </w:rPr>
            </w:pPr>
          </w:p>
        </w:tc>
        <w:tc>
          <w:tcPr>
            <w:tcW w:w="1120" w:type="dxa"/>
            <w:vAlign w:val="bottom"/>
            <w:tcBorders>
              <w:bottom w:val="single" w:sz="8" w:color="0072AF"/>
            </w:tcBorders>
            <w:shd w:val="clear" w:color="auto" w:fill="CBCEE0"/>
          </w:tcPr>
          <w:p>
            <w:pPr>
              <w:spacing w:after="0"/>
              <w:rPr>
                <w:sz w:val="6"/>
                <w:szCs w:val="6"/>
                <w:color w:val="auto"/>
              </w:rPr>
            </w:pPr>
          </w:p>
        </w:tc>
        <w:tc>
          <w:tcPr>
            <w:tcW w:w="1100" w:type="dxa"/>
            <w:vAlign w:val="bottom"/>
            <w:tcBorders>
              <w:bottom w:val="single" w:sz="8" w:color="0072AF"/>
            </w:tcBorders>
            <w:shd w:val="clear" w:color="auto" w:fill="CBCEE0"/>
          </w:tcPr>
          <w:p>
            <w:pPr>
              <w:spacing w:after="0"/>
              <w:rPr>
                <w:sz w:val="6"/>
                <w:szCs w:val="6"/>
                <w:color w:val="auto"/>
              </w:rPr>
            </w:pPr>
          </w:p>
        </w:tc>
        <w:tc>
          <w:tcPr>
            <w:tcW w:w="800" w:type="dxa"/>
            <w:vAlign w:val="bottom"/>
            <w:tcBorders>
              <w:bottom w:val="single" w:sz="8" w:color="0072AF"/>
            </w:tcBorders>
            <w:shd w:val="clear" w:color="auto" w:fill="CBCEE0"/>
          </w:tcPr>
          <w:p>
            <w:pPr>
              <w:spacing w:after="0"/>
              <w:rPr>
                <w:sz w:val="6"/>
                <w:szCs w:val="6"/>
                <w:color w:val="auto"/>
              </w:rPr>
            </w:pPr>
          </w:p>
        </w:tc>
        <w:tc>
          <w:tcPr>
            <w:tcW w:w="1160" w:type="dxa"/>
            <w:vAlign w:val="bottom"/>
            <w:tcBorders>
              <w:bottom w:val="single" w:sz="8" w:color="0072AF"/>
            </w:tcBorders>
            <w:shd w:val="clear" w:color="auto" w:fill="CBCEE0"/>
          </w:tcPr>
          <w:p>
            <w:pPr>
              <w:spacing w:after="0"/>
              <w:rPr>
                <w:sz w:val="6"/>
                <w:szCs w:val="6"/>
                <w:color w:val="auto"/>
              </w:rPr>
            </w:pPr>
          </w:p>
        </w:tc>
        <w:tc>
          <w:tcPr>
            <w:tcW w:w="1140" w:type="dxa"/>
            <w:vAlign w:val="bottom"/>
            <w:tcBorders>
              <w:bottom w:val="single" w:sz="8" w:color="0072AF"/>
              <w:right w:val="single" w:sz="8" w:color="0072AF"/>
            </w:tcBorders>
            <w:shd w:val="clear" w:color="auto" w:fill="CBCEE0"/>
          </w:tcPr>
          <w:p>
            <w:pPr>
              <w:spacing w:after="0"/>
              <w:rPr>
                <w:sz w:val="6"/>
                <w:szCs w:val="6"/>
                <w:color w:val="auto"/>
              </w:rPr>
            </w:pPr>
          </w:p>
        </w:tc>
      </w:tr>
      <w:tr>
        <w:trPr>
          <w:trHeight w:val="249"/>
        </w:trPr>
        <w:tc>
          <w:tcPr>
            <w:tcW w:w="1640" w:type="dxa"/>
            <w:vAlign w:val="bottom"/>
            <w:tcBorders>
              <w:right w:val="single" w:sz="8" w:color="0072AF"/>
            </w:tcBorders>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No</w:t>
            </w:r>
          </w:p>
        </w:tc>
        <w:tc>
          <w:tcPr>
            <w:tcW w:w="1140" w:type="dxa"/>
            <w:vAlign w:val="bottom"/>
            <w:tcBorders>
              <w:right w:val="single" w:sz="8" w:color="0072AF"/>
            </w:tcBorders>
          </w:tcPr>
          <w:p>
            <w:pPr>
              <w:spacing w:after="0"/>
              <w:rPr>
                <w:sz w:val="21"/>
                <w:szCs w:val="21"/>
                <w:color w:val="auto"/>
              </w:rPr>
            </w:pPr>
          </w:p>
        </w:tc>
      </w:tr>
      <w:tr>
        <w:trPr>
          <w:trHeight w:val="223"/>
        </w:trPr>
        <w:tc>
          <w:tcPr>
            <w:tcW w:w="1640" w:type="dxa"/>
            <w:vAlign w:val="bottom"/>
            <w:tcBorders>
              <w:right w:val="single" w:sz="8" w:color="0072AF"/>
            </w:tcBorders>
          </w:tcPr>
          <w:p>
            <w:pPr>
              <w:jc w:val="center"/>
              <w:ind w:right="64"/>
              <w:spacing w:after="0"/>
              <w:rPr>
                <w:sz w:val="20"/>
                <w:szCs w:val="20"/>
                <w:color w:val="auto"/>
              </w:rPr>
            </w:pPr>
            <w:r>
              <w:rPr>
                <w:rFonts w:ascii="Arial" w:cs="Arial" w:eastAsia="Arial" w:hAnsi="Arial"/>
                <w:sz w:val="16"/>
                <w:szCs w:val="16"/>
                <w:b w:val="1"/>
                <w:bCs w:val="1"/>
                <w:color w:val="auto"/>
                <w:w w:val="99"/>
              </w:rPr>
              <w:t>Total</w:t>
            </w: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0.62</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Adjustment</w:t>
            </w:r>
          </w:p>
        </w:tc>
        <w:tc>
          <w:tcPr>
            <w:tcW w:w="1140" w:type="dxa"/>
            <w:vAlign w:val="bottom"/>
            <w:tcBorders>
              <w:right w:val="single" w:sz="8" w:color="0072AF"/>
            </w:tcBorders>
          </w:tcPr>
          <w:p>
            <w:pPr>
              <w:jc w:val="center"/>
              <w:spacing w:after="0"/>
              <w:rPr>
                <w:sz w:val="20"/>
                <w:szCs w:val="20"/>
                <w:color w:val="auto"/>
              </w:rPr>
            </w:pPr>
            <w:r>
              <w:rPr>
                <w:rFonts w:ascii="Arial" w:cs="Arial" w:eastAsia="Arial" w:hAnsi="Arial"/>
                <w:sz w:val="16"/>
                <w:szCs w:val="16"/>
                <w:b w:val="1"/>
                <w:bCs w:val="1"/>
                <w:color w:val="auto"/>
              </w:rPr>
              <w:t>0.62</w:t>
            </w:r>
          </w:p>
        </w:tc>
      </w:tr>
      <w:tr>
        <w:trPr>
          <w:trHeight w:val="62"/>
        </w:trPr>
        <w:tc>
          <w:tcPr>
            <w:tcW w:w="1640" w:type="dxa"/>
            <w:vAlign w:val="bottom"/>
            <w:tcBorders>
              <w:right w:val="single" w:sz="8" w:color="0072AF"/>
            </w:tcBorders>
          </w:tcPr>
          <w:p>
            <w:pPr>
              <w:spacing w:after="0"/>
              <w:rPr>
                <w:sz w:val="5"/>
                <w:szCs w:val="5"/>
                <w:color w:val="auto"/>
              </w:rPr>
            </w:pPr>
          </w:p>
        </w:tc>
        <w:tc>
          <w:tcPr>
            <w:tcW w:w="1100" w:type="dxa"/>
            <w:vAlign w:val="bottom"/>
            <w:tcBorders>
              <w:bottom w:val="single" w:sz="8" w:color="0072AF"/>
            </w:tcBorders>
          </w:tcPr>
          <w:p>
            <w:pPr>
              <w:spacing w:after="0"/>
              <w:rPr>
                <w:sz w:val="5"/>
                <w:szCs w:val="5"/>
                <w:color w:val="auto"/>
              </w:rPr>
            </w:pPr>
          </w:p>
        </w:tc>
        <w:tc>
          <w:tcPr>
            <w:tcW w:w="1120" w:type="dxa"/>
            <w:vAlign w:val="bottom"/>
            <w:tcBorders>
              <w:bottom w:val="single" w:sz="8" w:color="0072AF"/>
            </w:tcBorders>
          </w:tcPr>
          <w:p>
            <w:pPr>
              <w:spacing w:after="0"/>
              <w:rPr>
                <w:sz w:val="5"/>
                <w:szCs w:val="5"/>
                <w:color w:val="auto"/>
              </w:rPr>
            </w:pPr>
          </w:p>
        </w:tc>
        <w:tc>
          <w:tcPr>
            <w:tcW w:w="1120" w:type="dxa"/>
            <w:vAlign w:val="bottom"/>
            <w:tcBorders>
              <w:bottom w:val="single" w:sz="8" w:color="0072AF"/>
            </w:tcBorders>
          </w:tcPr>
          <w:p>
            <w:pPr>
              <w:spacing w:after="0"/>
              <w:rPr>
                <w:sz w:val="5"/>
                <w:szCs w:val="5"/>
                <w:color w:val="auto"/>
              </w:rPr>
            </w:pPr>
          </w:p>
        </w:tc>
        <w:tc>
          <w:tcPr>
            <w:tcW w:w="1100" w:type="dxa"/>
            <w:vAlign w:val="bottom"/>
            <w:tcBorders>
              <w:bottom w:val="single" w:sz="8" w:color="0072AF"/>
            </w:tcBorders>
          </w:tcPr>
          <w:p>
            <w:pPr>
              <w:spacing w:after="0"/>
              <w:rPr>
                <w:sz w:val="5"/>
                <w:szCs w:val="5"/>
                <w:color w:val="auto"/>
              </w:rPr>
            </w:pPr>
          </w:p>
        </w:tc>
        <w:tc>
          <w:tcPr>
            <w:tcW w:w="800" w:type="dxa"/>
            <w:vAlign w:val="bottom"/>
            <w:tcBorders>
              <w:bottom w:val="single" w:sz="8" w:color="0072AF"/>
            </w:tcBorders>
          </w:tcPr>
          <w:p>
            <w:pPr>
              <w:spacing w:after="0"/>
              <w:rPr>
                <w:sz w:val="5"/>
                <w:szCs w:val="5"/>
                <w:color w:val="auto"/>
              </w:rPr>
            </w:pPr>
          </w:p>
        </w:tc>
        <w:tc>
          <w:tcPr>
            <w:tcW w:w="1160" w:type="dxa"/>
            <w:vAlign w:val="bottom"/>
            <w:tcBorders>
              <w:bottom w:val="single" w:sz="8" w:color="0072AF"/>
            </w:tcBorders>
          </w:tcPr>
          <w:p>
            <w:pPr>
              <w:spacing w:after="0"/>
              <w:rPr>
                <w:sz w:val="5"/>
                <w:szCs w:val="5"/>
                <w:color w:val="auto"/>
              </w:rPr>
            </w:pPr>
          </w:p>
        </w:tc>
        <w:tc>
          <w:tcPr>
            <w:tcW w:w="1140" w:type="dxa"/>
            <w:vAlign w:val="bottom"/>
            <w:tcBorders>
              <w:bottom w:val="single" w:sz="8" w:color="0072AF"/>
              <w:right w:val="single" w:sz="8" w:color="0072AF"/>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5820410</wp:posOffset>
            </wp:positionH>
            <wp:positionV relativeFrom="paragraph">
              <wp:posOffset>-1482090</wp:posOffset>
            </wp:positionV>
            <wp:extent cx="8255" cy="4883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488315"/>
                    </a:xfrm>
                    <a:prstGeom prst="rect">
                      <a:avLst/>
                    </a:prstGeom>
                    <a:noFill/>
                  </pic:spPr>
                </pic:pic>
              </a:graphicData>
            </a:graphic>
          </wp:anchor>
        </w:drawing>
      </w:r>
    </w:p>
    <w:p>
      <w:pPr>
        <w:spacing w:after="0" w:line="133" w:lineRule="exact"/>
        <w:rPr>
          <w:sz w:val="20"/>
          <w:szCs w:val="20"/>
          <w:color w:val="auto"/>
        </w:rPr>
      </w:pPr>
    </w:p>
    <w:p>
      <w:pPr>
        <w:jc w:val="both"/>
        <w:ind w:left="346" w:hanging="346"/>
        <w:spacing w:after="0" w:line="220" w:lineRule="auto"/>
        <w:tabs>
          <w:tab w:leader="none" w:pos="346" w:val="left"/>
        </w:tabs>
        <w:numPr>
          <w:ilvl w:val="0"/>
          <w:numId w:val="40"/>
        </w:numPr>
        <w:rPr>
          <w:rFonts w:ascii="Arial" w:cs="Arial" w:eastAsia="Arial" w:hAnsi="Arial"/>
          <w:sz w:val="22"/>
          <w:szCs w:val="22"/>
          <w:color w:val="auto"/>
          <w:vertAlign w:val="superscript"/>
        </w:rPr>
      </w:pPr>
      <w:r>
        <w:rPr>
          <w:rFonts w:ascii="Arial" w:cs="Arial" w:eastAsia="Arial" w:hAnsi="Arial"/>
          <w:sz w:val="14"/>
          <w:szCs w:val="14"/>
          <w:color w:val="auto"/>
        </w:rPr>
        <w:t xml:space="preserve">Adjusted EPS and Adjusted FCF are non-GAAP measures. For a reconciliation and additional information, please see “Reconciliation of Reported Consolidated Results to Adjusted Measures” on page </w:t>
      </w:r>
      <w:r>
        <w:rPr>
          <w:rFonts w:ascii="Arial" w:cs="Arial" w:eastAsia="Arial" w:hAnsi="Arial"/>
          <w:sz w:val="14"/>
          <w:szCs w:val="14"/>
          <w:u w:val="single" w:color="auto"/>
          <w:color w:val="0000EE"/>
        </w:rPr>
        <w:t>96</w:t>
      </w:r>
      <w:r>
        <w:rPr>
          <w:rFonts w:ascii="Arial" w:cs="Arial" w:eastAsia="Arial" w:hAnsi="Arial"/>
          <w:sz w:val="14"/>
          <w:szCs w:val="14"/>
          <w:color w:val="auto"/>
        </w:rPr>
        <w:t xml:space="preserve"> of this Proxy Statement and “Treatment of Special Events” beginning on page </w:t>
      </w:r>
      <w:r>
        <w:rPr>
          <w:rFonts w:ascii="Arial" w:cs="Arial" w:eastAsia="Arial" w:hAnsi="Arial"/>
          <w:sz w:val="14"/>
          <w:szCs w:val="14"/>
          <w:u w:val="single" w:color="auto"/>
          <w:color w:val="0000EE"/>
        </w:rPr>
        <w:t>74</w:t>
      </w:r>
      <w:r>
        <w:rPr>
          <w:rFonts w:ascii="Arial" w:cs="Arial" w:eastAsia="Arial" w:hAnsi="Arial"/>
          <w:sz w:val="14"/>
          <w:szCs w:val="14"/>
          <w:color w:val="auto"/>
        </w:rPr>
        <w:t xml:space="preserve"> of this Proxy Statement. The 2022 and 2023 financial targets for the 2021-2023 CIUs are the same used for the completed years in the 2022-2024 CIUs and 2023-2025 CIU performance periods.</w:t>
      </w:r>
    </w:p>
    <w:p>
      <w:pPr>
        <w:spacing w:after="0" w:line="153"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8"/>
          <w:szCs w:val="18"/>
          <w:color w:val="auto"/>
        </w:rPr>
        <w:t xml:space="preserve">For additional detail on the calculation of the financial metrics described above, please see “Non-GAAP Measures” and corresponding table on page </w:t>
      </w:r>
      <w:r>
        <w:rPr>
          <w:rFonts w:ascii="Arial" w:cs="Arial" w:eastAsia="Arial" w:hAnsi="Arial"/>
          <w:sz w:val="18"/>
          <w:szCs w:val="18"/>
          <w:u w:val="single" w:color="auto"/>
          <w:color w:val="0000EE"/>
        </w:rPr>
        <w:t>95</w:t>
      </w:r>
      <w:r>
        <w:rPr>
          <w:rFonts w:ascii="Arial" w:cs="Arial" w:eastAsia="Arial" w:hAnsi="Arial"/>
          <w:sz w:val="18"/>
          <w:szCs w:val="18"/>
          <w:color w:val="auto"/>
        </w:rPr>
        <w:t xml:space="preserve"> of this Proxy Statement.</w:t>
      </w:r>
    </w:p>
    <w:p>
      <w:pPr>
        <w:spacing w:after="0" w:line="113" w:lineRule="exact"/>
        <w:rPr>
          <w:sz w:val="20"/>
          <w:szCs w:val="20"/>
          <w:color w:val="auto"/>
        </w:rPr>
      </w:pPr>
    </w:p>
    <w:p>
      <w:pPr>
        <w:jc w:val="both"/>
        <w:ind w:left="6"/>
        <w:spacing w:after="0" w:line="271" w:lineRule="auto"/>
        <w:rPr>
          <w:sz w:val="20"/>
          <w:szCs w:val="20"/>
          <w:color w:val="auto"/>
        </w:rPr>
      </w:pPr>
      <w:r>
        <w:rPr>
          <w:rFonts w:ascii="Arial" w:cs="Arial" w:eastAsia="Arial" w:hAnsi="Arial"/>
          <w:sz w:val="18"/>
          <w:szCs w:val="18"/>
          <w:color w:val="auto"/>
        </w:rPr>
        <w:t>Based on the 2021-2023 CIU performance multiplier of 0.62 per unit (below the target of 1.00), the table below displays the number of CIUs vested in February 2024 for the listed NEOs.</w:t>
      </w:r>
    </w:p>
    <w:p>
      <w:pPr>
        <w:spacing w:after="0" w:line="177" w:lineRule="exact"/>
        <w:rPr>
          <w:sz w:val="20"/>
          <w:szCs w:val="20"/>
          <w:color w:val="auto"/>
        </w:rPr>
      </w:pPr>
    </w:p>
    <w:tbl>
      <w:tblPr>
        <w:tblLayout w:type="fixed"/>
        <w:tblInd w:w="6" w:type="dxa"/>
        <w:tblCellMar>
          <w:top w:w="0" w:type="dxa"/>
          <w:left w:w="0" w:type="dxa"/>
          <w:bottom w:w="0" w:type="dxa"/>
          <w:right w:w="0" w:type="dxa"/>
        </w:tblCellMar>
      </w:tblPr>
      <w:tr>
        <w:trPr>
          <w:trHeight w:val="196"/>
        </w:trPr>
        <w:tc>
          <w:tcPr>
            <w:tcW w:w="2900" w:type="dxa"/>
            <w:vAlign w:val="bottom"/>
          </w:tcPr>
          <w:p>
            <w:pPr>
              <w:spacing w:after="0"/>
              <w:rPr>
                <w:sz w:val="20"/>
                <w:szCs w:val="20"/>
                <w:color w:val="auto"/>
              </w:rPr>
            </w:pPr>
            <w:r>
              <w:rPr>
                <w:rFonts w:ascii="Arial" w:cs="Arial" w:eastAsia="Arial" w:hAnsi="Arial"/>
                <w:sz w:val="14"/>
                <w:szCs w:val="14"/>
                <w:b w:val="1"/>
                <w:bCs w:val="1"/>
                <w:color w:val="auto"/>
              </w:rPr>
              <w:t>Executive</w:t>
            </w:r>
          </w:p>
        </w:tc>
        <w:tc>
          <w:tcPr>
            <w:tcW w:w="3120" w:type="dxa"/>
            <w:vAlign w:val="bottom"/>
          </w:tcPr>
          <w:p>
            <w:pPr>
              <w:jc w:val="right"/>
              <w:ind w:right="160"/>
              <w:spacing w:after="0"/>
              <w:rPr>
                <w:sz w:val="20"/>
                <w:szCs w:val="20"/>
                <w:color w:val="auto"/>
              </w:rPr>
            </w:pPr>
            <w:r>
              <w:rPr>
                <w:rFonts w:ascii="Arial" w:cs="Arial" w:eastAsia="Arial" w:hAnsi="Arial"/>
                <w:sz w:val="14"/>
                <w:szCs w:val="14"/>
                <w:b w:val="1"/>
                <w:bCs w:val="1"/>
                <w:color w:val="auto"/>
              </w:rPr>
              <w:t>Target CIUs Awarded</w:t>
            </w:r>
          </w:p>
        </w:tc>
        <w:tc>
          <w:tcPr>
            <w:tcW w:w="2040" w:type="dxa"/>
            <w:vAlign w:val="bottom"/>
          </w:tcPr>
          <w:p>
            <w:pPr>
              <w:jc w:val="right"/>
              <w:ind w:right="160"/>
              <w:spacing w:after="0"/>
              <w:rPr>
                <w:sz w:val="20"/>
                <w:szCs w:val="20"/>
                <w:color w:val="auto"/>
              </w:rPr>
            </w:pPr>
            <w:r>
              <w:rPr>
                <w:rFonts w:ascii="Arial" w:cs="Arial" w:eastAsia="Arial" w:hAnsi="Arial"/>
                <w:sz w:val="14"/>
                <w:szCs w:val="14"/>
                <w:b w:val="1"/>
                <w:bCs w:val="1"/>
                <w:color w:val="auto"/>
              </w:rPr>
              <w:t>Performance Multiplier</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Units Vested</w:t>
            </w:r>
          </w:p>
        </w:tc>
      </w:tr>
      <w:tr>
        <w:trPr>
          <w:trHeight w:val="56"/>
        </w:trPr>
        <w:tc>
          <w:tcPr>
            <w:tcW w:w="2900" w:type="dxa"/>
            <w:vAlign w:val="bottom"/>
            <w:tcBorders>
              <w:bottom w:val="single" w:sz="8" w:color="0072AF"/>
            </w:tcBorders>
          </w:tcPr>
          <w:p>
            <w:pPr>
              <w:spacing w:after="0"/>
              <w:rPr>
                <w:sz w:val="4"/>
                <w:szCs w:val="4"/>
                <w:color w:val="auto"/>
              </w:rPr>
            </w:pPr>
          </w:p>
        </w:tc>
        <w:tc>
          <w:tcPr>
            <w:tcW w:w="3120" w:type="dxa"/>
            <w:vAlign w:val="bottom"/>
            <w:tcBorders>
              <w:bottom w:val="single" w:sz="8" w:color="0072AF"/>
            </w:tcBorders>
          </w:tcPr>
          <w:p>
            <w:pPr>
              <w:spacing w:after="0"/>
              <w:rPr>
                <w:sz w:val="4"/>
                <w:szCs w:val="4"/>
                <w:color w:val="auto"/>
              </w:rPr>
            </w:pPr>
          </w:p>
        </w:tc>
        <w:tc>
          <w:tcPr>
            <w:tcW w:w="2040" w:type="dxa"/>
            <w:vAlign w:val="bottom"/>
            <w:tcBorders>
              <w:bottom w:val="single" w:sz="8" w:color="0072AF"/>
            </w:tcBorders>
          </w:tcPr>
          <w:p>
            <w:pPr>
              <w:spacing w:after="0"/>
              <w:rPr>
                <w:sz w:val="4"/>
                <w:szCs w:val="4"/>
                <w:color w:val="auto"/>
              </w:rPr>
            </w:pPr>
          </w:p>
        </w:tc>
        <w:tc>
          <w:tcPr>
            <w:tcW w:w="1120" w:type="dxa"/>
            <w:vAlign w:val="bottom"/>
            <w:tcBorders>
              <w:bottom w:val="single" w:sz="8" w:color="0072AF"/>
            </w:tcBorders>
          </w:tcPr>
          <w:p>
            <w:pPr>
              <w:spacing w:after="0"/>
              <w:rPr>
                <w:sz w:val="4"/>
                <w:szCs w:val="4"/>
                <w:color w:val="auto"/>
              </w:rPr>
            </w:pPr>
          </w:p>
        </w:tc>
      </w:tr>
      <w:tr>
        <w:trPr>
          <w:trHeight w:val="311"/>
        </w:trPr>
        <w:tc>
          <w:tcPr>
            <w:tcW w:w="2900" w:type="dxa"/>
            <w:vAlign w:val="bottom"/>
            <w:tcBorders>
              <w:bottom w:val="single" w:sz="8" w:color="CBCEE0"/>
            </w:tcBorders>
            <w:shd w:val="clear" w:color="auto" w:fill="CBCEE0"/>
          </w:tcPr>
          <w:p>
            <w:pPr>
              <w:ind w:left="100"/>
              <w:spacing w:after="0"/>
              <w:rPr>
                <w:sz w:val="20"/>
                <w:szCs w:val="20"/>
                <w:color w:val="auto"/>
              </w:rPr>
            </w:pPr>
            <w:r>
              <w:rPr>
                <w:rFonts w:ascii="Arial" w:cs="Arial" w:eastAsia="Arial" w:hAnsi="Arial"/>
                <w:sz w:val="16"/>
                <w:szCs w:val="16"/>
                <w:color w:val="auto"/>
              </w:rPr>
              <w:t>Jason Dies</w:t>
            </w:r>
          </w:p>
        </w:tc>
        <w:tc>
          <w:tcPr>
            <w:tcW w:w="3120" w:type="dxa"/>
            <w:vAlign w:val="bottom"/>
            <w:tcBorders>
              <w:bottom w:val="single" w:sz="8" w:color="CBCEE0"/>
            </w:tcBorders>
            <w:shd w:val="clear" w:color="auto" w:fill="CBCEE0"/>
          </w:tcPr>
          <w:p>
            <w:pPr>
              <w:jc w:val="right"/>
              <w:ind w:right="560"/>
              <w:spacing w:after="0"/>
              <w:rPr>
                <w:sz w:val="20"/>
                <w:szCs w:val="20"/>
                <w:color w:val="auto"/>
              </w:rPr>
            </w:pPr>
            <w:r>
              <w:rPr>
                <w:rFonts w:ascii="Arial" w:cs="Arial" w:eastAsia="Arial" w:hAnsi="Arial"/>
                <w:sz w:val="16"/>
                <w:szCs w:val="16"/>
                <w:color w:val="auto"/>
              </w:rPr>
              <w:t>780,000</w:t>
            </w:r>
          </w:p>
        </w:tc>
        <w:tc>
          <w:tcPr>
            <w:tcW w:w="2040" w:type="dxa"/>
            <w:vAlign w:val="bottom"/>
            <w:tcBorders>
              <w:bottom w:val="single" w:sz="8" w:color="CBCEE0"/>
            </w:tcBorders>
            <w:shd w:val="clear" w:color="auto" w:fill="CBCEE0"/>
          </w:tcPr>
          <w:p>
            <w:pPr>
              <w:jc w:val="right"/>
              <w:ind w:right="820"/>
              <w:spacing w:after="0"/>
              <w:rPr>
                <w:sz w:val="20"/>
                <w:szCs w:val="20"/>
                <w:color w:val="auto"/>
              </w:rPr>
            </w:pPr>
            <w:r>
              <w:rPr>
                <w:rFonts w:ascii="Arial" w:cs="Arial" w:eastAsia="Arial" w:hAnsi="Arial"/>
                <w:sz w:val="16"/>
                <w:szCs w:val="16"/>
                <w:color w:val="auto"/>
              </w:rPr>
              <w:t>0.62</w:t>
            </w:r>
          </w:p>
        </w:tc>
        <w:tc>
          <w:tcPr>
            <w:tcW w:w="1120" w:type="dxa"/>
            <w:vAlign w:val="bottom"/>
            <w:tcBorders>
              <w:bottom w:val="single" w:sz="8" w:color="CBCEE0"/>
            </w:tcBorders>
            <w:shd w:val="clear" w:color="auto" w:fill="CBCEE0"/>
          </w:tcPr>
          <w:p>
            <w:pPr>
              <w:jc w:val="right"/>
              <w:ind w:right="20"/>
              <w:spacing w:after="0"/>
              <w:rPr>
                <w:sz w:val="20"/>
                <w:szCs w:val="20"/>
                <w:color w:val="auto"/>
              </w:rPr>
            </w:pPr>
            <w:r>
              <w:rPr>
                <w:rFonts w:ascii="Arial" w:cs="Arial" w:eastAsia="Arial" w:hAnsi="Arial"/>
                <w:sz w:val="16"/>
                <w:szCs w:val="16"/>
                <w:color w:val="auto"/>
              </w:rPr>
              <w:t>483,600</w:t>
            </w:r>
          </w:p>
        </w:tc>
      </w:tr>
      <w:tr>
        <w:trPr>
          <w:trHeight w:val="268"/>
        </w:trPr>
        <w:tc>
          <w:tcPr>
            <w:tcW w:w="2900" w:type="dxa"/>
            <w:vAlign w:val="bottom"/>
          </w:tcPr>
          <w:p>
            <w:pPr>
              <w:ind w:left="100"/>
              <w:spacing w:after="0"/>
              <w:rPr>
                <w:sz w:val="20"/>
                <w:szCs w:val="20"/>
                <w:color w:val="auto"/>
              </w:rPr>
            </w:pPr>
            <w:r>
              <w:rPr>
                <w:rFonts w:ascii="Arial" w:cs="Arial" w:eastAsia="Arial" w:hAnsi="Arial"/>
                <w:sz w:val="16"/>
                <w:szCs w:val="16"/>
                <w:color w:val="auto"/>
              </w:rPr>
              <w:t>Ana Chadwick</w:t>
            </w:r>
          </w:p>
        </w:tc>
        <w:tc>
          <w:tcPr>
            <w:tcW w:w="3120" w:type="dxa"/>
            <w:vAlign w:val="bottom"/>
          </w:tcPr>
          <w:p>
            <w:pPr>
              <w:jc w:val="right"/>
              <w:ind w:right="560"/>
              <w:spacing w:after="0"/>
              <w:rPr>
                <w:sz w:val="20"/>
                <w:szCs w:val="20"/>
                <w:color w:val="auto"/>
              </w:rPr>
            </w:pPr>
            <w:r>
              <w:rPr>
                <w:rFonts w:ascii="Arial" w:cs="Arial" w:eastAsia="Arial" w:hAnsi="Arial"/>
                <w:sz w:val="16"/>
                <w:szCs w:val="16"/>
                <w:color w:val="auto"/>
              </w:rPr>
              <w:t>750,000</w:t>
            </w:r>
          </w:p>
        </w:tc>
        <w:tc>
          <w:tcPr>
            <w:tcW w:w="2040" w:type="dxa"/>
            <w:vAlign w:val="bottom"/>
          </w:tcPr>
          <w:p>
            <w:pPr>
              <w:jc w:val="right"/>
              <w:ind w:right="820"/>
              <w:spacing w:after="0"/>
              <w:rPr>
                <w:sz w:val="20"/>
                <w:szCs w:val="20"/>
                <w:color w:val="auto"/>
              </w:rPr>
            </w:pPr>
            <w:r>
              <w:rPr>
                <w:rFonts w:ascii="Arial" w:cs="Arial" w:eastAsia="Arial" w:hAnsi="Arial"/>
                <w:sz w:val="16"/>
                <w:szCs w:val="16"/>
                <w:color w:val="auto"/>
              </w:rPr>
              <w:t>0.62</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465,000</w:t>
            </w:r>
          </w:p>
        </w:tc>
      </w:tr>
      <w:tr>
        <w:trPr>
          <w:trHeight w:val="56"/>
        </w:trPr>
        <w:tc>
          <w:tcPr>
            <w:tcW w:w="29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304"/>
        </w:trPr>
        <w:tc>
          <w:tcPr>
            <w:tcW w:w="2900" w:type="dxa"/>
            <w:vAlign w:val="bottom"/>
            <w:tcBorders>
              <w:bottom w:val="single" w:sz="8" w:color="CBCEE0"/>
            </w:tcBorders>
            <w:shd w:val="clear" w:color="auto" w:fill="CBCEE0"/>
          </w:tcPr>
          <w:p>
            <w:pPr>
              <w:ind w:left="100"/>
              <w:spacing w:after="0"/>
              <w:rPr>
                <w:sz w:val="20"/>
                <w:szCs w:val="20"/>
                <w:color w:val="auto"/>
              </w:rPr>
            </w:pPr>
            <w:r>
              <w:rPr>
                <w:rFonts w:ascii="Arial" w:cs="Arial" w:eastAsia="Arial" w:hAnsi="Arial"/>
                <w:sz w:val="16"/>
                <w:szCs w:val="16"/>
                <w:color w:val="auto"/>
              </w:rPr>
              <w:t>Gregg Zegras</w:t>
            </w:r>
          </w:p>
        </w:tc>
        <w:tc>
          <w:tcPr>
            <w:tcW w:w="3120" w:type="dxa"/>
            <w:vAlign w:val="bottom"/>
            <w:tcBorders>
              <w:bottom w:val="single" w:sz="8" w:color="CBCEE0"/>
            </w:tcBorders>
            <w:shd w:val="clear" w:color="auto" w:fill="CBCEE0"/>
          </w:tcPr>
          <w:p>
            <w:pPr>
              <w:jc w:val="right"/>
              <w:ind w:right="560"/>
              <w:spacing w:after="0"/>
              <w:rPr>
                <w:sz w:val="20"/>
                <w:szCs w:val="20"/>
                <w:color w:val="auto"/>
              </w:rPr>
            </w:pPr>
            <w:r>
              <w:rPr>
                <w:rFonts w:ascii="Arial" w:cs="Arial" w:eastAsia="Arial" w:hAnsi="Arial"/>
                <w:sz w:val="16"/>
                <w:szCs w:val="16"/>
                <w:color w:val="auto"/>
              </w:rPr>
              <w:t>750,000</w:t>
            </w:r>
          </w:p>
        </w:tc>
        <w:tc>
          <w:tcPr>
            <w:tcW w:w="2040" w:type="dxa"/>
            <w:vAlign w:val="bottom"/>
            <w:tcBorders>
              <w:bottom w:val="single" w:sz="8" w:color="CBCEE0"/>
            </w:tcBorders>
            <w:shd w:val="clear" w:color="auto" w:fill="CBCEE0"/>
          </w:tcPr>
          <w:p>
            <w:pPr>
              <w:jc w:val="right"/>
              <w:ind w:right="820"/>
              <w:spacing w:after="0"/>
              <w:rPr>
                <w:sz w:val="20"/>
                <w:szCs w:val="20"/>
                <w:color w:val="auto"/>
              </w:rPr>
            </w:pPr>
            <w:r>
              <w:rPr>
                <w:rFonts w:ascii="Arial" w:cs="Arial" w:eastAsia="Arial" w:hAnsi="Arial"/>
                <w:sz w:val="16"/>
                <w:szCs w:val="16"/>
                <w:color w:val="auto"/>
              </w:rPr>
              <w:t>0.62</w:t>
            </w:r>
          </w:p>
        </w:tc>
        <w:tc>
          <w:tcPr>
            <w:tcW w:w="1120" w:type="dxa"/>
            <w:vAlign w:val="bottom"/>
            <w:tcBorders>
              <w:bottom w:val="single" w:sz="8" w:color="CBCEE0"/>
            </w:tcBorders>
            <w:shd w:val="clear" w:color="auto" w:fill="CBCEE0"/>
          </w:tcPr>
          <w:p>
            <w:pPr>
              <w:jc w:val="right"/>
              <w:ind w:right="20"/>
              <w:spacing w:after="0"/>
              <w:rPr>
                <w:sz w:val="20"/>
                <w:szCs w:val="20"/>
                <w:color w:val="auto"/>
              </w:rPr>
            </w:pPr>
            <w:r>
              <w:rPr>
                <w:rFonts w:ascii="Arial" w:cs="Arial" w:eastAsia="Arial" w:hAnsi="Arial"/>
                <w:sz w:val="16"/>
                <w:szCs w:val="16"/>
                <w:color w:val="auto"/>
              </w:rPr>
              <w:t>465,000</w:t>
            </w:r>
          </w:p>
        </w:tc>
      </w:tr>
      <w:tr>
        <w:trPr>
          <w:trHeight w:val="268"/>
        </w:trPr>
        <w:tc>
          <w:tcPr>
            <w:tcW w:w="2900" w:type="dxa"/>
            <w:vAlign w:val="bottom"/>
          </w:tcPr>
          <w:p>
            <w:pPr>
              <w:ind w:left="100"/>
              <w:spacing w:after="0"/>
              <w:rPr>
                <w:sz w:val="20"/>
                <w:szCs w:val="20"/>
                <w:color w:val="auto"/>
              </w:rPr>
            </w:pPr>
            <w:r>
              <w:rPr>
                <w:rFonts w:ascii="Arial" w:cs="Arial" w:eastAsia="Arial" w:hAnsi="Arial"/>
                <w:sz w:val="16"/>
                <w:szCs w:val="16"/>
                <w:color w:val="auto"/>
              </w:rPr>
              <w:t>Daniel Goldstein</w:t>
            </w:r>
          </w:p>
        </w:tc>
        <w:tc>
          <w:tcPr>
            <w:tcW w:w="3120" w:type="dxa"/>
            <w:vAlign w:val="bottom"/>
          </w:tcPr>
          <w:p>
            <w:pPr>
              <w:jc w:val="right"/>
              <w:ind w:right="560"/>
              <w:spacing w:after="0"/>
              <w:rPr>
                <w:sz w:val="20"/>
                <w:szCs w:val="20"/>
                <w:color w:val="auto"/>
              </w:rPr>
            </w:pPr>
            <w:r>
              <w:rPr>
                <w:rFonts w:ascii="Arial" w:cs="Arial" w:eastAsia="Arial" w:hAnsi="Arial"/>
                <w:sz w:val="16"/>
                <w:szCs w:val="16"/>
                <w:color w:val="auto"/>
              </w:rPr>
              <w:t>630,000</w:t>
            </w:r>
          </w:p>
        </w:tc>
        <w:tc>
          <w:tcPr>
            <w:tcW w:w="2040" w:type="dxa"/>
            <w:vAlign w:val="bottom"/>
          </w:tcPr>
          <w:p>
            <w:pPr>
              <w:jc w:val="right"/>
              <w:ind w:right="820"/>
              <w:spacing w:after="0"/>
              <w:rPr>
                <w:sz w:val="20"/>
                <w:szCs w:val="20"/>
                <w:color w:val="auto"/>
              </w:rPr>
            </w:pPr>
            <w:r>
              <w:rPr>
                <w:rFonts w:ascii="Arial" w:cs="Arial" w:eastAsia="Arial" w:hAnsi="Arial"/>
                <w:sz w:val="16"/>
                <w:szCs w:val="16"/>
                <w:color w:val="auto"/>
              </w:rPr>
              <w:t>0.62</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390,600</w:t>
            </w:r>
          </w:p>
        </w:tc>
      </w:tr>
      <w:tr>
        <w:trPr>
          <w:trHeight w:val="56"/>
        </w:trPr>
        <w:tc>
          <w:tcPr>
            <w:tcW w:w="29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304"/>
        </w:trPr>
        <w:tc>
          <w:tcPr>
            <w:tcW w:w="2900" w:type="dxa"/>
            <w:vAlign w:val="bottom"/>
            <w:tcBorders>
              <w:bottom w:val="single" w:sz="8" w:color="CBCEE0"/>
            </w:tcBorders>
            <w:shd w:val="clear" w:color="auto" w:fill="CBCEE0"/>
          </w:tcPr>
          <w:p>
            <w:pPr>
              <w:ind w:left="100"/>
              <w:spacing w:after="0"/>
              <w:rPr>
                <w:sz w:val="20"/>
                <w:szCs w:val="20"/>
                <w:color w:val="auto"/>
              </w:rPr>
            </w:pPr>
            <w:r>
              <w:rPr>
                <w:rFonts w:ascii="Arial" w:cs="Arial" w:eastAsia="Arial" w:hAnsi="Arial"/>
                <w:sz w:val="16"/>
                <w:szCs w:val="16"/>
                <w:color w:val="auto"/>
              </w:rPr>
              <w:t>James Fairweather</w:t>
            </w:r>
          </w:p>
        </w:tc>
        <w:tc>
          <w:tcPr>
            <w:tcW w:w="3120" w:type="dxa"/>
            <w:vAlign w:val="bottom"/>
            <w:tcBorders>
              <w:bottom w:val="single" w:sz="8" w:color="CBCEE0"/>
            </w:tcBorders>
            <w:shd w:val="clear" w:color="auto" w:fill="CBCEE0"/>
          </w:tcPr>
          <w:p>
            <w:pPr>
              <w:jc w:val="right"/>
              <w:ind w:right="560"/>
              <w:spacing w:after="0"/>
              <w:rPr>
                <w:sz w:val="20"/>
                <w:szCs w:val="20"/>
                <w:color w:val="auto"/>
              </w:rPr>
            </w:pPr>
            <w:r>
              <w:rPr>
                <w:rFonts w:ascii="Arial" w:cs="Arial" w:eastAsia="Arial" w:hAnsi="Arial"/>
                <w:sz w:val="16"/>
                <w:szCs w:val="16"/>
                <w:color w:val="auto"/>
              </w:rPr>
              <w:t>345,000</w:t>
            </w:r>
          </w:p>
        </w:tc>
        <w:tc>
          <w:tcPr>
            <w:tcW w:w="2040" w:type="dxa"/>
            <w:vAlign w:val="bottom"/>
            <w:tcBorders>
              <w:bottom w:val="single" w:sz="8" w:color="CBCEE0"/>
            </w:tcBorders>
            <w:shd w:val="clear" w:color="auto" w:fill="CBCEE0"/>
          </w:tcPr>
          <w:p>
            <w:pPr>
              <w:jc w:val="right"/>
              <w:ind w:right="820"/>
              <w:spacing w:after="0"/>
              <w:rPr>
                <w:sz w:val="20"/>
                <w:szCs w:val="20"/>
                <w:color w:val="auto"/>
              </w:rPr>
            </w:pPr>
            <w:r>
              <w:rPr>
                <w:rFonts w:ascii="Arial" w:cs="Arial" w:eastAsia="Arial" w:hAnsi="Arial"/>
                <w:sz w:val="16"/>
                <w:szCs w:val="16"/>
                <w:color w:val="auto"/>
              </w:rPr>
              <w:t>0.62</w:t>
            </w:r>
          </w:p>
        </w:tc>
        <w:tc>
          <w:tcPr>
            <w:tcW w:w="1120" w:type="dxa"/>
            <w:vAlign w:val="bottom"/>
            <w:tcBorders>
              <w:bottom w:val="single" w:sz="8" w:color="CBCEE0"/>
            </w:tcBorders>
            <w:shd w:val="clear" w:color="auto" w:fill="CBCEE0"/>
          </w:tcPr>
          <w:p>
            <w:pPr>
              <w:jc w:val="right"/>
              <w:ind w:right="20"/>
              <w:spacing w:after="0"/>
              <w:rPr>
                <w:sz w:val="20"/>
                <w:szCs w:val="20"/>
                <w:color w:val="auto"/>
              </w:rPr>
            </w:pPr>
            <w:r>
              <w:rPr>
                <w:rFonts w:ascii="Arial" w:cs="Arial" w:eastAsia="Arial" w:hAnsi="Arial"/>
                <w:sz w:val="16"/>
                <w:szCs w:val="16"/>
                <w:color w:val="auto"/>
              </w:rPr>
              <w:t>213,900</w:t>
            </w:r>
          </w:p>
        </w:tc>
      </w:tr>
      <w:tr>
        <w:trPr>
          <w:trHeight w:val="268"/>
        </w:trPr>
        <w:tc>
          <w:tcPr>
            <w:tcW w:w="2900" w:type="dxa"/>
            <w:vAlign w:val="bottom"/>
          </w:tcPr>
          <w:p>
            <w:pPr>
              <w:ind w:left="100"/>
              <w:spacing w:after="0"/>
              <w:rPr>
                <w:sz w:val="20"/>
                <w:szCs w:val="20"/>
                <w:color w:val="auto"/>
              </w:rPr>
            </w:pPr>
            <w:r>
              <w:rPr>
                <w:rFonts w:ascii="Arial" w:cs="Arial" w:eastAsia="Arial" w:hAnsi="Arial"/>
                <w:sz w:val="16"/>
                <w:szCs w:val="16"/>
                <w:color w:val="auto"/>
              </w:rPr>
              <w:t>Marc Lautenbach</w:t>
            </w:r>
          </w:p>
        </w:tc>
        <w:tc>
          <w:tcPr>
            <w:tcW w:w="3120" w:type="dxa"/>
            <w:vAlign w:val="bottom"/>
          </w:tcPr>
          <w:p>
            <w:pPr>
              <w:jc w:val="right"/>
              <w:ind w:right="560"/>
              <w:spacing w:after="0"/>
              <w:rPr>
                <w:sz w:val="20"/>
                <w:szCs w:val="20"/>
                <w:color w:val="auto"/>
              </w:rPr>
            </w:pPr>
            <w:r>
              <w:rPr>
                <w:rFonts w:ascii="Arial" w:cs="Arial" w:eastAsia="Arial" w:hAnsi="Arial"/>
                <w:sz w:val="16"/>
                <w:szCs w:val="16"/>
                <w:color w:val="auto"/>
              </w:rPr>
              <w:t>4,230,000</w:t>
            </w:r>
          </w:p>
        </w:tc>
        <w:tc>
          <w:tcPr>
            <w:tcW w:w="2040" w:type="dxa"/>
            <w:vAlign w:val="bottom"/>
          </w:tcPr>
          <w:p>
            <w:pPr>
              <w:jc w:val="right"/>
              <w:ind w:right="820"/>
              <w:spacing w:after="0"/>
              <w:rPr>
                <w:sz w:val="20"/>
                <w:szCs w:val="20"/>
                <w:color w:val="auto"/>
              </w:rPr>
            </w:pPr>
            <w:r>
              <w:rPr>
                <w:rFonts w:ascii="Arial" w:cs="Arial" w:eastAsia="Arial" w:hAnsi="Arial"/>
                <w:sz w:val="16"/>
                <w:szCs w:val="16"/>
                <w:color w:val="auto"/>
              </w:rPr>
              <w:t>0.62</w:t>
            </w:r>
          </w:p>
        </w:tc>
        <w:tc>
          <w:tcPr>
            <w:tcW w:w="1120" w:type="dxa"/>
            <w:vAlign w:val="bottom"/>
          </w:tcPr>
          <w:p>
            <w:pPr>
              <w:jc w:val="right"/>
              <w:spacing w:after="0"/>
              <w:rPr>
                <w:sz w:val="20"/>
                <w:szCs w:val="20"/>
                <w:color w:val="auto"/>
              </w:rPr>
            </w:pPr>
            <w:r>
              <w:rPr>
                <w:rFonts w:ascii="Arial" w:cs="Arial" w:eastAsia="Arial" w:hAnsi="Arial"/>
                <w:sz w:val="16"/>
                <w:szCs w:val="16"/>
                <w:color w:val="auto"/>
              </w:rPr>
              <w:t>2,622,600</w:t>
            </w:r>
          </w:p>
        </w:tc>
      </w:tr>
    </w:tbl>
    <w:p>
      <w:pPr>
        <w:spacing w:after="0" w:line="240"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following table compares the actual pay-outs for cycles ending in 2023 and 2022:</w:t>
      </w:r>
    </w:p>
    <w:p>
      <w:pPr>
        <w:spacing w:after="0" w:line="221"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2480" w:type="dxa"/>
            <w:vAlign w:val="bottom"/>
          </w:tcPr>
          <w:p>
            <w:pPr>
              <w:jc w:val="center"/>
              <w:ind w:left="202"/>
              <w:spacing w:after="0"/>
              <w:rPr>
                <w:sz w:val="20"/>
                <w:szCs w:val="20"/>
                <w:color w:val="auto"/>
              </w:rPr>
            </w:pPr>
            <w:r>
              <w:rPr>
                <w:rFonts w:ascii="Arial" w:cs="Arial" w:eastAsia="Arial" w:hAnsi="Arial"/>
                <w:sz w:val="14"/>
                <w:szCs w:val="14"/>
                <w:b w:val="1"/>
                <w:bCs w:val="1"/>
                <w:color w:val="auto"/>
              </w:rPr>
              <w:t>2023 Actual Unit Multiplier</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2022 Actual Unit Multiplier</w:t>
            </w:r>
          </w:p>
        </w:tc>
        <w:tc>
          <w:tcPr>
            <w:tcW w:w="1820" w:type="dxa"/>
            <w:vAlign w:val="bottom"/>
          </w:tcPr>
          <w:p>
            <w:pPr>
              <w:spacing w:after="0"/>
              <w:rPr>
                <w:sz w:val="14"/>
                <w:szCs w:val="14"/>
                <w:color w:val="auto"/>
              </w:rPr>
            </w:pPr>
          </w:p>
        </w:tc>
      </w:tr>
      <w:tr>
        <w:trPr>
          <w:trHeight w:val="162"/>
        </w:trPr>
        <w:tc>
          <w:tcPr>
            <w:tcW w:w="2680" w:type="dxa"/>
            <w:vAlign w:val="bottom"/>
          </w:tcPr>
          <w:p>
            <w:pPr>
              <w:spacing w:after="0"/>
              <w:rPr>
                <w:sz w:val="14"/>
                <w:szCs w:val="14"/>
                <w:color w:val="auto"/>
              </w:rPr>
            </w:pPr>
          </w:p>
        </w:tc>
        <w:tc>
          <w:tcPr>
            <w:tcW w:w="2480" w:type="dxa"/>
            <w:vAlign w:val="bottom"/>
          </w:tcPr>
          <w:p>
            <w:pPr>
              <w:jc w:val="center"/>
              <w:ind w:left="182"/>
              <w:spacing w:after="0"/>
              <w:rPr>
                <w:sz w:val="20"/>
                <w:szCs w:val="20"/>
                <w:color w:val="auto"/>
              </w:rPr>
            </w:pPr>
            <w:r>
              <w:rPr>
                <w:rFonts w:ascii="Arial" w:cs="Arial" w:eastAsia="Arial" w:hAnsi="Arial"/>
                <w:sz w:val="14"/>
                <w:szCs w:val="14"/>
                <w:b w:val="1"/>
                <w:bCs w:val="1"/>
                <w:color w:val="auto"/>
              </w:rPr>
              <w:t>Value (2021 – 2023</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Value (2020 – 2022</w:t>
            </w:r>
          </w:p>
        </w:tc>
        <w:tc>
          <w:tcPr>
            <w:tcW w:w="1820" w:type="dxa"/>
            <w:vAlign w:val="bottom"/>
          </w:tcPr>
          <w:p>
            <w:pPr>
              <w:jc w:val="center"/>
              <w:ind w:left="85"/>
              <w:spacing w:after="0"/>
              <w:rPr>
                <w:sz w:val="20"/>
                <w:szCs w:val="20"/>
                <w:color w:val="auto"/>
              </w:rPr>
            </w:pPr>
            <w:r>
              <w:rPr>
                <w:rFonts w:ascii="Arial" w:cs="Arial" w:eastAsia="Arial" w:hAnsi="Arial"/>
                <w:sz w:val="14"/>
                <w:szCs w:val="14"/>
                <w:b w:val="1"/>
                <w:bCs w:val="1"/>
                <w:color w:val="auto"/>
              </w:rPr>
              <w:t>Total Multiplier Change</w:t>
            </w:r>
          </w:p>
        </w:tc>
      </w:tr>
      <w:tr>
        <w:trPr>
          <w:trHeight w:val="196"/>
        </w:trPr>
        <w:tc>
          <w:tcPr>
            <w:tcW w:w="2680" w:type="dxa"/>
            <w:vAlign w:val="bottom"/>
          </w:tcPr>
          <w:p>
            <w:pPr>
              <w:spacing w:after="0"/>
              <w:rPr>
                <w:sz w:val="20"/>
                <w:szCs w:val="20"/>
                <w:color w:val="auto"/>
              </w:rPr>
            </w:pPr>
            <w:r>
              <w:rPr>
                <w:rFonts w:ascii="Arial" w:cs="Arial" w:eastAsia="Arial" w:hAnsi="Arial"/>
                <w:sz w:val="14"/>
                <w:szCs w:val="14"/>
                <w:b w:val="1"/>
                <w:bCs w:val="1"/>
                <w:color w:val="auto"/>
              </w:rPr>
              <w:t>Long-Term Incentive</w:t>
            </w:r>
          </w:p>
        </w:tc>
        <w:tc>
          <w:tcPr>
            <w:tcW w:w="2480" w:type="dxa"/>
            <w:vAlign w:val="bottom"/>
          </w:tcPr>
          <w:p>
            <w:pPr>
              <w:jc w:val="center"/>
              <w:ind w:left="242"/>
              <w:spacing w:after="0"/>
              <w:rPr>
                <w:sz w:val="20"/>
                <w:szCs w:val="20"/>
                <w:color w:val="auto"/>
              </w:rPr>
            </w:pPr>
            <w:r>
              <w:rPr>
                <w:rFonts w:ascii="Arial" w:cs="Arial" w:eastAsia="Arial" w:hAnsi="Arial"/>
                <w:sz w:val="14"/>
                <w:szCs w:val="14"/>
                <w:b w:val="1"/>
                <w:bCs w:val="1"/>
                <w:color w:val="auto"/>
              </w:rPr>
              <w:t>CIU cycle)</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CIU cycle)</w:t>
            </w:r>
          </w:p>
        </w:tc>
        <w:tc>
          <w:tcPr>
            <w:tcW w:w="1820" w:type="dxa"/>
            <w:vAlign w:val="bottom"/>
          </w:tcPr>
          <w:p>
            <w:pPr>
              <w:jc w:val="center"/>
              <w:ind w:left="105"/>
              <w:spacing w:after="0"/>
              <w:rPr>
                <w:sz w:val="20"/>
                <w:szCs w:val="20"/>
                <w:color w:val="auto"/>
              </w:rPr>
            </w:pPr>
            <w:r>
              <w:rPr>
                <w:rFonts w:ascii="Arial" w:cs="Arial" w:eastAsia="Arial" w:hAnsi="Arial"/>
                <w:sz w:val="14"/>
                <w:szCs w:val="14"/>
                <w:b w:val="1"/>
                <w:bCs w:val="1"/>
                <w:color w:val="auto"/>
              </w:rPr>
              <w:t>2023 vs. 2022</w:t>
            </w:r>
          </w:p>
        </w:tc>
      </w:tr>
      <w:tr>
        <w:trPr>
          <w:trHeight w:val="56"/>
        </w:trPr>
        <w:tc>
          <w:tcPr>
            <w:tcW w:w="2680" w:type="dxa"/>
            <w:vAlign w:val="bottom"/>
            <w:tcBorders>
              <w:bottom w:val="single" w:sz="8" w:color="0072AF"/>
            </w:tcBorders>
          </w:tcPr>
          <w:p>
            <w:pPr>
              <w:spacing w:after="0"/>
              <w:rPr>
                <w:sz w:val="4"/>
                <w:szCs w:val="4"/>
                <w:color w:val="auto"/>
              </w:rPr>
            </w:pPr>
          </w:p>
        </w:tc>
        <w:tc>
          <w:tcPr>
            <w:tcW w:w="2480" w:type="dxa"/>
            <w:vAlign w:val="bottom"/>
            <w:tcBorders>
              <w:bottom w:val="single" w:sz="8" w:color="0072AF"/>
            </w:tcBorders>
          </w:tcPr>
          <w:p>
            <w:pPr>
              <w:spacing w:after="0"/>
              <w:rPr>
                <w:sz w:val="4"/>
                <w:szCs w:val="4"/>
                <w:color w:val="auto"/>
              </w:rPr>
            </w:pPr>
          </w:p>
        </w:tc>
        <w:tc>
          <w:tcPr>
            <w:tcW w:w="2200" w:type="dxa"/>
            <w:vAlign w:val="bottom"/>
            <w:tcBorders>
              <w:bottom w:val="single" w:sz="8" w:color="0072AF"/>
            </w:tcBorders>
          </w:tcPr>
          <w:p>
            <w:pPr>
              <w:spacing w:after="0"/>
              <w:rPr>
                <w:sz w:val="4"/>
                <w:szCs w:val="4"/>
                <w:color w:val="auto"/>
              </w:rPr>
            </w:pPr>
          </w:p>
        </w:tc>
        <w:tc>
          <w:tcPr>
            <w:tcW w:w="1820" w:type="dxa"/>
            <w:vAlign w:val="bottom"/>
            <w:tcBorders>
              <w:bottom w:val="single" w:sz="8" w:color="0072AF"/>
            </w:tcBorders>
          </w:tcPr>
          <w:p>
            <w:pPr>
              <w:spacing w:after="0"/>
              <w:rPr>
                <w:sz w:val="4"/>
                <w:szCs w:val="4"/>
                <w:color w:val="auto"/>
              </w:rPr>
            </w:pPr>
          </w:p>
        </w:tc>
      </w:tr>
      <w:tr>
        <w:trPr>
          <w:trHeight w:val="311"/>
        </w:trPr>
        <w:tc>
          <w:tcPr>
            <w:tcW w:w="2680" w:type="dxa"/>
            <w:vAlign w:val="bottom"/>
            <w:tcBorders>
              <w:bottom w:val="single" w:sz="8" w:color="CBCEE0"/>
            </w:tcBorders>
            <w:shd w:val="clear" w:color="auto" w:fill="CBCEE0"/>
          </w:tcPr>
          <w:p>
            <w:pPr>
              <w:ind w:left="100"/>
              <w:spacing w:after="0"/>
              <w:rPr>
                <w:sz w:val="20"/>
                <w:szCs w:val="20"/>
                <w:color w:val="auto"/>
              </w:rPr>
            </w:pPr>
            <w:r>
              <w:rPr>
                <w:rFonts w:ascii="Arial" w:cs="Arial" w:eastAsia="Arial" w:hAnsi="Arial"/>
                <w:sz w:val="16"/>
                <w:szCs w:val="16"/>
                <w:color w:val="auto"/>
              </w:rPr>
              <w:t>Adjusted Earnings per Share</w:t>
            </w:r>
          </w:p>
        </w:tc>
        <w:tc>
          <w:tcPr>
            <w:tcW w:w="2480" w:type="dxa"/>
            <w:vAlign w:val="bottom"/>
            <w:tcBorders>
              <w:bottom w:val="single" w:sz="8" w:color="CBCEE0"/>
            </w:tcBorders>
            <w:shd w:val="clear" w:color="auto" w:fill="CBCEE0"/>
          </w:tcPr>
          <w:p>
            <w:pPr>
              <w:jc w:val="center"/>
              <w:ind w:left="242"/>
              <w:spacing w:after="0"/>
              <w:rPr>
                <w:sz w:val="20"/>
                <w:szCs w:val="20"/>
                <w:color w:val="auto"/>
              </w:rPr>
            </w:pPr>
            <w:r>
              <w:rPr>
                <w:rFonts w:ascii="Arial" w:cs="Arial" w:eastAsia="Arial" w:hAnsi="Arial"/>
                <w:sz w:val="16"/>
                <w:szCs w:val="16"/>
                <w:color w:val="auto"/>
              </w:rPr>
              <w:t>0.27</w:t>
            </w:r>
          </w:p>
        </w:tc>
        <w:tc>
          <w:tcPr>
            <w:tcW w:w="2200" w:type="dxa"/>
            <w:vAlign w:val="bottom"/>
            <w:tcBorders>
              <w:bottom w:val="single" w:sz="8" w:color="CBCEE0"/>
            </w:tcBorders>
            <w:shd w:val="clear" w:color="auto" w:fill="CBCEE0"/>
          </w:tcPr>
          <w:p>
            <w:pPr>
              <w:jc w:val="right"/>
              <w:ind w:right="842"/>
              <w:spacing w:after="0"/>
              <w:rPr>
                <w:sz w:val="20"/>
                <w:szCs w:val="20"/>
                <w:color w:val="auto"/>
              </w:rPr>
            </w:pPr>
            <w:r>
              <w:rPr>
                <w:rFonts w:ascii="Arial" w:cs="Arial" w:eastAsia="Arial" w:hAnsi="Arial"/>
                <w:sz w:val="16"/>
                <w:szCs w:val="16"/>
                <w:color w:val="auto"/>
              </w:rPr>
              <w:t>0.17</w:t>
            </w:r>
          </w:p>
        </w:tc>
        <w:tc>
          <w:tcPr>
            <w:tcW w:w="1820" w:type="dxa"/>
            <w:vAlign w:val="bottom"/>
            <w:tcBorders>
              <w:bottom w:val="single" w:sz="8" w:color="CBCEE0"/>
            </w:tcBorders>
            <w:shd w:val="clear" w:color="auto" w:fill="CBCEE0"/>
          </w:tcPr>
          <w:p>
            <w:pPr>
              <w:spacing w:after="0"/>
              <w:rPr>
                <w:sz w:val="24"/>
                <w:szCs w:val="24"/>
                <w:color w:val="auto"/>
              </w:rPr>
            </w:pPr>
          </w:p>
        </w:tc>
      </w:tr>
      <w:tr>
        <w:trPr>
          <w:trHeight w:val="268"/>
        </w:trPr>
        <w:tc>
          <w:tcPr>
            <w:tcW w:w="2680" w:type="dxa"/>
            <w:vAlign w:val="bottom"/>
          </w:tcPr>
          <w:p>
            <w:pPr>
              <w:ind w:left="100"/>
              <w:spacing w:after="0"/>
              <w:rPr>
                <w:sz w:val="20"/>
                <w:szCs w:val="20"/>
                <w:color w:val="auto"/>
              </w:rPr>
            </w:pPr>
            <w:r>
              <w:rPr>
                <w:rFonts w:ascii="Arial" w:cs="Arial" w:eastAsia="Arial" w:hAnsi="Arial"/>
                <w:sz w:val="16"/>
                <w:szCs w:val="16"/>
                <w:color w:val="auto"/>
              </w:rPr>
              <w:t>Adjusted Free Cash Flow</w:t>
            </w:r>
          </w:p>
        </w:tc>
        <w:tc>
          <w:tcPr>
            <w:tcW w:w="2480" w:type="dxa"/>
            <w:vAlign w:val="bottom"/>
          </w:tcPr>
          <w:p>
            <w:pPr>
              <w:jc w:val="center"/>
              <w:ind w:left="242"/>
              <w:spacing w:after="0"/>
              <w:rPr>
                <w:sz w:val="20"/>
                <w:szCs w:val="20"/>
                <w:color w:val="auto"/>
              </w:rPr>
            </w:pPr>
            <w:r>
              <w:rPr>
                <w:rFonts w:ascii="Arial" w:cs="Arial" w:eastAsia="Arial" w:hAnsi="Arial"/>
                <w:sz w:val="16"/>
                <w:szCs w:val="16"/>
                <w:color w:val="auto"/>
              </w:rPr>
              <w:t>0.35</w:t>
            </w:r>
          </w:p>
        </w:tc>
        <w:tc>
          <w:tcPr>
            <w:tcW w:w="2200" w:type="dxa"/>
            <w:vAlign w:val="bottom"/>
          </w:tcPr>
          <w:p>
            <w:pPr>
              <w:jc w:val="right"/>
              <w:ind w:right="842"/>
              <w:spacing w:after="0"/>
              <w:rPr>
                <w:sz w:val="20"/>
                <w:szCs w:val="20"/>
                <w:color w:val="auto"/>
              </w:rPr>
            </w:pPr>
            <w:r>
              <w:rPr>
                <w:rFonts w:ascii="Arial" w:cs="Arial" w:eastAsia="Arial" w:hAnsi="Arial"/>
                <w:sz w:val="16"/>
                <w:szCs w:val="16"/>
                <w:color w:val="auto"/>
              </w:rPr>
              <w:t>0.40</w:t>
            </w:r>
          </w:p>
        </w:tc>
        <w:tc>
          <w:tcPr>
            <w:tcW w:w="1820" w:type="dxa"/>
            <w:vAlign w:val="bottom"/>
          </w:tcPr>
          <w:p>
            <w:pPr>
              <w:spacing w:after="0"/>
              <w:rPr>
                <w:sz w:val="23"/>
                <w:szCs w:val="23"/>
                <w:color w:val="auto"/>
              </w:rPr>
            </w:pPr>
          </w:p>
        </w:tc>
      </w:tr>
      <w:tr>
        <w:trPr>
          <w:trHeight w:val="56"/>
        </w:trPr>
        <w:tc>
          <w:tcPr>
            <w:tcW w:w="26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820" w:type="dxa"/>
            <w:vAlign w:val="bottom"/>
          </w:tcPr>
          <w:p>
            <w:pPr>
              <w:spacing w:after="0"/>
              <w:rPr>
                <w:sz w:val="4"/>
                <w:szCs w:val="4"/>
                <w:color w:val="auto"/>
              </w:rPr>
            </w:pPr>
          </w:p>
        </w:tc>
      </w:tr>
      <w:tr>
        <w:trPr>
          <w:trHeight w:val="304"/>
        </w:trPr>
        <w:tc>
          <w:tcPr>
            <w:tcW w:w="2680" w:type="dxa"/>
            <w:vAlign w:val="bottom"/>
            <w:tcBorders>
              <w:bottom w:val="single" w:sz="8" w:color="CBCEE0"/>
            </w:tcBorders>
            <w:shd w:val="clear" w:color="auto" w:fill="CBCEE0"/>
          </w:tcPr>
          <w:p>
            <w:pPr>
              <w:ind w:left="100"/>
              <w:spacing w:after="0"/>
              <w:rPr>
                <w:sz w:val="20"/>
                <w:szCs w:val="20"/>
                <w:color w:val="auto"/>
              </w:rPr>
            </w:pPr>
            <w:r>
              <w:rPr>
                <w:rFonts w:ascii="Arial" w:cs="Arial" w:eastAsia="Arial" w:hAnsi="Arial"/>
                <w:sz w:val="16"/>
                <w:szCs w:val="16"/>
                <w:color w:val="auto"/>
              </w:rPr>
              <w:t>TSR Modifier Adjustment</w:t>
            </w:r>
          </w:p>
        </w:tc>
        <w:tc>
          <w:tcPr>
            <w:tcW w:w="2480" w:type="dxa"/>
            <w:vAlign w:val="bottom"/>
            <w:tcBorders>
              <w:bottom w:val="single" w:sz="8" w:color="CBCEE0"/>
            </w:tcBorders>
            <w:shd w:val="clear" w:color="auto" w:fill="CBCEE0"/>
          </w:tcPr>
          <w:p>
            <w:pPr>
              <w:jc w:val="center"/>
              <w:ind w:left="242"/>
              <w:spacing w:after="0"/>
              <w:rPr>
                <w:sz w:val="20"/>
                <w:szCs w:val="20"/>
                <w:color w:val="auto"/>
              </w:rPr>
            </w:pPr>
            <w:r>
              <w:rPr>
                <w:rFonts w:ascii="Arial" w:cs="Arial" w:eastAsia="Arial" w:hAnsi="Arial"/>
                <w:sz w:val="16"/>
                <w:szCs w:val="16"/>
                <w:color w:val="auto"/>
              </w:rPr>
              <w:t>0.00</w:t>
            </w:r>
          </w:p>
        </w:tc>
        <w:tc>
          <w:tcPr>
            <w:tcW w:w="2200" w:type="dxa"/>
            <w:vAlign w:val="bottom"/>
            <w:tcBorders>
              <w:bottom w:val="single" w:sz="8" w:color="CBCEE0"/>
            </w:tcBorders>
            <w:shd w:val="clear" w:color="auto" w:fill="CBCEE0"/>
          </w:tcPr>
          <w:p>
            <w:pPr>
              <w:jc w:val="right"/>
              <w:ind w:right="842"/>
              <w:spacing w:after="0"/>
              <w:rPr>
                <w:sz w:val="20"/>
                <w:szCs w:val="20"/>
                <w:color w:val="auto"/>
              </w:rPr>
            </w:pPr>
            <w:r>
              <w:rPr>
                <w:rFonts w:ascii="Arial" w:cs="Arial" w:eastAsia="Arial" w:hAnsi="Arial"/>
                <w:sz w:val="16"/>
                <w:szCs w:val="16"/>
                <w:color w:val="auto"/>
              </w:rPr>
              <w:t>0.14</w:t>
            </w:r>
          </w:p>
        </w:tc>
        <w:tc>
          <w:tcPr>
            <w:tcW w:w="1820" w:type="dxa"/>
            <w:vAlign w:val="bottom"/>
            <w:tcBorders>
              <w:bottom w:val="single" w:sz="8" w:color="CBCEE0"/>
            </w:tcBorders>
            <w:shd w:val="clear" w:color="auto" w:fill="CBCEE0"/>
          </w:tcPr>
          <w:p>
            <w:pPr>
              <w:spacing w:after="0"/>
              <w:rPr>
                <w:sz w:val="24"/>
                <w:szCs w:val="24"/>
                <w:color w:val="auto"/>
              </w:rPr>
            </w:pPr>
          </w:p>
        </w:tc>
      </w:tr>
      <w:tr>
        <w:trPr>
          <w:trHeight w:val="268"/>
        </w:trPr>
        <w:tc>
          <w:tcPr>
            <w:tcW w:w="2680" w:type="dxa"/>
            <w:vAlign w:val="bottom"/>
          </w:tcPr>
          <w:p>
            <w:pPr>
              <w:ind w:left="100"/>
              <w:spacing w:after="0"/>
              <w:rPr>
                <w:sz w:val="20"/>
                <w:szCs w:val="20"/>
                <w:color w:val="auto"/>
              </w:rPr>
            </w:pPr>
            <w:r>
              <w:rPr>
                <w:rFonts w:ascii="Arial" w:cs="Arial" w:eastAsia="Arial" w:hAnsi="Arial"/>
                <w:sz w:val="16"/>
                <w:szCs w:val="16"/>
                <w:color w:val="auto"/>
              </w:rPr>
              <w:t>Total Multiplier/Pay-out Value</w:t>
            </w:r>
          </w:p>
        </w:tc>
        <w:tc>
          <w:tcPr>
            <w:tcW w:w="2480" w:type="dxa"/>
            <w:vAlign w:val="bottom"/>
          </w:tcPr>
          <w:p>
            <w:pPr>
              <w:jc w:val="center"/>
              <w:ind w:left="242"/>
              <w:spacing w:after="0"/>
              <w:rPr>
                <w:sz w:val="20"/>
                <w:szCs w:val="20"/>
                <w:color w:val="auto"/>
              </w:rPr>
            </w:pPr>
            <w:r>
              <w:rPr>
                <w:rFonts w:ascii="Arial" w:cs="Arial" w:eastAsia="Arial" w:hAnsi="Arial"/>
                <w:sz w:val="16"/>
                <w:szCs w:val="16"/>
                <w:color w:val="auto"/>
              </w:rPr>
              <w:t>0.62</w:t>
            </w:r>
          </w:p>
        </w:tc>
        <w:tc>
          <w:tcPr>
            <w:tcW w:w="2200" w:type="dxa"/>
            <w:vAlign w:val="bottom"/>
          </w:tcPr>
          <w:p>
            <w:pPr>
              <w:jc w:val="right"/>
              <w:ind w:right="842"/>
              <w:spacing w:after="0"/>
              <w:rPr>
                <w:sz w:val="20"/>
                <w:szCs w:val="20"/>
                <w:color w:val="auto"/>
              </w:rPr>
            </w:pPr>
            <w:r>
              <w:rPr>
                <w:rFonts w:ascii="Arial" w:cs="Arial" w:eastAsia="Arial" w:hAnsi="Arial"/>
                <w:sz w:val="16"/>
                <w:szCs w:val="16"/>
                <w:color w:val="auto"/>
              </w:rPr>
              <w:t>0.71</w:t>
            </w:r>
          </w:p>
        </w:tc>
        <w:tc>
          <w:tcPr>
            <w:tcW w:w="1820" w:type="dxa"/>
            <w:vAlign w:val="bottom"/>
          </w:tcPr>
          <w:p>
            <w:pPr>
              <w:spacing w:after="0"/>
              <w:rPr>
                <w:sz w:val="23"/>
                <w:szCs w:val="23"/>
                <w:color w:val="auto"/>
              </w:rPr>
            </w:pPr>
          </w:p>
        </w:tc>
      </w:tr>
      <w:tr>
        <w:trPr>
          <w:trHeight w:val="56"/>
        </w:trPr>
        <w:tc>
          <w:tcPr>
            <w:tcW w:w="26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820" w:type="dxa"/>
            <w:vAlign w:val="bottom"/>
          </w:tcPr>
          <w:p>
            <w:pPr>
              <w:spacing w:after="0"/>
              <w:rPr>
                <w:sz w:val="4"/>
                <w:szCs w:val="4"/>
                <w:color w:val="auto"/>
              </w:rPr>
            </w:pPr>
          </w:p>
        </w:tc>
      </w:tr>
      <w:tr>
        <w:trPr>
          <w:trHeight w:val="304"/>
        </w:trPr>
        <w:tc>
          <w:tcPr>
            <w:tcW w:w="2680" w:type="dxa"/>
            <w:vAlign w:val="bottom"/>
            <w:tcBorders>
              <w:bottom w:val="single" w:sz="8" w:color="CBCEE0"/>
            </w:tcBorders>
            <w:shd w:val="clear" w:color="auto" w:fill="CBCEE0"/>
          </w:tcPr>
          <w:p>
            <w:pPr>
              <w:ind w:left="100"/>
              <w:spacing w:after="0"/>
              <w:rPr>
                <w:sz w:val="20"/>
                <w:szCs w:val="20"/>
                <w:color w:val="auto"/>
              </w:rPr>
            </w:pPr>
            <w:r>
              <w:rPr>
                <w:rFonts w:ascii="Arial" w:cs="Arial" w:eastAsia="Arial" w:hAnsi="Arial"/>
                <w:sz w:val="16"/>
                <w:szCs w:val="16"/>
                <w:color w:val="auto"/>
              </w:rPr>
              <w:t>Downward Adjustment</w:t>
            </w:r>
          </w:p>
        </w:tc>
        <w:tc>
          <w:tcPr>
            <w:tcW w:w="2480" w:type="dxa"/>
            <w:vAlign w:val="bottom"/>
            <w:tcBorders>
              <w:bottom w:val="single" w:sz="8" w:color="CBCEE0"/>
            </w:tcBorders>
            <w:shd w:val="clear" w:color="auto" w:fill="CBCEE0"/>
          </w:tcPr>
          <w:p>
            <w:pPr>
              <w:jc w:val="center"/>
              <w:ind w:left="242"/>
              <w:spacing w:after="0"/>
              <w:rPr>
                <w:sz w:val="20"/>
                <w:szCs w:val="20"/>
                <w:color w:val="auto"/>
              </w:rPr>
            </w:pPr>
            <w:r>
              <w:rPr>
                <w:rFonts w:ascii="Arial" w:cs="Arial" w:eastAsia="Arial" w:hAnsi="Arial"/>
                <w:sz w:val="16"/>
                <w:szCs w:val="16"/>
                <w:color w:val="auto"/>
              </w:rPr>
              <w:t>n/a</w:t>
            </w:r>
          </w:p>
        </w:tc>
        <w:tc>
          <w:tcPr>
            <w:tcW w:w="2200" w:type="dxa"/>
            <w:vAlign w:val="bottom"/>
            <w:tcBorders>
              <w:bottom w:val="single" w:sz="8" w:color="CBCEE0"/>
            </w:tcBorders>
            <w:shd w:val="clear" w:color="auto" w:fill="CBCEE0"/>
          </w:tcPr>
          <w:p>
            <w:pPr>
              <w:jc w:val="right"/>
              <w:ind w:right="802"/>
              <w:spacing w:after="0"/>
              <w:rPr>
                <w:sz w:val="20"/>
                <w:szCs w:val="20"/>
                <w:color w:val="auto"/>
              </w:rPr>
            </w:pPr>
            <w:r>
              <w:rPr>
                <w:rFonts w:ascii="Arial" w:cs="Arial" w:eastAsia="Arial" w:hAnsi="Arial"/>
                <w:sz w:val="16"/>
                <w:szCs w:val="16"/>
                <w:color w:val="auto"/>
              </w:rPr>
              <w:t>(0.07)</w:t>
            </w:r>
          </w:p>
        </w:tc>
        <w:tc>
          <w:tcPr>
            <w:tcW w:w="1820" w:type="dxa"/>
            <w:vAlign w:val="bottom"/>
            <w:tcBorders>
              <w:bottom w:val="single" w:sz="8" w:color="CBCEE0"/>
            </w:tcBorders>
            <w:shd w:val="clear" w:color="auto" w:fill="CBCEE0"/>
          </w:tcPr>
          <w:p>
            <w:pPr>
              <w:spacing w:after="0"/>
              <w:rPr>
                <w:sz w:val="24"/>
                <w:szCs w:val="24"/>
                <w:color w:val="auto"/>
              </w:rPr>
            </w:pPr>
          </w:p>
        </w:tc>
      </w:tr>
      <w:tr>
        <w:trPr>
          <w:trHeight w:val="268"/>
        </w:trPr>
        <w:tc>
          <w:tcPr>
            <w:tcW w:w="2680" w:type="dxa"/>
            <w:vAlign w:val="bottom"/>
          </w:tcPr>
          <w:p>
            <w:pPr>
              <w:ind w:left="100"/>
              <w:spacing w:after="0"/>
              <w:rPr>
                <w:sz w:val="20"/>
                <w:szCs w:val="20"/>
                <w:color w:val="auto"/>
              </w:rPr>
            </w:pPr>
            <w:r>
              <w:rPr>
                <w:rFonts w:ascii="Arial" w:cs="Arial" w:eastAsia="Arial" w:hAnsi="Arial"/>
                <w:sz w:val="16"/>
                <w:szCs w:val="16"/>
                <w:color w:val="auto"/>
              </w:rPr>
              <w:t>Total Multiplier/Pay-out Value</w:t>
            </w:r>
          </w:p>
        </w:tc>
        <w:tc>
          <w:tcPr>
            <w:tcW w:w="2480" w:type="dxa"/>
            <w:vAlign w:val="bottom"/>
          </w:tcPr>
          <w:p>
            <w:pPr>
              <w:jc w:val="center"/>
              <w:ind w:left="242"/>
              <w:spacing w:after="0"/>
              <w:rPr>
                <w:sz w:val="20"/>
                <w:szCs w:val="20"/>
                <w:color w:val="auto"/>
              </w:rPr>
            </w:pPr>
            <w:r>
              <w:rPr>
                <w:rFonts w:ascii="Arial" w:cs="Arial" w:eastAsia="Arial" w:hAnsi="Arial"/>
                <w:sz w:val="16"/>
                <w:szCs w:val="16"/>
                <w:color w:val="auto"/>
              </w:rPr>
              <w:t>0.62</w:t>
            </w:r>
          </w:p>
        </w:tc>
        <w:tc>
          <w:tcPr>
            <w:tcW w:w="2200" w:type="dxa"/>
            <w:vAlign w:val="bottom"/>
          </w:tcPr>
          <w:p>
            <w:pPr>
              <w:jc w:val="right"/>
              <w:ind w:right="842"/>
              <w:spacing w:after="0"/>
              <w:rPr>
                <w:sz w:val="20"/>
                <w:szCs w:val="20"/>
                <w:color w:val="auto"/>
              </w:rPr>
            </w:pPr>
            <w:r>
              <w:rPr>
                <w:rFonts w:ascii="Arial" w:cs="Arial" w:eastAsia="Arial" w:hAnsi="Arial"/>
                <w:sz w:val="16"/>
                <w:szCs w:val="16"/>
                <w:color w:val="auto"/>
              </w:rPr>
              <w:t>0.64</w:t>
            </w:r>
          </w:p>
        </w:tc>
        <w:tc>
          <w:tcPr>
            <w:tcW w:w="1820" w:type="dxa"/>
            <w:vAlign w:val="bottom"/>
          </w:tcPr>
          <w:p>
            <w:pPr>
              <w:jc w:val="center"/>
              <w:ind w:left="125"/>
              <w:spacing w:after="0"/>
              <w:rPr>
                <w:sz w:val="20"/>
                <w:szCs w:val="20"/>
                <w:color w:val="auto"/>
              </w:rPr>
            </w:pPr>
            <w:r>
              <w:rPr>
                <w:rFonts w:ascii="Arial" w:cs="Arial" w:eastAsia="Arial" w:hAnsi="Arial"/>
                <w:sz w:val="16"/>
                <w:szCs w:val="16"/>
                <w:color w:val="auto"/>
              </w:rPr>
              <w:t>(0.02)</w:t>
            </w:r>
          </w:p>
        </w:tc>
      </w:tr>
    </w:tbl>
    <w:p>
      <w:pPr>
        <w:spacing w:after="0" w:line="242"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4B5A89"/>
        </w:rPr>
        <w:t>Performance-Based Restricted Stock Units</w:t>
      </w:r>
    </w:p>
    <w:p>
      <w:pPr>
        <w:spacing w:after="0" w:line="129"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8"/>
          <w:szCs w:val="18"/>
          <w:color w:val="auto"/>
        </w:rPr>
        <w:t>An annual grant of performance-based RSUs was made during the first quarter of 2023. Performance-based RSUs both support our executives taking a long-term view on Company success and serve as a significant retention tool.</w:t>
      </w:r>
    </w:p>
    <w:p>
      <w:pPr>
        <w:spacing w:after="0" w:line="113" w:lineRule="exact"/>
        <w:rPr>
          <w:sz w:val="20"/>
          <w:szCs w:val="20"/>
          <w:color w:val="auto"/>
        </w:rPr>
      </w:pPr>
    </w:p>
    <w:p>
      <w:pPr>
        <w:jc w:val="both"/>
        <w:ind w:left="6"/>
        <w:spacing w:after="0" w:line="244" w:lineRule="auto"/>
        <w:rPr>
          <w:sz w:val="20"/>
          <w:szCs w:val="20"/>
          <w:color w:val="auto"/>
        </w:rPr>
      </w:pPr>
      <w:r>
        <w:rPr>
          <w:rFonts w:ascii="Arial" w:cs="Arial" w:eastAsia="Arial" w:hAnsi="Arial"/>
          <w:sz w:val="18"/>
          <w:szCs w:val="18"/>
          <w:color w:val="auto"/>
        </w:rPr>
        <w:t>Performance-based RSUs generally vest in three equal installments over a three-year period, subject to continued employment on each applicable vesting date. If the performance threshold for an applicable year is not achieved, the performance-based RSUs granted in that year are forfeited. For the 2023 performance-based RSU awards, the Committee changed the performance objective from Income from Continuing Operations to an Adjusted Margin objective, which aligned with the strategic goal of increasing profitable revenue growth.</w:t>
      </w:r>
    </w:p>
    <w:p>
      <w:pPr>
        <w:spacing w:after="0" w:line="136" w:lineRule="exact"/>
        <w:rPr>
          <w:sz w:val="20"/>
          <w:szCs w:val="20"/>
          <w:color w:val="auto"/>
        </w:rPr>
      </w:pPr>
    </w:p>
    <w:p>
      <w:pPr>
        <w:jc w:val="both"/>
        <w:ind w:left="6"/>
        <w:spacing w:after="0" w:line="247" w:lineRule="auto"/>
        <w:rPr>
          <w:sz w:val="20"/>
          <w:szCs w:val="20"/>
          <w:color w:val="auto"/>
        </w:rPr>
      </w:pPr>
      <w:r>
        <w:rPr>
          <w:rFonts w:ascii="Arial" w:cs="Arial" w:eastAsia="Arial" w:hAnsi="Arial"/>
          <w:sz w:val="18"/>
          <w:szCs w:val="18"/>
          <w:color w:val="auto"/>
        </w:rPr>
        <w:t xml:space="preserve">In order for the 2023 performance-based RSUs to vest, the Company had to achieve a threshold target of 1.5% in Adjusted Margin, excluding certain special events (see “Treatment of Special Events” beginning on page </w:t>
      </w:r>
      <w:r>
        <w:rPr>
          <w:rFonts w:ascii="Arial" w:cs="Arial" w:eastAsia="Arial" w:hAnsi="Arial"/>
          <w:sz w:val="18"/>
          <w:szCs w:val="18"/>
          <w:u w:val="single" w:color="auto"/>
          <w:color w:val="0000EE"/>
        </w:rPr>
        <w:t>74</w:t>
      </w:r>
      <w:r>
        <w:rPr>
          <w:rFonts w:ascii="Arial" w:cs="Arial" w:eastAsia="Arial" w:hAnsi="Arial"/>
          <w:sz w:val="18"/>
          <w:szCs w:val="18"/>
          <w:color w:val="auto"/>
        </w:rPr>
        <w:t xml:space="preserve"> of this Proxy Statement). Actual 2023 Adjusted Margin, excluding certain special events, was 5.3% which exceeded the threshold target, resulting in the vesting of the 2023 performance-based RSU grant for all NEOs.</w:t>
      </w:r>
    </w:p>
    <w:p>
      <w:pPr>
        <w:spacing w:after="0" w:line="174"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128905</wp:posOffset>
            </wp:positionV>
            <wp:extent cx="699516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166370</wp:posOffset>
            </wp:positionV>
            <wp:extent cx="5829300" cy="7543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829300" cy="75438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Update for 2024:</w:t>
      </w:r>
    </w:p>
    <w:p>
      <w:pPr>
        <w:spacing w:after="0" w:line="158" w:lineRule="exact"/>
        <w:rPr>
          <w:sz w:val="20"/>
          <w:szCs w:val="20"/>
          <w:color w:val="auto"/>
        </w:rPr>
      </w:pPr>
    </w:p>
    <w:p>
      <w:pPr>
        <w:jc w:val="both"/>
        <w:ind w:left="40" w:right="20"/>
        <w:spacing w:after="0" w:line="253" w:lineRule="auto"/>
        <w:rPr>
          <w:sz w:val="20"/>
          <w:szCs w:val="20"/>
          <w:color w:val="auto"/>
        </w:rPr>
      </w:pPr>
      <w:r>
        <w:rPr>
          <w:rFonts w:ascii="Arial" w:cs="Arial" w:eastAsia="Arial" w:hAnsi="Arial"/>
          <w:sz w:val="18"/>
          <w:szCs w:val="18"/>
          <w:color w:val="auto"/>
        </w:rPr>
        <w:t xml:space="preserve">In 2024, a majority of the equity portion of the LTI grant for our executive officers will consist of Performance Stock Units that will vest based 100% on financial measures with a 3-year TSR modifier (similar to the structure of our Cash Incentive Units described starting on page </w:t>
      </w:r>
      <w:r>
        <w:rPr>
          <w:rFonts w:ascii="Arial" w:cs="Arial" w:eastAsia="Arial" w:hAnsi="Arial"/>
          <w:sz w:val="18"/>
          <w:szCs w:val="18"/>
          <w:u w:val="single" w:color="auto"/>
          <w:color w:val="0000EE"/>
        </w:rPr>
        <w:t>65</w:t>
      </w:r>
      <w:r>
        <w:rPr>
          <w:rFonts w:ascii="Arial" w:cs="Arial" w:eastAsia="Arial" w:hAnsi="Arial"/>
          <w:sz w:val="18"/>
          <w:szCs w:val="18"/>
          <w:color w:val="auto"/>
        </w:rPr>
        <w:t xml:space="preserv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58293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Other Indirect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58293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Retirement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United States, retirement benefits include:</w:t>
      </w:r>
    </w:p>
    <w:p>
      <w:pPr>
        <w:spacing w:after="0" w:line="50" w:lineRule="exact"/>
        <w:rPr>
          <w:sz w:val="20"/>
          <w:szCs w:val="20"/>
          <w:color w:val="auto"/>
        </w:rPr>
      </w:pPr>
    </w:p>
    <w:p>
      <w:pPr>
        <w:jc w:val="both"/>
        <w:ind w:left="420" w:right="20" w:hanging="210"/>
        <w:spacing w:after="0" w:line="253" w:lineRule="auto"/>
        <w:tabs>
          <w:tab w:leader="none" w:pos="420" w:val="left"/>
        </w:tabs>
        <w:numPr>
          <w:ilvl w:val="0"/>
          <w:numId w:val="41"/>
        </w:numPr>
        <w:rPr>
          <w:rFonts w:ascii="Arial" w:cs="Arial" w:eastAsia="Arial" w:hAnsi="Arial"/>
          <w:sz w:val="18"/>
          <w:szCs w:val="18"/>
          <w:color w:val="0072AF"/>
        </w:rPr>
      </w:pPr>
      <w:r>
        <w:rPr>
          <w:rFonts w:ascii="Arial" w:cs="Arial" w:eastAsia="Arial" w:hAnsi="Arial"/>
          <w:sz w:val="18"/>
          <w:szCs w:val="18"/>
          <w:color w:val="auto"/>
        </w:rPr>
        <w:t>Qualified 401(k) and nonqualified 401(k) restoration plans with Company 401(k) matching contributions of up to 4% of eligible compensation and 2% Company core contributions. Participants become eligible for the Company matching and Company core contributions after one year of employment with the Company.</w:t>
      </w:r>
    </w:p>
    <w:p>
      <w:pPr>
        <w:spacing w:after="0" w:line="6" w:lineRule="exact"/>
        <w:rPr>
          <w:rFonts w:ascii="Arial" w:cs="Arial" w:eastAsia="Arial" w:hAnsi="Arial"/>
          <w:sz w:val="18"/>
          <w:szCs w:val="18"/>
          <w:color w:val="0072AF"/>
        </w:rPr>
      </w:pPr>
    </w:p>
    <w:p>
      <w:pPr>
        <w:jc w:val="both"/>
        <w:ind w:left="420" w:hanging="210"/>
        <w:spacing w:after="0" w:line="253" w:lineRule="auto"/>
        <w:tabs>
          <w:tab w:leader="none" w:pos="420" w:val="left"/>
        </w:tabs>
        <w:numPr>
          <w:ilvl w:val="0"/>
          <w:numId w:val="41"/>
        </w:numPr>
        <w:rPr>
          <w:rFonts w:ascii="Arial" w:cs="Arial" w:eastAsia="Arial" w:hAnsi="Arial"/>
          <w:sz w:val="18"/>
          <w:szCs w:val="18"/>
          <w:color w:val="0072AF"/>
        </w:rPr>
      </w:pPr>
      <w:r>
        <w:rPr>
          <w:rFonts w:ascii="Arial" w:cs="Arial" w:eastAsia="Arial" w:hAnsi="Arial"/>
          <w:sz w:val="18"/>
          <w:szCs w:val="18"/>
          <w:color w:val="auto"/>
        </w:rPr>
        <w:t>Qualified pension and nonqualified pension restoration plans for employees hired prior to January 1, 2005. Accruals under these plans were frozen at the end of 2014. Mr. Goldstein and Mr. Fairweather are the only NEOs that qualify for these benefits.</w:t>
      </w:r>
    </w:p>
    <w:p>
      <w:pPr>
        <w:spacing w:after="0" w:line="12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Participant balances under nonqualified plans are unfunded obligations of the Company subject to claims by our creditors. Nonqualified restoration plans (pension and 401(k)) are based on the same formulas as are used under the broad-based qualified plans and make up for benefits that would have been provided under the qualified plans except for limitations imposed by the Internal Revenue Code of 1986, as amended. Participation in restoration plans is available to a select group of management or highly compensated employees, including the NEOs.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An individual account under the 401(k) Restoration Plan:</w:t>
      </w:r>
    </w:p>
    <w:p>
      <w:pPr>
        <w:spacing w:after="0" w:line="50" w:lineRule="exact"/>
        <w:rPr>
          <w:sz w:val="20"/>
          <w:szCs w:val="20"/>
          <w:color w:val="auto"/>
        </w:rPr>
      </w:pPr>
    </w:p>
    <w:p>
      <w:pPr>
        <w:ind w:left="420" w:hanging="210"/>
        <w:spacing w:after="0" w:line="266" w:lineRule="auto"/>
        <w:tabs>
          <w:tab w:leader="none" w:pos="420" w:val="left"/>
        </w:tabs>
        <w:numPr>
          <w:ilvl w:val="0"/>
          <w:numId w:val="42"/>
        </w:numPr>
        <w:rPr>
          <w:rFonts w:ascii="Arial" w:cs="Arial" w:eastAsia="Arial" w:hAnsi="Arial"/>
          <w:sz w:val="18"/>
          <w:szCs w:val="18"/>
          <w:color w:val="0072AF"/>
        </w:rPr>
      </w:pPr>
      <w:r>
        <w:rPr>
          <w:rFonts w:ascii="Arial" w:cs="Arial" w:eastAsia="Arial" w:hAnsi="Arial"/>
          <w:sz w:val="18"/>
          <w:szCs w:val="18"/>
          <w:color w:val="auto"/>
        </w:rPr>
        <w:t>Is adjusted on the basis of notional investment returns of publicly available mutual fund investments offered under the qualified 401(k) plan; and</w:t>
      </w:r>
    </w:p>
    <w:p>
      <w:pPr>
        <w:ind w:left="420" w:hanging="210"/>
        <w:spacing w:after="0"/>
        <w:tabs>
          <w:tab w:leader="none" w:pos="420" w:val="left"/>
        </w:tabs>
        <w:numPr>
          <w:ilvl w:val="0"/>
          <w:numId w:val="42"/>
        </w:numPr>
        <w:rPr>
          <w:rFonts w:ascii="Arial" w:cs="Arial" w:eastAsia="Arial" w:hAnsi="Arial"/>
          <w:sz w:val="18"/>
          <w:szCs w:val="18"/>
          <w:color w:val="0072AF"/>
        </w:rPr>
      </w:pPr>
      <w:r>
        <w:rPr>
          <w:rFonts w:ascii="Arial" w:cs="Arial" w:eastAsia="Arial" w:hAnsi="Arial"/>
          <w:sz w:val="18"/>
          <w:szCs w:val="18"/>
          <w:color w:val="auto"/>
        </w:rPr>
        <w:t>Does not receive any above-market earnings.</w:t>
      </w:r>
    </w:p>
    <w:p>
      <w:pPr>
        <w:spacing w:after="0" w:line="19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Pension Restoration Plan applies the same standard actuarial rules as are applied under the qualified Pension Plan.</w:t>
      </w:r>
    </w:p>
    <w:p>
      <w:pPr>
        <w:spacing w:after="0" w:line="12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 xml:space="preserve">For additional information, please see the narrative accompanying the “Pension Benefits Table as of December 31, 2023” on page </w:t>
      </w:r>
      <w:r>
        <w:rPr>
          <w:rFonts w:ascii="Arial" w:cs="Arial" w:eastAsia="Arial" w:hAnsi="Arial"/>
          <w:sz w:val="18"/>
          <w:szCs w:val="18"/>
          <w:u w:val="single" w:color="auto"/>
          <w:color w:val="0000EE"/>
        </w:rPr>
        <w:t>81</w:t>
      </w:r>
      <w:r>
        <w:rPr>
          <w:rFonts w:ascii="Arial" w:cs="Arial" w:eastAsia="Arial" w:hAnsi="Arial"/>
          <w:sz w:val="18"/>
          <w:szCs w:val="18"/>
          <w:color w:val="auto"/>
        </w:rPr>
        <w:t xml:space="preserve"> and the narrative accompanying the “Nonqualified Deferred Compensation Table for 2023” beginning on page </w:t>
      </w:r>
      <w:r>
        <w:rPr>
          <w:rFonts w:ascii="Arial" w:cs="Arial" w:eastAsia="Arial" w:hAnsi="Arial"/>
          <w:sz w:val="18"/>
          <w:szCs w:val="18"/>
          <w:u w:val="single" w:color="auto"/>
          <w:color w:val="0000EE"/>
        </w:rPr>
        <w:t>82</w:t>
      </w:r>
      <w:r>
        <w:rPr>
          <w:rFonts w:ascii="Arial" w:cs="Arial" w:eastAsia="Arial" w:hAnsi="Arial"/>
          <w:sz w:val="18"/>
          <w:szCs w:val="18"/>
          <w:color w:val="auto"/>
        </w:rPr>
        <w:t xml:space="preserve"> of this Proxy Statement.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Other Benefits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Other benefits include:</w:t>
      </w:r>
    </w:p>
    <w:p>
      <w:pPr>
        <w:spacing w:after="0" w:line="50" w:lineRule="exact"/>
        <w:rPr>
          <w:sz w:val="20"/>
          <w:szCs w:val="20"/>
          <w:color w:val="auto"/>
        </w:rPr>
      </w:pPr>
    </w:p>
    <w:p>
      <w:pPr>
        <w:jc w:val="both"/>
        <w:ind w:left="420" w:hanging="210"/>
        <w:spacing w:after="0" w:line="253" w:lineRule="auto"/>
        <w:tabs>
          <w:tab w:leader="none" w:pos="420" w:val="left"/>
        </w:tabs>
        <w:numPr>
          <w:ilvl w:val="0"/>
          <w:numId w:val="43"/>
        </w:numPr>
        <w:rPr>
          <w:rFonts w:ascii="Arial" w:cs="Arial" w:eastAsia="Arial" w:hAnsi="Arial"/>
          <w:sz w:val="18"/>
          <w:szCs w:val="18"/>
          <w:color w:val="0072AF"/>
        </w:rPr>
      </w:pPr>
      <w:r>
        <w:rPr>
          <w:rFonts w:ascii="Arial" w:cs="Arial" w:eastAsia="Arial" w:hAnsi="Arial"/>
          <w:sz w:val="18"/>
          <w:szCs w:val="18"/>
          <w:color w:val="auto"/>
        </w:rPr>
        <w:t>Nonqualified Deferred Incentive Savings Plan (DISP) which provides certain executives the ability to voluntarily defer, in a tax-efficient manner, pay-outs of annual cash incentives, long-term cash incentives, and base pay into a nonqualified deferred compensation plan.</w:t>
      </w:r>
    </w:p>
    <w:p>
      <w:pPr>
        <w:spacing w:after="0" w:line="6" w:lineRule="exact"/>
        <w:rPr>
          <w:rFonts w:ascii="Arial" w:cs="Arial" w:eastAsia="Arial" w:hAnsi="Arial"/>
          <w:sz w:val="18"/>
          <w:szCs w:val="18"/>
          <w:color w:val="0072AF"/>
        </w:rPr>
      </w:pPr>
    </w:p>
    <w:p>
      <w:pPr>
        <w:jc w:val="both"/>
        <w:ind w:left="420" w:hanging="210"/>
        <w:spacing w:after="0" w:line="247" w:lineRule="auto"/>
        <w:tabs>
          <w:tab w:leader="none" w:pos="420" w:val="left"/>
        </w:tabs>
        <w:numPr>
          <w:ilvl w:val="0"/>
          <w:numId w:val="43"/>
        </w:numPr>
        <w:rPr>
          <w:rFonts w:ascii="Arial" w:cs="Arial" w:eastAsia="Arial" w:hAnsi="Arial"/>
          <w:sz w:val="18"/>
          <w:szCs w:val="18"/>
          <w:color w:val="0072AF"/>
        </w:rPr>
      </w:pPr>
      <w:r>
        <w:rPr>
          <w:rFonts w:ascii="Arial" w:cs="Arial" w:eastAsia="Arial" w:hAnsi="Arial"/>
          <w:sz w:val="18"/>
          <w:szCs w:val="18"/>
          <w:color w:val="auto"/>
        </w:rPr>
        <w:t>Certain executives with performance or time-based RSUs and PSUs who are subject to the executive stock ownership policy may elect to defer settlement of their awards until termination or retirement. Executives who choose deferral receive dividend equivalents after the award vests, which are also deferred until the award is settled.</w:t>
      </w:r>
    </w:p>
    <w:p>
      <w:pPr>
        <w:spacing w:after="0" w:line="11" w:lineRule="exact"/>
        <w:rPr>
          <w:rFonts w:ascii="Arial" w:cs="Arial" w:eastAsia="Arial" w:hAnsi="Arial"/>
          <w:sz w:val="18"/>
          <w:szCs w:val="18"/>
          <w:color w:val="0072AF"/>
        </w:rPr>
      </w:pPr>
    </w:p>
    <w:p>
      <w:pPr>
        <w:ind w:left="420" w:hanging="210"/>
        <w:spacing w:after="0" w:line="271" w:lineRule="auto"/>
        <w:tabs>
          <w:tab w:leader="none" w:pos="420" w:val="left"/>
        </w:tabs>
        <w:numPr>
          <w:ilvl w:val="0"/>
          <w:numId w:val="43"/>
        </w:numPr>
        <w:rPr>
          <w:rFonts w:ascii="Arial" w:cs="Arial" w:eastAsia="Arial" w:hAnsi="Arial"/>
          <w:sz w:val="18"/>
          <w:szCs w:val="18"/>
          <w:color w:val="0072AF"/>
        </w:rPr>
      </w:pPr>
      <w:r>
        <w:rPr>
          <w:rFonts w:ascii="Arial" w:cs="Arial" w:eastAsia="Arial" w:hAnsi="Arial"/>
          <w:sz w:val="18"/>
          <w:szCs w:val="18"/>
          <w:color w:val="auto"/>
        </w:rPr>
        <w:t>Perquisites consisting only of limited financial counseling, an executive annual physical examination benefit, and Company-paid spousal travel when accompanying a NEO for business purposes.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175260</wp:posOffset>
            </wp:positionV>
            <wp:extent cx="58293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Process for Determining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Executive Compensation Committee</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Committee is responsible for reviewing the performance of and approving compensation awarded to our executive officers, other than the CEO. The independent Board members, with the input of the Committee, (i) set individual base pay, target compensation, and performance targets annually for the CEO, (ii) review the CEO’s performance, and (iii) determine CEO compensation pay-outs by comparing and approving actual performance against the established objectives including the TSR modifier. In addition, the Committee, and the independent Board members with respect to the CEO, may exercise discretion in its sole determination. The Committee works closely with its independent consultant, Pay Governance, and management to examine various pay and performance matters throughout the year.</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Independent Compensation Consultant</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Committee retains Pay Governance as its independent compensation consultant and considers advice and information provided by Pay Governance in determining the compensation paid to NEOs and in making its recommendation to the independent members of the Board regarding CEO pay. The consultant regularly attends the Committee meetings and advises on a range of compensation-related matters, including peer group composition, plan design, and competitive pay practices. The consultant does not perform other services for the Company. We incurred $150,848 in Pay Governance fees for services performed for the Committee during 2023. The Committee considered the following six factors and determined there was no conflict in the engagement of Pay Governance and that Pay Governance is independent: (i) the provision of other services to the Company by Pay Governance; (ii) the amount of fees received from the Company by Pay Governance, as a percentage of the total revenue of Pay Governance; (iii) the policies and procedures of Pay Governance that are designed to prevent conflicts of interest; (iv) any business or personal relationship of Pay Governance consultants with a member of the Committee; (v) any Company stock owned by the Pay Governance consultants; and (vi) any business or personal relationship of the Pay Governance consultants or Pay Governance with any of the Company’s executive officers.</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Committee annually reviews the performance of Pay Governance and has the sole authority to hire and terminate its consultant.</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Committee also reviews independence factors applicable to other consultants, including outside law firms and Willis Towers Watson, management’s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582930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Determining Compensation — The Decision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321945</wp:posOffset>
            </wp:positionV>
            <wp:extent cx="3977640" cy="23056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97764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Generally, at the beginning of each year, our CEO, in consultation with senior management, recommends to the Committee financial objectives for the annual and long-term incentive plans based on the financial objectives set by the Board. For 2023, objectives were aligned with the 2023 Company budget. The Committee and the independent directors review the recommendations particularly with respect to the appropriateness and rigor of the objectives and approve the final annual and long-term objectives.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After reviewing and evaluating data, as more fully discussed in the section titled “Assessing Competitive Practice” below, our CEO recommends compensation target levels for base pay, annual incentives, and long-term incentives, as well as total direct compensation in the aggregate for executive officers, including the NEOs other than the CEO. The Committee reviews management’s recommendations and determines the appropriate financial objectives, base salary and the target levels of annual and long-term incentive compensation. The Committee also recommends for approval by the independent Board members the base salary and annual and long-term incentive target levels for the CEO. Generally, at this time, the Committee also approves any changes to the compensation program for the coming year.</w:t>
      </w:r>
    </w:p>
    <w:p>
      <w:pPr>
        <w:spacing w:after="0" w:line="14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At the end of each year, each NEO completes a self-assessment of his or her performance against his or her objectives. The CEO evaluates the performance of his executive officer direct reports in the first quarter of the following year and provides these evaluations to the Committee. The Committee recommends to the independent Board members an individual performance assessment for the CEO. The Committee reviews the financial accomplishments of the Company, taking into account predetermined objectives for the preceding year, and determines actual base salary increases as well as annual and long-term incentive compensation for the NEOs and recommends for approval by the independent Board members the compensation for the CEO. The actual pay-out levels for annual incentive compensation are based upon the Company’s performance against the predetermined financial objectives and other criteria, as discussed under “Annual Incentives” beginning on page </w:t>
      </w:r>
      <w:r>
        <w:rPr>
          <w:rFonts w:ascii="Arial" w:cs="Arial" w:eastAsia="Arial" w:hAnsi="Arial"/>
          <w:sz w:val="18"/>
          <w:szCs w:val="18"/>
          <w:u w:val="single" w:color="auto"/>
          <w:color w:val="0000EE"/>
        </w:rPr>
        <w:t>62</w:t>
      </w:r>
      <w:r>
        <w:rPr>
          <w:rFonts w:ascii="Arial" w:cs="Arial" w:eastAsia="Arial" w:hAnsi="Arial"/>
          <w:sz w:val="18"/>
          <w:szCs w:val="18"/>
          <w:color w:val="auto"/>
        </w:rPr>
        <w:t xml:space="preserve"> of this Proxy Statement. With respect to long-term incentive compensation, the Committee determines pay-out levels based on pre-determined financial objectives, and to the extent applicable, a relative TSR modifier, as discussed in further detail under “Long-term Incentives” beginning on page </w:t>
      </w:r>
      <w:r>
        <w:rPr>
          <w:rFonts w:ascii="Arial" w:cs="Arial" w:eastAsia="Arial" w:hAnsi="Arial"/>
          <w:sz w:val="18"/>
          <w:szCs w:val="18"/>
          <w:u w:val="single" w:color="auto"/>
          <w:color w:val="0000EE"/>
        </w:rPr>
        <w:t>64</w:t>
      </w:r>
      <w:r>
        <w:rPr>
          <w:rFonts w:ascii="Arial" w:cs="Arial" w:eastAsia="Arial" w:hAnsi="Arial"/>
          <w:sz w:val="18"/>
          <w:szCs w:val="18"/>
          <w:color w:val="auto"/>
        </w:rPr>
        <w:t xml:space="preserve"> of this Proxy Statement.</w:t>
      </w:r>
    </w:p>
    <w:p>
      <w:pPr>
        <w:spacing w:after="0" w:line="14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Committee also reviews tally sheets prepared by Human Resources to evaluate the individual components, the total mix of compensation, and the weighting of the components within the total compensation package of the executive officers. To evaluate whether each NEO’s compensation package is competitive with the marketplace, the Committee, and with respect to the CEO, the independent Board members, also review each executive’s total direct compensation against market data during the assessment process as more fully described in “Assessing Competitive Practice” below.</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Assessing Competitive Practice</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 evaluate whether our executive compensation is competitive, the Committee annually compares each executive’s total direct compensation (base salary, annual incentive and long-term incentives) against market data from two independent reports, the Willis Towers Watson Regressed Compensation Report (Willis Towers Watson Report) and the Radford Global Compensation Database (Radford Database), with a view towards determining the optimal mix and level of compensation. The Committee also reviews the targets and actual pay-outs to evaluate ongoing compensation opportunity and competitiveness. Finally, the Committee’s independent compensation consultant reviews the data presented to the Committee and provides additional publicly available data from our peer group before the Committee establishes the target total direct compensation structure. The Committee sets compensation targets assuming achievement of specific incentive award performance objectives at target.</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Willis Towers Watson data is regressed for corporate revenue of approximately $4.0 billion for corporate leaders and actual regressed revenue for business unit leaders for the business units they lead. The Willis Towers Watson Report is a sub-section of the US Compensation Data Bank General Industry Executive Database. The Radford Database is regressed for corporate revenue of approximately $3.0 - $5.0 billion for corporate leaders and bases its analysis on applicable revenue ranges as they pertain to various roles. The Radford Database is derived from global survey results across multiple industries. These reports assist the Committee in assessing the market competitiveness of executive officer compensation against external market data. This market data provides important reference points for the Committee but is not the sole basis for determining appropriate compensation design, compensation targets, or individual pay levels. Use of comparative industry data and outside surveys only serves to indicate to the Committee whether those decisions are in line with our peer group and the industry in general. The Committee believes the comparative industry data used from the Willis Towers Watson Report, the Radford Database, and the peer group are consistent with our compensation philosophy.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128905</wp:posOffset>
            </wp:positionV>
            <wp:extent cx="699516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Compensation targets and individual pay levels may vary from the median for various reasons, including:</w:t>
      </w:r>
    </w:p>
    <w:p>
      <w:pPr>
        <w:spacing w:after="0" w:line="50" w:lineRule="exact"/>
        <w:rPr>
          <w:sz w:val="20"/>
          <w:szCs w:val="20"/>
          <w:color w:val="auto"/>
        </w:rPr>
      </w:pPr>
    </w:p>
    <w:p>
      <w:pPr>
        <w:ind w:left="420" w:hanging="210"/>
        <w:spacing w:after="0"/>
        <w:tabs>
          <w:tab w:leader="none" w:pos="420" w:val="left"/>
        </w:tabs>
        <w:numPr>
          <w:ilvl w:val="0"/>
          <w:numId w:val="44"/>
        </w:numPr>
        <w:rPr>
          <w:rFonts w:ascii="Arial" w:cs="Arial" w:eastAsia="Arial" w:hAnsi="Arial"/>
          <w:sz w:val="18"/>
          <w:szCs w:val="18"/>
          <w:color w:val="0072AF"/>
        </w:rPr>
      </w:pPr>
      <w:r>
        <w:rPr>
          <w:rFonts w:ascii="Arial" w:cs="Arial" w:eastAsia="Arial" w:hAnsi="Arial"/>
          <w:sz w:val="18"/>
          <w:szCs w:val="18"/>
          <w:color w:val="auto"/>
        </w:rPr>
        <w:t>the value of the total rewards package;</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44"/>
        </w:numPr>
        <w:rPr>
          <w:rFonts w:ascii="Arial" w:cs="Arial" w:eastAsia="Arial" w:hAnsi="Arial"/>
          <w:sz w:val="18"/>
          <w:szCs w:val="18"/>
          <w:color w:val="0072AF"/>
        </w:rPr>
      </w:pPr>
      <w:r>
        <w:rPr>
          <w:rFonts w:ascii="Arial" w:cs="Arial" w:eastAsia="Arial" w:hAnsi="Arial"/>
          <w:sz w:val="18"/>
          <w:szCs w:val="18"/>
          <w:color w:val="auto"/>
        </w:rPr>
        <w:t>program design and strategic considerations;</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44"/>
        </w:numPr>
        <w:rPr>
          <w:rFonts w:ascii="Arial" w:cs="Arial" w:eastAsia="Arial" w:hAnsi="Arial"/>
          <w:sz w:val="18"/>
          <w:szCs w:val="18"/>
          <w:color w:val="0072AF"/>
        </w:rPr>
      </w:pPr>
      <w:r>
        <w:rPr>
          <w:rFonts w:ascii="Arial" w:cs="Arial" w:eastAsia="Arial" w:hAnsi="Arial"/>
          <w:sz w:val="18"/>
          <w:szCs w:val="18"/>
          <w:color w:val="auto"/>
        </w:rPr>
        <w:t>affordability;</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44"/>
        </w:numPr>
        <w:rPr>
          <w:rFonts w:ascii="Arial" w:cs="Arial" w:eastAsia="Arial" w:hAnsi="Arial"/>
          <w:sz w:val="18"/>
          <w:szCs w:val="18"/>
          <w:color w:val="0072AF"/>
        </w:rPr>
      </w:pPr>
      <w:r>
        <w:rPr>
          <w:rFonts w:ascii="Arial" w:cs="Arial" w:eastAsia="Arial" w:hAnsi="Arial"/>
          <w:sz w:val="18"/>
          <w:szCs w:val="18"/>
          <w:color w:val="auto"/>
        </w:rPr>
        <w:t>changing competitive conditions;</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44"/>
        </w:numPr>
        <w:rPr>
          <w:rFonts w:ascii="Arial" w:cs="Arial" w:eastAsia="Arial" w:hAnsi="Arial"/>
          <w:sz w:val="18"/>
          <w:szCs w:val="18"/>
          <w:color w:val="0072AF"/>
        </w:rPr>
      </w:pPr>
      <w:r>
        <w:rPr>
          <w:rFonts w:ascii="Arial" w:cs="Arial" w:eastAsia="Arial" w:hAnsi="Arial"/>
          <w:sz w:val="18"/>
          <w:szCs w:val="18"/>
          <w:color w:val="auto"/>
        </w:rPr>
        <w:t>program transition considerations;</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44"/>
        </w:numPr>
        <w:rPr>
          <w:rFonts w:ascii="Arial" w:cs="Arial" w:eastAsia="Arial" w:hAnsi="Arial"/>
          <w:sz w:val="18"/>
          <w:szCs w:val="18"/>
          <w:color w:val="0072AF"/>
        </w:rPr>
      </w:pPr>
      <w:r>
        <w:rPr>
          <w:rFonts w:ascii="Arial" w:cs="Arial" w:eastAsia="Arial" w:hAnsi="Arial"/>
          <w:sz w:val="18"/>
          <w:szCs w:val="18"/>
          <w:color w:val="auto"/>
        </w:rPr>
        <w:t>the definition and scope of the executive’s role;</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44"/>
        </w:numPr>
        <w:rPr>
          <w:rFonts w:ascii="Arial" w:cs="Arial" w:eastAsia="Arial" w:hAnsi="Arial"/>
          <w:sz w:val="18"/>
          <w:szCs w:val="18"/>
          <w:color w:val="0072AF"/>
        </w:rPr>
      </w:pPr>
      <w:r>
        <w:rPr>
          <w:rFonts w:ascii="Arial" w:cs="Arial" w:eastAsia="Arial" w:hAnsi="Arial"/>
          <w:sz w:val="18"/>
          <w:szCs w:val="18"/>
          <w:color w:val="auto"/>
        </w:rPr>
        <w:t>the executive’s individual contributions to the Company;</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44"/>
        </w:numPr>
        <w:rPr>
          <w:rFonts w:ascii="Arial" w:cs="Arial" w:eastAsia="Arial" w:hAnsi="Arial"/>
          <w:sz w:val="18"/>
          <w:szCs w:val="18"/>
          <w:color w:val="0072AF"/>
        </w:rPr>
      </w:pPr>
      <w:r>
        <w:rPr>
          <w:rFonts w:ascii="Arial" w:cs="Arial" w:eastAsia="Arial" w:hAnsi="Arial"/>
          <w:sz w:val="18"/>
          <w:szCs w:val="18"/>
          <w:color w:val="auto"/>
        </w:rPr>
        <w:t>unique skill sets presented by the employee; and</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44"/>
        </w:numPr>
        <w:rPr>
          <w:rFonts w:ascii="Arial" w:cs="Arial" w:eastAsia="Arial" w:hAnsi="Arial"/>
          <w:sz w:val="18"/>
          <w:szCs w:val="18"/>
          <w:color w:val="0072AF"/>
        </w:rPr>
      </w:pPr>
      <w:r>
        <w:rPr>
          <w:rFonts w:ascii="Arial" w:cs="Arial" w:eastAsia="Arial" w:hAnsi="Arial"/>
          <w:sz w:val="18"/>
          <w:szCs w:val="18"/>
          <w:color w:val="auto"/>
        </w:rPr>
        <w:t>succession or retention considerations.</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the Committee asks Pay Governance to analyze the appropriateness of the Company’s short and long-term compensation program design. The Committee and the Board also consider the burn rate with respect to the equity awards when deciding how much of the total direct compensation package should be composed of equity-based awards.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Each year the Committee then reviews our relative performance against that of our peer group.</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Peer Group for Assessing Compensation of NEOs</w:t>
      </w:r>
    </w:p>
    <w:p>
      <w:pPr>
        <w:spacing w:after="0" w:line="17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In 2022, as part of its annual process the Committee assessed the peer group used for comparing NEO peer median pay levels and conducting pay practice reviews (the TSR modifier used in the payout of CIUs granted since 2022 utilize the S&amp;P 1000; see “Cash Incentive Units (CIUs)” starting on page </w:t>
      </w:r>
      <w:r>
        <w:rPr>
          <w:rFonts w:ascii="Arial" w:cs="Arial" w:eastAsia="Arial" w:hAnsi="Arial"/>
          <w:sz w:val="18"/>
          <w:szCs w:val="18"/>
          <w:u w:val="single" w:color="auto"/>
          <w:color w:val="0000EE"/>
        </w:rPr>
        <w:t>65</w:t>
      </w:r>
      <w:r>
        <w:rPr>
          <w:rFonts w:ascii="Arial" w:cs="Arial" w:eastAsia="Arial" w:hAnsi="Arial"/>
          <w:sz w:val="18"/>
          <w:szCs w:val="18"/>
          <w:color w:val="auto"/>
        </w:rPr>
        <w:t xml:space="preserve"> of this Proxy Statement for more discussion related to the TSR modifier). We use a peer group of companies similar in size and/or complexity to evaluate the competitiveness of our executive compensation as we do not have a single completely overlapping competitor due to the unique mix of our business.</w:t>
      </w:r>
    </w:p>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Effective January 1, 2023, the Committee added GXO Logistics to the peer group to provide greater industry focus, particularly to align with the logistics industry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5829300" cy="8826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829300" cy="882650"/>
                    </a:xfrm>
                    <a:prstGeom prst="rect">
                      <a:avLst/>
                    </a:prstGeom>
                    <a:noFill/>
                  </pic:spPr>
                </pic:pic>
              </a:graphicData>
            </a:graphic>
          </wp:anchor>
        </w:drawing>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Update for 2024</w:t>
      </w:r>
    </w:p>
    <w:p>
      <w:pPr>
        <w:spacing w:after="0" w:line="158" w:lineRule="exact"/>
        <w:rPr>
          <w:sz w:val="20"/>
          <w:szCs w:val="20"/>
          <w:color w:val="auto"/>
        </w:rPr>
      </w:pPr>
    </w:p>
    <w:p>
      <w:pPr>
        <w:jc w:val="both"/>
        <w:ind w:left="40" w:right="20"/>
        <w:spacing w:after="0" w:line="247" w:lineRule="auto"/>
        <w:rPr>
          <w:sz w:val="20"/>
          <w:szCs w:val="20"/>
          <w:color w:val="auto"/>
        </w:rPr>
      </w:pPr>
      <w:r>
        <w:rPr>
          <w:rFonts w:ascii="Arial" w:cs="Arial" w:eastAsia="Arial" w:hAnsi="Arial"/>
          <w:sz w:val="18"/>
          <w:szCs w:val="18"/>
          <w:color w:val="auto"/>
        </w:rPr>
        <w:t>In 2023, the Committee reviewed the peer group and effective January 1, 2024, the peer group was changed to eliminate companies with outsized market capitalizations relative to the market capitalization of Pitney Bowes. As a result of the peer group review, the Committee approved the removal from the peer group of Fiserv, Inc., Fidelity National Information Services, Inc., and W.W. Grainger, Inc.</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0072AF"/>
        </w:rPr>
        <w:t>Peer Group as of December 31, 2023</w:t>
      </w:r>
      <w:r>
        <w:rPr>
          <w:rFonts w:ascii="Arial" w:cs="Arial" w:eastAsia="Arial" w:hAnsi="Arial"/>
          <w:sz w:val="41"/>
          <w:szCs w:val="41"/>
          <w:b w:val="1"/>
          <w:bCs w:val="1"/>
          <w:color w:val="0072A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5816600</wp:posOffset>
            </wp:positionH>
            <wp:positionV relativeFrom="paragraph">
              <wp:posOffset>-2540</wp:posOffset>
            </wp:positionV>
            <wp:extent cx="8255" cy="3689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3689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364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12/31/2023</w:t>
            </w:r>
          </w:p>
        </w:tc>
        <w:tc>
          <w:tcPr>
            <w:tcW w:w="1740" w:type="dxa"/>
            <w:vAlign w:val="bottom"/>
            <w:gridSpan w:val="2"/>
          </w:tcPr>
          <w:p>
            <w:pPr>
              <w:jc w:val="center"/>
              <w:ind w:right="19"/>
              <w:spacing w:after="0" w:line="148" w:lineRule="exact"/>
              <w:rPr>
                <w:sz w:val="20"/>
                <w:szCs w:val="20"/>
                <w:color w:val="auto"/>
              </w:rPr>
            </w:pPr>
            <w:r>
              <w:rPr>
                <w:rFonts w:ascii="Arial" w:cs="Arial" w:eastAsia="Arial" w:hAnsi="Arial"/>
                <w:sz w:val="14"/>
                <w:szCs w:val="14"/>
                <w:b w:val="1"/>
                <w:bCs w:val="1"/>
                <w:color w:val="auto"/>
              </w:rPr>
              <w:t>12/31/2023</w:t>
            </w:r>
          </w:p>
        </w:tc>
        <w:tc>
          <w:tcPr>
            <w:tcW w:w="2860" w:type="dxa"/>
            <w:vAlign w:val="bottom"/>
            <w:gridSpan w:val="3"/>
          </w:tcPr>
          <w:p>
            <w:pPr>
              <w:jc w:val="right"/>
              <w:ind w:right="579"/>
              <w:spacing w:after="0" w:line="148" w:lineRule="exact"/>
              <w:rPr>
                <w:sz w:val="20"/>
                <w:szCs w:val="20"/>
                <w:color w:val="auto"/>
              </w:rPr>
            </w:pPr>
            <w:r>
              <w:rPr>
                <w:rFonts w:ascii="Arial" w:cs="Arial" w:eastAsia="Arial" w:hAnsi="Arial"/>
                <w:sz w:val="14"/>
                <w:szCs w:val="14"/>
                <w:b w:val="1"/>
                <w:bCs w:val="1"/>
                <w:color w:val="auto"/>
              </w:rPr>
              <w:t>Total Stockholder Return</w:t>
            </w:r>
          </w:p>
        </w:tc>
      </w:tr>
      <w:tr>
        <w:trPr>
          <w:trHeight w:val="162"/>
        </w:trPr>
        <w:tc>
          <w:tcPr>
            <w:tcW w:w="36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Revenue</w:t>
            </w:r>
          </w:p>
        </w:tc>
        <w:tc>
          <w:tcPr>
            <w:tcW w:w="1740" w:type="dxa"/>
            <w:vAlign w:val="bottom"/>
            <w:gridSpan w:val="2"/>
          </w:tcPr>
          <w:p>
            <w:pPr>
              <w:jc w:val="center"/>
              <w:ind w:right="19"/>
              <w:spacing w:after="0"/>
              <w:rPr>
                <w:sz w:val="20"/>
                <w:szCs w:val="20"/>
                <w:color w:val="auto"/>
              </w:rPr>
            </w:pPr>
            <w:r>
              <w:rPr>
                <w:rFonts w:ascii="Arial" w:cs="Arial" w:eastAsia="Arial" w:hAnsi="Arial"/>
                <w:sz w:val="14"/>
                <w:szCs w:val="14"/>
                <w:b w:val="1"/>
                <w:bCs w:val="1"/>
                <w:color w:val="auto"/>
              </w:rPr>
              <w:t>Market Capitalization</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3640" w:type="dxa"/>
            <w:vAlign w:val="bottom"/>
          </w:tcPr>
          <w:p>
            <w:pPr>
              <w:ind w:left="60"/>
              <w:spacing w:after="0"/>
              <w:rPr>
                <w:sz w:val="20"/>
                <w:szCs w:val="20"/>
                <w:color w:val="auto"/>
              </w:rPr>
            </w:pPr>
            <w:r>
              <w:rPr>
                <w:rFonts w:ascii="Arial" w:cs="Arial" w:eastAsia="Arial" w:hAnsi="Arial"/>
                <w:sz w:val="14"/>
                <w:szCs w:val="14"/>
                <w:b w:val="1"/>
                <w:bCs w:val="1"/>
                <w:color w:val="auto"/>
              </w:rPr>
              <w:t>Company Name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 millions)</w:t>
            </w: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 millions)</w:t>
            </w:r>
          </w:p>
        </w:tc>
        <w:tc>
          <w:tcPr>
            <w:tcW w:w="960" w:type="dxa"/>
            <w:vAlign w:val="bottom"/>
          </w:tcPr>
          <w:p>
            <w:pPr>
              <w:jc w:val="right"/>
              <w:ind w:right="260"/>
              <w:spacing w:after="0"/>
              <w:rPr>
                <w:sz w:val="20"/>
                <w:szCs w:val="20"/>
                <w:color w:val="auto"/>
              </w:rPr>
            </w:pPr>
            <w:r>
              <w:rPr>
                <w:rFonts w:ascii="Arial" w:cs="Arial" w:eastAsia="Arial" w:hAnsi="Arial"/>
                <w:sz w:val="14"/>
                <w:szCs w:val="14"/>
                <w:b w:val="1"/>
                <w:bCs w:val="1"/>
                <w:color w:val="auto"/>
              </w:rPr>
              <w:t>1-Year</w:t>
            </w:r>
          </w:p>
        </w:tc>
        <w:tc>
          <w:tcPr>
            <w:tcW w:w="920" w:type="dxa"/>
            <w:vAlign w:val="bottom"/>
          </w:tcPr>
          <w:p>
            <w:pPr>
              <w:jc w:val="right"/>
              <w:ind w:right="199"/>
              <w:spacing w:after="0"/>
              <w:rPr>
                <w:sz w:val="20"/>
                <w:szCs w:val="20"/>
                <w:color w:val="auto"/>
              </w:rPr>
            </w:pPr>
            <w:r>
              <w:rPr>
                <w:rFonts w:ascii="Arial" w:cs="Arial" w:eastAsia="Arial" w:hAnsi="Arial"/>
                <w:sz w:val="14"/>
                <w:szCs w:val="14"/>
                <w:b w:val="1"/>
                <w:bCs w:val="1"/>
                <w:color w:val="auto"/>
              </w:rPr>
              <w:t>3-Year</w:t>
            </w:r>
          </w:p>
        </w:tc>
        <w:tc>
          <w:tcPr>
            <w:tcW w:w="980" w:type="dxa"/>
            <w:vAlign w:val="bottom"/>
          </w:tcPr>
          <w:p>
            <w:pPr>
              <w:jc w:val="right"/>
              <w:ind w:right="219"/>
              <w:spacing w:after="0"/>
              <w:rPr>
                <w:sz w:val="20"/>
                <w:szCs w:val="20"/>
                <w:color w:val="auto"/>
              </w:rPr>
            </w:pPr>
            <w:r>
              <w:rPr>
                <w:rFonts w:ascii="Arial" w:cs="Arial" w:eastAsia="Arial" w:hAnsi="Arial"/>
                <w:sz w:val="14"/>
                <w:szCs w:val="14"/>
                <w:b w:val="1"/>
                <w:bCs w:val="1"/>
                <w:color w:val="auto"/>
              </w:rPr>
              <w:t>5-Year</w:t>
            </w:r>
          </w:p>
        </w:tc>
      </w:tr>
      <w:tr>
        <w:trPr>
          <w:trHeight w:val="56"/>
        </w:trPr>
        <w:tc>
          <w:tcPr>
            <w:tcW w:w="3640" w:type="dxa"/>
            <w:vAlign w:val="bottom"/>
            <w:tcBorders>
              <w:bottom w:val="single" w:sz="8" w:color="0072AF"/>
            </w:tcBorders>
          </w:tcPr>
          <w:p>
            <w:pPr>
              <w:spacing w:after="0"/>
              <w:rPr>
                <w:sz w:val="4"/>
                <w:szCs w:val="4"/>
                <w:color w:val="auto"/>
              </w:rPr>
            </w:pPr>
          </w:p>
        </w:tc>
        <w:tc>
          <w:tcPr>
            <w:tcW w:w="940" w:type="dxa"/>
            <w:vAlign w:val="bottom"/>
            <w:tcBorders>
              <w:bottom w:val="single" w:sz="8" w:color="0072AF"/>
            </w:tcBorders>
          </w:tcPr>
          <w:p>
            <w:pPr>
              <w:spacing w:after="0"/>
              <w:rPr>
                <w:sz w:val="4"/>
                <w:szCs w:val="4"/>
                <w:color w:val="auto"/>
              </w:rPr>
            </w:pPr>
          </w:p>
        </w:tc>
        <w:tc>
          <w:tcPr>
            <w:tcW w:w="640" w:type="dxa"/>
            <w:vAlign w:val="bottom"/>
            <w:tcBorders>
              <w:bottom w:val="single" w:sz="8" w:color="0072AF"/>
            </w:tcBorders>
          </w:tcPr>
          <w:p>
            <w:pPr>
              <w:spacing w:after="0"/>
              <w:rPr>
                <w:sz w:val="4"/>
                <w:szCs w:val="4"/>
                <w:color w:val="auto"/>
              </w:rPr>
            </w:pPr>
          </w:p>
        </w:tc>
        <w:tc>
          <w:tcPr>
            <w:tcW w:w="1100" w:type="dxa"/>
            <w:vAlign w:val="bottom"/>
            <w:tcBorders>
              <w:bottom w:val="single" w:sz="8" w:color="0072AF"/>
            </w:tcBorders>
          </w:tcPr>
          <w:p>
            <w:pPr>
              <w:spacing w:after="0"/>
              <w:rPr>
                <w:sz w:val="4"/>
                <w:szCs w:val="4"/>
                <w:color w:val="auto"/>
              </w:rPr>
            </w:pPr>
          </w:p>
        </w:tc>
        <w:tc>
          <w:tcPr>
            <w:tcW w:w="960" w:type="dxa"/>
            <w:vAlign w:val="bottom"/>
            <w:tcBorders>
              <w:bottom w:val="single" w:sz="8" w:color="0072AF"/>
            </w:tcBorders>
          </w:tcPr>
          <w:p>
            <w:pPr>
              <w:spacing w:after="0"/>
              <w:rPr>
                <w:sz w:val="4"/>
                <w:szCs w:val="4"/>
                <w:color w:val="auto"/>
              </w:rPr>
            </w:pPr>
          </w:p>
        </w:tc>
        <w:tc>
          <w:tcPr>
            <w:tcW w:w="920" w:type="dxa"/>
            <w:vAlign w:val="bottom"/>
            <w:tcBorders>
              <w:bottom w:val="single" w:sz="8" w:color="0072AF"/>
            </w:tcBorders>
          </w:tcPr>
          <w:p>
            <w:pPr>
              <w:spacing w:after="0"/>
              <w:rPr>
                <w:sz w:val="4"/>
                <w:szCs w:val="4"/>
                <w:color w:val="auto"/>
              </w:rPr>
            </w:pPr>
          </w:p>
        </w:tc>
        <w:tc>
          <w:tcPr>
            <w:tcW w:w="980" w:type="dxa"/>
            <w:vAlign w:val="bottom"/>
            <w:tcBorders>
              <w:bottom w:val="single" w:sz="8" w:color="0072AF"/>
            </w:tcBorders>
          </w:tcPr>
          <w:p>
            <w:pPr>
              <w:spacing w:after="0"/>
              <w:rPr>
                <w:sz w:val="4"/>
                <w:szCs w:val="4"/>
                <w:color w:val="auto"/>
              </w:rPr>
            </w:pPr>
          </w:p>
        </w:tc>
      </w:tr>
      <w:tr>
        <w:trPr>
          <w:trHeight w:val="275"/>
        </w:trPr>
        <w:tc>
          <w:tcPr>
            <w:tcW w:w="3640" w:type="dxa"/>
            <w:vAlign w:val="bottom"/>
            <w:tcBorders>
              <w:right w:val="single" w:sz="8" w:color="0072AF"/>
            </w:tcBorders>
          </w:tcPr>
          <w:p>
            <w:pPr>
              <w:ind w:left="60"/>
              <w:spacing w:after="0"/>
              <w:rPr>
                <w:sz w:val="20"/>
                <w:szCs w:val="20"/>
                <w:color w:val="auto"/>
              </w:rPr>
            </w:pPr>
            <w:r>
              <w:rPr>
                <w:rFonts w:ascii="Arial" w:cs="Arial" w:eastAsia="Arial" w:hAnsi="Arial"/>
                <w:sz w:val="16"/>
                <w:szCs w:val="16"/>
                <w:color w:val="auto"/>
              </w:rPr>
              <w:t>ACCO Brands Corporation</w:t>
            </w:r>
          </w:p>
        </w:tc>
        <w:tc>
          <w:tcPr>
            <w:tcW w:w="940" w:type="dxa"/>
            <w:vAlign w:val="bottom"/>
          </w:tcPr>
          <w:p>
            <w:pPr>
              <w:jc w:val="center"/>
              <w:spacing w:after="0"/>
              <w:rPr>
                <w:sz w:val="20"/>
                <w:szCs w:val="20"/>
                <w:color w:val="auto"/>
              </w:rPr>
            </w:pPr>
            <w:r>
              <w:rPr>
                <w:rFonts w:ascii="Arial" w:cs="Arial" w:eastAsia="Arial" w:hAnsi="Arial"/>
                <w:sz w:val="16"/>
                <w:szCs w:val="16"/>
                <w:color w:val="auto"/>
              </w:rPr>
              <w:t>$ 1,833</w:t>
            </w:r>
          </w:p>
        </w:tc>
        <w:tc>
          <w:tcPr>
            <w:tcW w:w="640" w:type="dxa"/>
            <w:vAlign w:val="bottom"/>
          </w:tcPr>
          <w:p>
            <w:pPr>
              <w:ind w:left="5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59"/>
              <w:spacing w:after="0"/>
              <w:rPr>
                <w:sz w:val="20"/>
                <w:szCs w:val="20"/>
                <w:color w:val="auto"/>
              </w:rPr>
            </w:pPr>
            <w:r>
              <w:rPr>
                <w:rFonts w:ascii="Arial" w:cs="Arial" w:eastAsia="Arial" w:hAnsi="Arial"/>
                <w:sz w:val="16"/>
                <w:szCs w:val="16"/>
                <w:color w:val="auto"/>
              </w:rPr>
              <w:t>577</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+15%</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980" w:type="dxa"/>
            <w:vAlign w:val="bottom"/>
            <w:tcBorders>
              <w:right w:val="single" w:sz="8" w:color="0072AF"/>
            </w:tcBorders>
          </w:tcPr>
          <w:p>
            <w:pPr>
              <w:jc w:val="right"/>
              <w:ind w:right="139"/>
              <w:spacing w:after="0"/>
              <w:rPr>
                <w:sz w:val="20"/>
                <w:szCs w:val="20"/>
                <w:color w:val="auto"/>
              </w:rPr>
            </w:pPr>
            <w:r>
              <w:rPr>
                <w:rFonts w:ascii="Arial" w:cs="Arial" w:eastAsia="Arial" w:hAnsi="Arial"/>
                <w:sz w:val="16"/>
                <w:szCs w:val="16"/>
                <w:color w:val="auto"/>
              </w:rPr>
              <w:t>+2%</w:t>
            </w:r>
          </w:p>
        </w:tc>
      </w:tr>
      <w:tr>
        <w:trPr>
          <w:trHeight w:val="324"/>
        </w:trPr>
        <w:tc>
          <w:tcPr>
            <w:tcW w:w="3640" w:type="dxa"/>
            <w:vAlign w:val="bottom"/>
            <w:tcBorders>
              <w:right w:val="single" w:sz="8" w:color="0072AF"/>
            </w:tcBorders>
          </w:tcPr>
          <w:p>
            <w:pPr>
              <w:ind w:left="60"/>
              <w:spacing w:after="0"/>
              <w:rPr>
                <w:sz w:val="20"/>
                <w:szCs w:val="20"/>
                <w:color w:val="auto"/>
              </w:rPr>
            </w:pPr>
            <w:r>
              <w:rPr>
                <w:rFonts w:ascii="Arial" w:cs="Arial" w:eastAsia="Arial" w:hAnsi="Arial"/>
                <w:sz w:val="16"/>
                <w:szCs w:val="16"/>
                <w:color w:val="auto"/>
              </w:rPr>
              <w:t>Avery Dennison Corporation</w:t>
            </w:r>
          </w:p>
        </w:tc>
        <w:tc>
          <w:tcPr>
            <w:tcW w:w="940" w:type="dxa"/>
            <w:vAlign w:val="bottom"/>
          </w:tcPr>
          <w:p>
            <w:pPr>
              <w:jc w:val="center"/>
              <w:spacing w:after="0"/>
              <w:rPr>
                <w:sz w:val="20"/>
                <w:szCs w:val="20"/>
                <w:color w:val="auto"/>
              </w:rPr>
            </w:pPr>
            <w:r>
              <w:rPr>
                <w:rFonts w:ascii="Arial" w:cs="Arial" w:eastAsia="Arial" w:hAnsi="Arial"/>
                <w:sz w:val="16"/>
                <w:szCs w:val="16"/>
                <w:color w:val="auto"/>
              </w:rPr>
              <w:t>$ 8,364</w:t>
            </w:r>
          </w:p>
        </w:tc>
        <w:tc>
          <w:tcPr>
            <w:tcW w:w="1740" w:type="dxa"/>
            <w:vAlign w:val="bottom"/>
            <w:gridSpan w:val="2"/>
          </w:tcPr>
          <w:p>
            <w:pPr>
              <w:ind w:left="540"/>
              <w:spacing w:after="0"/>
              <w:rPr>
                <w:sz w:val="20"/>
                <w:szCs w:val="20"/>
                <w:color w:val="auto"/>
              </w:rPr>
            </w:pPr>
            <w:r>
              <w:rPr>
                <w:rFonts w:ascii="Arial" w:cs="Arial" w:eastAsia="Arial" w:hAnsi="Arial"/>
                <w:sz w:val="16"/>
                <w:szCs w:val="16"/>
                <w:color w:val="auto"/>
              </w:rPr>
              <w:t>$16,280</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+14%</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+11%</w:t>
            </w:r>
          </w:p>
        </w:tc>
        <w:tc>
          <w:tcPr>
            <w:tcW w:w="980" w:type="dxa"/>
            <w:vAlign w:val="bottom"/>
            <w:tcBorders>
              <w:right w:val="single" w:sz="8" w:color="0072AF"/>
            </w:tcBorders>
          </w:tcPr>
          <w:p>
            <w:pPr>
              <w:jc w:val="right"/>
              <w:ind w:right="139"/>
              <w:spacing w:after="0"/>
              <w:rPr>
                <w:sz w:val="20"/>
                <w:szCs w:val="20"/>
                <w:color w:val="auto"/>
              </w:rPr>
            </w:pPr>
            <w:r>
              <w:rPr>
                <w:rFonts w:ascii="Arial" w:cs="Arial" w:eastAsia="Arial" w:hAnsi="Arial"/>
                <w:sz w:val="16"/>
                <w:szCs w:val="16"/>
                <w:color w:val="auto"/>
              </w:rPr>
              <w:t>+20%</w:t>
            </w:r>
          </w:p>
        </w:tc>
      </w:tr>
      <w:tr>
        <w:trPr>
          <w:trHeight w:val="298"/>
        </w:trPr>
        <w:tc>
          <w:tcPr>
            <w:tcW w:w="3640" w:type="dxa"/>
            <w:vAlign w:val="bottom"/>
            <w:tcBorders>
              <w:right w:val="single" w:sz="8" w:color="0072AF"/>
            </w:tcBorders>
          </w:tcPr>
          <w:p>
            <w:pPr>
              <w:ind w:left="60"/>
              <w:spacing w:after="0"/>
              <w:rPr>
                <w:sz w:val="20"/>
                <w:szCs w:val="20"/>
                <w:color w:val="auto"/>
              </w:rPr>
            </w:pPr>
            <w:r>
              <w:rPr>
                <w:rFonts w:ascii="Arial" w:cs="Arial" w:eastAsia="Arial" w:hAnsi="Arial"/>
                <w:sz w:val="16"/>
                <w:szCs w:val="16"/>
                <w:color w:val="auto"/>
              </w:rPr>
              <w:t>Bread Financial Holdings, Inc. (formerly Alliance</w:t>
            </w: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Borders>
              <w:right w:val="single" w:sz="8" w:color="0072AF"/>
            </w:tcBorders>
          </w:tcPr>
          <w:p>
            <w:pPr>
              <w:spacing w:after="0"/>
              <w:rPr>
                <w:sz w:val="24"/>
                <w:szCs w:val="24"/>
                <w:color w:val="auto"/>
              </w:rPr>
            </w:pPr>
          </w:p>
        </w:tc>
      </w:tr>
      <w:tr>
        <w:trPr>
          <w:trHeight w:val="215"/>
        </w:trPr>
        <w:tc>
          <w:tcPr>
            <w:tcW w:w="3640" w:type="dxa"/>
            <w:vAlign w:val="bottom"/>
            <w:tcBorders>
              <w:right w:val="single" w:sz="8" w:color="0072AF"/>
            </w:tcBorders>
          </w:tcPr>
          <w:p>
            <w:pPr>
              <w:ind w:left="60"/>
              <w:spacing w:after="0"/>
              <w:rPr>
                <w:sz w:val="20"/>
                <w:szCs w:val="20"/>
                <w:color w:val="auto"/>
              </w:rPr>
            </w:pPr>
            <w:r>
              <w:rPr>
                <w:rFonts w:ascii="Arial" w:cs="Arial" w:eastAsia="Arial" w:hAnsi="Arial"/>
                <w:sz w:val="16"/>
                <w:szCs w:val="16"/>
                <w:color w:val="auto"/>
              </w:rPr>
              <w:t>Data Systems Corporation)</w:t>
            </w:r>
          </w:p>
        </w:tc>
        <w:tc>
          <w:tcPr>
            <w:tcW w:w="940" w:type="dxa"/>
            <w:vAlign w:val="bottom"/>
          </w:tcPr>
          <w:p>
            <w:pPr>
              <w:jc w:val="center"/>
              <w:spacing w:after="0"/>
              <w:rPr>
                <w:sz w:val="20"/>
                <w:szCs w:val="20"/>
                <w:color w:val="auto"/>
              </w:rPr>
            </w:pPr>
            <w:r>
              <w:rPr>
                <w:rFonts w:ascii="Arial" w:cs="Arial" w:eastAsia="Arial" w:hAnsi="Arial"/>
                <w:sz w:val="16"/>
                <w:szCs w:val="16"/>
                <w:color w:val="auto"/>
              </w:rPr>
              <w:t>$ 3,060</w:t>
            </w:r>
          </w:p>
        </w:tc>
        <w:tc>
          <w:tcPr>
            <w:tcW w:w="1740" w:type="dxa"/>
            <w:vAlign w:val="bottom"/>
            <w:gridSpan w:val="2"/>
          </w:tcPr>
          <w:p>
            <w:pPr>
              <w:ind w:left="540"/>
              <w:spacing w:after="0"/>
              <w:rPr>
                <w:sz w:val="20"/>
                <w:szCs w:val="20"/>
                <w:color w:val="auto"/>
              </w:rPr>
            </w:pPr>
            <w:r>
              <w:rPr>
                <w:rFonts w:ascii="Arial" w:cs="Arial" w:eastAsia="Arial" w:hAnsi="Arial"/>
                <w:sz w:val="16"/>
                <w:szCs w:val="16"/>
                <w:color w:val="auto"/>
              </w:rPr>
              <w:t>$ 1,625</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-10%</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-16%</w:t>
            </w:r>
          </w:p>
        </w:tc>
        <w:tc>
          <w:tcPr>
            <w:tcW w:w="980" w:type="dxa"/>
            <w:vAlign w:val="bottom"/>
            <w:tcBorders>
              <w:right w:val="single" w:sz="8" w:color="0072AF"/>
            </w:tcBorders>
          </w:tcPr>
          <w:p>
            <w:pPr>
              <w:jc w:val="right"/>
              <w:ind w:right="139"/>
              <w:spacing w:after="0"/>
              <w:rPr>
                <w:sz w:val="20"/>
                <w:szCs w:val="20"/>
                <w:color w:val="auto"/>
              </w:rPr>
            </w:pPr>
            <w:r>
              <w:rPr>
                <w:rFonts w:ascii="Arial" w:cs="Arial" w:eastAsia="Arial" w:hAnsi="Arial"/>
                <w:sz w:val="16"/>
                <w:szCs w:val="16"/>
                <w:color w:val="auto"/>
              </w:rPr>
              <w:t>-21%</w:t>
            </w:r>
          </w:p>
        </w:tc>
      </w:tr>
      <w:tr>
        <w:trPr>
          <w:trHeight w:val="324"/>
        </w:trPr>
        <w:tc>
          <w:tcPr>
            <w:tcW w:w="3640" w:type="dxa"/>
            <w:vAlign w:val="bottom"/>
            <w:tcBorders>
              <w:right w:val="single" w:sz="8" w:color="0072AF"/>
            </w:tcBorders>
          </w:tcPr>
          <w:p>
            <w:pPr>
              <w:ind w:left="60"/>
              <w:spacing w:after="0"/>
              <w:rPr>
                <w:sz w:val="20"/>
                <w:szCs w:val="20"/>
                <w:color w:val="auto"/>
              </w:rPr>
            </w:pPr>
            <w:r>
              <w:rPr>
                <w:rFonts w:ascii="Arial" w:cs="Arial" w:eastAsia="Arial" w:hAnsi="Arial"/>
                <w:sz w:val="16"/>
                <w:szCs w:val="16"/>
                <w:color w:val="auto"/>
              </w:rPr>
              <w:t>Cimpress plc</w:t>
            </w:r>
          </w:p>
        </w:tc>
        <w:tc>
          <w:tcPr>
            <w:tcW w:w="940" w:type="dxa"/>
            <w:vAlign w:val="bottom"/>
          </w:tcPr>
          <w:p>
            <w:pPr>
              <w:jc w:val="center"/>
              <w:spacing w:after="0"/>
              <w:rPr>
                <w:sz w:val="20"/>
                <w:szCs w:val="20"/>
                <w:color w:val="auto"/>
              </w:rPr>
            </w:pPr>
            <w:r>
              <w:rPr>
                <w:rFonts w:ascii="Arial" w:cs="Arial" w:eastAsia="Arial" w:hAnsi="Arial"/>
                <w:sz w:val="16"/>
                <w:szCs w:val="16"/>
                <w:color w:val="auto"/>
              </w:rPr>
              <w:t>$ 3,080</w:t>
            </w:r>
          </w:p>
        </w:tc>
        <w:tc>
          <w:tcPr>
            <w:tcW w:w="1740" w:type="dxa"/>
            <w:vAlign w:val="bottom"/>
            <w:gridSpan w:val="2"/>
          </w:tcPr>
          <w:p>
            <w:pPr>
              <w:ind w:left="540"/>
              <w:spacing w:after="0"/>
              <w:rPr>
                <w:sz w:val="20"/>
                <w:szCs w:val="20"/>
                <w:color w:val="auto"/>
              </w:rPr>
            </w:pPr>
            <w:r>
              <w:rPr>
                <w:rFonts w:ascii="Arial" w:cs="Arial" w:eastAsia="Arial" w:hAnsi="Arial"/>
                <w:sz w:val="16"/>
                <w:szCs w:val="16"/>
                <w:color w:val="auto"/>
              </w:rPr>
              <w:t>$ 2,129</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+190%</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980" w:type="dxa"/>
            <w:vAlign w:val="bottom"/>
            <w:tcBorders>
              <w:right w:val="single" w:sz="8" w:color="0072AF"/>
            </w:tcBorders>
          </w:tcPr>
          <w:p>
            <w:pPr>
              <w:jc w:val="right"/>
              <w:ind w:right="139"/>
              <w:spacing w:after="0"/>
              <w:rPr>
                <w:sz w:val="20"/>
                <w:szCs w:val="20"/>
                <w:color w:val="auto"/>
              </w:rPr>
            </w:pPr>
            <w:r>
              <w:rPr>
                <w:rFonts w:ascii="Arial" w:cs="Arial" w:eastAsia="Arial" w:hAnsi="Arial"/>
                <w:sz w:val="16"/>
                <w:szCs w:val="16"/>
                <w:color w:val="auto"/>
              </w:rPr>
              <w:t>-5%</w:t>
            </w:r>
          </w:p>
        </w:tc>
      </w:tr>
      <w:tr>
        <w:trPr>
          <w:trHeight w:val="324"/>
        </w:trPr>
        <w:tc>
          <w:tcPr>
            <w:tcW w:w="3640" w:type="dxa"/>
            <w:vAlign w:val="bottom"/>
            <w:tcBorders>
              <w:right w:val="single" w:sz="8" w:color="0072AF"/>
            </w:tcBorders>
          </w:tcPr>
          <w:p>
            <w:pPr>
              <w:ind w:left="60"/>
              <w:spacing w:after="0"/>
              <w:rPr>
                <w:sz w:val="20"/>
                <w:szCs w:val="20"/>
                <w:color w:val="auto"/>
              </w:rPr>
            </w:pPr>
            <w:r>
              <w:rPr>
                <w:rFonts w:ascii="Arial" w:cs="Arial" w:eastAsia="Arial" w:hAnsi="Arial"/>
                <w:sz w:val="16"/>
                <w:szCs w:val="16"/>
                <w:color w:val="auto"/>
              </w:rPr>
              <w:t>Deluxe Corporation</w:t>
            </w:r>
          </w:p>
        </w:tc>
        <w:tc>
          <w:tcPr>
            <w:tcW w:w="940" w:type="dxa"/>
            <w:vAlign w:val="bottom"/>
          </w:tcPr>
          <w:p>
            <w:pPr>
              <w:jc w:val="center"/>
              <w:spacing w:after="0"/>
              <w:rPr>
                <w:sz w:val="20"/>
                <w:szCs w:val="20"/>
                <w:color w:val="auto"/>
              </w:rPr>
            </w:pPr>
            <w:r>
              <w:rPr>
                <w:rFonts w:ascii="Arial" w:cs="Arial" w:eastAsia="Arial" w:hAnsi="Arial"/>
                <w:sz w:val="16"/>
                <w:szCs w:val="16"/>
                <w:color w:val="auto"/>
              </w:rPr>
              <w:t>$ 2,192</w:t>
            </w:r>
          </w:p>
        </w:tc>
        <w:tc>
          <w:tcPr>
            <w:tcW w:w="640" w:type="dxa"/>
            <w:vAlign w:val="bottom"/>
          </w:tcPr>
          <w:p>
            <w:pPr>
              <w:ind w:left="5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59"/>
              <w:spacing w:after="0"/>
              <w:rPr>
                <w:sz w:val="20"/>
                <w:szCs w:val="20"/>
                <w:color w:val="auto"/>
              </w:rPr>
            </w:pPr>
            <w:r>
              <w:rPr>
                <w:rFonts w:ascii="Arial" w:cs="Arial" w:eastAsia="Arial" w:hAnsi="Arial"/>
                <w:sz w:val="16"/>
                <w:szCs w:val="16"/>
                <w:color w:val="auto"/>
              </w:rPr>
              <w:t>937</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+35%</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980" w:type="dxa"/>
            <w:vAlign w:val="bottom"/>
            <w:tcBorders>
              <w:right w:val="single" w:sz="8" w:color="0072AF"/>
            </w:tcBorders>
          </w:tcPr>
          <w:p>
            <w:pPr>
              <w:jc w:val="right"/>
              <w:ind w:right="139"/>
              <w:spacing w:after="0"/>
              <w:rPr>
                <w:sz w:val="20"/>
                <w:szCs w:val="20"/>
                <w:color w:val="auto"/>
              </w:rPr>
            </w:pPr>
            <w:r>
              <w:rPr>
                <w:rFonts w:ascii="Arial" w:cs="Arial" w:eastAsia="Arial" w:hAnsi="Arial"/>
                <w:sz w:val="16"/>
                <w:szCs w:val="16"/>
                <w:color w:val="auto"/>
              </w:rPr>
              <w:t>-7%</w:t>
            </w:r>
          </w:p>
        </w:tc>
      </w:tr>
      <w:tr>
        <w:trPr>
          <w:trHeight w:val="324"/>
        </w:trPr>
        <w:tc>
          <w:tcPr>
            <w:tcW w:w="3640" w:type="dxa"/>
            <w:vAlign w:val="bottom"/>
            <w:tcBorders>
              <w:right w:val="single" w:sz="8" w:color="0072AF"/>
            </w:tcBorders>
          </w:tcPr>
          <w:p>
            <w:pPr>
              <w:ind w:left="60"/>
              <w:spacing w:after="0"/>
              <w:rPr>
                <w:sz w:val="20"/>
                <w:szCs w:val="20"/>
                <w:color w:val="auto"/>
              </w:rPr>
            </w:pPr>
            <w:r>
              <w:rPr>
                <w:rFonts w:ascii="Arial" w:cs="Arial" w:eastAsia="Arial" w:hAnsi="Arial"/>
                <w:sz w:val="16"/>
                <w:szCs w:val="16"/>
                <w:color w:val="auto"/>
              </w:rPr>
              <w:t>Diebold, Incorporated</w:t>
            </w:r>
          </w:p>
        </w:tc>
        <w:tc>
          <w:tcPr>
            <w:tcW w:w="940" w:type="dxa"/>
            <w:vAlign w:val="bottom"/>
          </w:tcPr>
          <w:p>
            <w:pPr>
              <w:jc w:val="center"/>
              <w:spacing w:after="0"/>
              <w:rPr>
                <w:sz w:val="20"/>
                <w:szCs w:val="20"/>
                <w:color w:val="auto"/>
              </w:rPr>
            </w:pPr>
            <w:r>
              <w:rPr>
                <w:rFonts w:ascii="Arial" w:cs="Arial" w:eastAsia="Arial" w:hAnsi="Arial"/>
                <w:sz w:val="16"/>
                <w:szCs w:val="16"/>
                <w:color w:val="auto"/>
              </w:rPr>
              <w:t>$ 3,693</w:t>
            </w:r>
          </w:p>
        </w:tc>
        <w:tc>
          <w:tcPr>
            <w:tcW w:w="1740" w:type="dxa"/>
            <w:vAlign w:val="bottom"/>
            <w:gridSpan w:val="2"/>
          </w:tcPr>
          <w:p>
            <w:pPr>
              <w:ind w:left="540"/>
              <w:spacing w:after="0"/>
              <w:rPr>
                <w:sz w:val="20"/>
                <w:szCs w:val="20"/>
                <w:color w:val="auto"/>
              </w:rPr>
            </w:pPr>
            <w:r>
              <w:rPr>
                <w:rFonts w:ascii="Arial" w:cs="Arial" w:eastAsia="Arial" w:hAnsi="Arial"/>
                <w:sz w:val="16"/>
                <w:szCs w:val="16"/>
                <w:color w:val="auto"/>
              </w:rPr>
              <w:t>$ 1,088</w:t>
            </w:r>
          </w:p>
        </w:tc>
        <w:tc>
          <w:tcPr>
            <w:tcW w:w="96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0072AF"/>
            </w:tcBorders>
          </w:tcPr>
          <w:p>
            <w:pPr>
              <w:jc w:val="right"/>
              <w:ind w:right="299"/>
              <w:spacing w:after="0"/>
              <w:rPr>
                <w:sz w:val="20"/>
                <w:szCs w:val="20"/>
                <w:color w:val="auto"/>
              </w:rPr>
            </w:pPr>
            <w:r>
              <w:rPr>
                <w:rFonts w:ascii="Arial" w:cs="Arial" w:eastAsia="Arial" w:hAnsi="Arial"/>
                <w:sz w:val="16"/>
                <w:szCs w:val="16"/>
                <w:color w:val="auto"/>
              </w:rPr>
              <w:t>-</w:t>
            </w:r>
          </w:p>
        </w:tc>
      </w:tr>
      <w:tr>
        <w:trPr>
          <w:trHeight w:val="324"/>
        </w:trPr>
        <w:tc>
          <w:tcPr>
            <w:tcW w:w="3640" w:type="dxa"/>
            <w:vAlign w:val="bottom"/>
            <w:tcBorders>
              <w:right w:val="single" w:sz="8" w:color="0072AF"/>
            </w:tcBorders>
          </w:tcPr>
          <w:p>
            <w:pPr>
              <w:ind w:left="60"/>
              <w:spacing w:after="0"/>
              <w:rPr>
                <w:sz w:val="20"/>
                <w:szCs w:val="20"/>
                <w:color w:val="auto"/>
              </w:rPr>
            </w:pPr>
            <w:r>
              <w:rPr>
                <w:rFonts w:ascii="Arial" w:cs="Arial" w:eastAsia="Arial" w:hAnsi="Arial"/>
                <w:sz w:val="16"/>
                <w:szCs w:val="16"/>
                <w:color w:val="auto"/>
              </w:rPr>
              <w:t>Etsy, Inc.</w:t>
            </w:r>
          </w:p>
        </w:tc>
        <w:tc>
          <w:tcPr>
            <w:tcW w:w="940" w:type="dxa"/>
            <w:vAlign w:val="bottom"/>
          </w:tcPr>
          <w:p>
            <w:pPr>
              <w:jc w:val="center"/>
              <w:spacing w:after="0"/>
              <w:rPr>
                <w:sz w:val="20"/>
                <w:szCs w:val="20"/>
                <w:color w:val="auto"/>
              </w:rPr>
            </w:pPr>
            <w:r>
              <w:rPr>
                <w:rFonts w:ascii="Arial" w:cs="Arial" w:eastAsia="Arial" w:hAnsi="Arial"/>
                <w:sz w:val="16"/>
                <w:szCs w:val="16"/>
                <w:color w:val="auto"/>
              </w:rPr>
              <w:t>$ 2,748</w:t>
            </w:r>
          </w:p>
        </w:tc>
        <w:tc>
          <w:tcPr>
            <w:tcW w:w="1740" w:type="dxa"/>
            <w:vAlign w:val="bottom"/>
            <w:gridSpan w:val="2"/>
          </w:tcPr>
          <w:p>
            <w:pPr>
              <w:ind w:left="540"/>
              <w:spacing w:after="0"/>
              <w:rPr>
                <w:sz w:val="20"/>
                <w:szCs w:val="20"/>
                <w:color w:val="auto"/>
              </w:rPr>
            </w:pPr>
            <w:r>
              <w:rPr>
                <w:rFonts w:ascii="Arial" w:cs="Arial" w:eastAsia="Arial" w:hAnsi="Arial"/>
                <w:sz w:val="16"/>
                <w:szCs w:val="16"/>
                <w:color w:val="auto"/>
              </w:rPr>
              <w:t>$ 9,705</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-32%</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-23%</w:t>
            </w:r>
          </w:p>
        </w:tc>
        <w:tc>
          <w:tcPr>
            <w:tcW w:w="980" w:type="dxa"/>
            <w:vAlign w:val="bottom"/>
            <w:tcBorders>
              <w:right w:val="single" w:sz="8" w:color="0072AF"/>
            </w:tcBorders>
          </w:tcPr>
          <w:p>
            <w:pPr>
              <w:jc w:val="right"/>
              <w:ind w:right="139"/>
              <w:spacing w:after="0"/>
              <w:rPr>
                <w:sz w:val="20"/>
                <w:szCs w:val="20"/>
                <w:color w:val="auto"/>
              </w:rPr>
            </w:pPr>
            <w:r>
              <w:rPr>
                <w:rFonts w:ascii="Arial" w:cs="Arial" w:eastAsia="Arial" w:hAnsi="Arial"/>
                <w:sz w:val="16"/>
                <w:szCs w:val="16"/>
                <w:color w:val="auto"/>
              </w:rPr>
              <w:t>+11%</w:t>
            </w:r>
          </w:p>
        </w:tc>
      </w:tr>
      <w:tr>
        <w:trPr>
          <w:trHeight w:val="324"/>
        </w:trPr>
        <w:tc>
          <w:tcPr>
            <w:tcW w:w="3640" w:type="dxa"/>
            <w:vAlign w:val="bottom"/>
            <w:tcBorders>
              <w:right w:val="single" w:sz="8" w:color="0072AF"/>
            </w:tcBorders>
          </w:tcPr>
          <w:p>
            <w:pPr>
              <w:ind w:left="60"/>
              <w:spacing w:after="0"/>
              <w:rPr>
                <w:sz w:val="20"/>
                <w:szCs w:val="20"/>
                <w:color w:val="auto"/>
              </w:rPr>
            </w:pPr>
            <w:r>
              <w:rPr>
                <w:rFonts w:ascii="Arial" w:cs="Arial" w:eastAsia="Arial" w:hAnsi="Arial"/>
                <w:sz w:val="16"/>
                <w:szCs w:val="16"/>
                <w:color w:val="auto"/>
              </w:rPr>
              <w:t>Fidelity National Information Services, Inc.</w:t>
            </w:r>
          </w:p>
        </w:tc>
        <w:tc>
          <w:tcPr>
            <w:tcW w:w="940" w:type="dxa"/>
            <w:vAlign w:val="bottom"/>
          </w:tcPr>
          <w:p>
            <w:pPr>
              <w:jc w:val="center"/>
              <w:spacing w:after="0"/>
              <w:rPr>
                <w:sz w:val="20"/>
                <w:szCs w:val="20"/>
                <w:color w:val="auto"/>
              </w:rPr>
            </w:pPr>
            <w:r>
              <w:rPr>
                <w:rFonts w:ascii="Arial" w:cs="Arial" w:eastAsia="Arial" w:hAnsi="Arial"/>
                <w:sz w:val="16"/>
                <w:szCs w:val="16"/>
                <w:color w:val="auto"/>
              </w:rPr>
              <w:t>$ 9,821</w:t>
            </w:r>
          </w:p>
        </w:tc>
        <w:tc>
          <w:tcPr>
            <w:tcW w:w="1740" w:type="dxa"/>
            <w:vAlign w:val="bottom"/>
            <w:gridSpan w:val="2"/>
          </w:tcPr>
          <w:p>
            <w:pPr>
              <w:ind w:left="540"/>
              <w:spacing w:after="0"/>
              <w:rPr>
                <w:sz w:val="20"/>
                <w:szCs w:val="20"/>
                <w:color w:val="auto"/>
              </w:rPr>
            </w:pPr>
            <w:r>
              <w:rPr>
                <w:rFonts w:ascii="Arial" w:cs="Arial" w:eastAsia="Arial" w:hAnsi="Arial"/>
                <w:sz w:val="16"/>
                <w:szCs w:val="16"/>
                <w:color w:val="auto"/>
              </w:rPr>
              <w:t>$35,590</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-8%</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-23%</w:t>
            </w:r>
          </w:p>
        </w:tc>
        <w:tc>
          <w:tcPr>
            <w:tcW w:w="980" w:type="dxa"/>
            <w:vAlign w:val="bottom"/>
            <w:tcBorders>
              <w:right w:val="single" w:sz="8" w:color="0072AF"/>
            </w:tcBorders>
          </w:tcPr>
          <w:p>
            <w:pPr>
              <w:jc w:val="right"/>
              <w:ind w:right="139"/>
              <w:spacing w:after="0"/>
              <w:rPr>
                <w:sz w:val="20"/>
                <w:szCs w:val="20"/>
                <w:color w:val="auto"/>
              </w:rPr>
            </w:pPr>
            <w:r>
              <w:rPr>
                <w:rFonts w:ascii="Arial" w:cs="Arial" w:eastAsia="Arial" w:hAnsi="Arial"/>
                <w:sz w:val="16"/>
                <w:szCs w:val="16"/>
                <w:color w:val="auto"/>
              </w:rPr>
              <w:t>-8%</w:t>
            </w:r>
          </w:p>
        </w:tc>
      </w:tr>
      <w:tr>
        <w:trPr>
          <w:trHeight w:val="324"/>
        </w:trPr>
        <w:tc>
          <w:tcPr>
            <w:tcW w:w="3640" w:type="dxa"/>
            <w:vAlign w:val="bottom"/>
            <w:tcBorders>
              <w:right w:val="single" w:sz="8" w:color="0072AF"/>
            </w:tcBorders>
          </w:tcPr>
          <w:p>
            <w:pPr>
              <w:ind w:left="60"/>
              <w:spacing w:after="0"/>
              <w:rPr>
                <w:sz w:val="20"/>
                <w:szCs w:val="20"/>
                <w:color w:val="auto"/>
              </w:rPr>
            </w:pPr>
            <w:r>
              <w:rPr>
                <w:rFonts w:ascii="Arial" w:cs="Arial" w:eastAsia="Arial" w:hAnsi="Arial"/>
                <w:sz w:val="16"/>
                <w:szCs w:val="16"/>
                <w:color w:val="auto"/>
              </w:rPr>
              <w:t>Fiserv, Inc.</w:t>
            </w:r>
          </w:p>
        </w:tc>
        <w:tc>
          <w:tcPr>
            <w:tcW w:w="940" w:type="dxa"/>
            <w:vAlign w:val="bottom"/>
          </w:tcPr>
          <w:p>
            <w:pPr>
              <w:jc w:val="center"/>
              <w:spacing w:after="0"/>
              <w:rPr>
                <w:sz w:val="20"/>
                <w:szCs w:val="20"/>
                <w:color w:val="auto"/>
              </w:rPr>
            </w:pPr>
            <w:r>
              <w:rPr>
                <w:rFonts w:ascii="Arial" w:cs="Arial" w:eastAsia="Arial" w:hAnsi="Arial"/>
                <w:sz w:val="16"/>
                <w:szCs w:val="16"/>
                <w:color w:val="auto"/>
              </w:rPr>
              <w:t>$19,093</w:t>
            </w:r>
          </w:p>
        </w:tc>
        <w:tc>
          <w:tcPr>
            <w:tcW w:w="1740" w:type="dxa"/>
            <w:vAlign w:val="bottom"/>
            <w:gridSpan w:val="2"/>
          </w:tcPr>
          <w:p>
            <w:pPr>
              <w:ind w:left="540"/>
              <w:spacing w:after="0"/>
              <w:rPr>
                <w:sz w:val="20"/>
                <w:szCs w:val="20"/>
                <w:color w:val="auto"/>
              </w:rPr>
            </w:pPr>
            <w:r>
              <w:rPr>
                <w:rFonts w:ascii="Arial" w:cs="Arial" w:eastAsia="Arial" w:hAnsi="Arial"/>
                <w:sz w:val="16"/>
                <w:szCs w:val="16"/>
                <w:color w:val="auto"/>
              </w:rPr>
              <w:t>$79,729</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+31%</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980" w:type="dxa"/>
            <w:vAlign w:val="bottom"/>
            <w:tcBorders>
              <w:right w:val="single" w:sz="8" w:color="0072AF"/>
            </w:tcBorders>
          </w:tcPr>
          <w:p>
            <w:pPr>
              <w:jc w:val="right"/>
              <w:ind w:right="139"/>
              <w:spacing w:after="0"/>
              <w:rPr>
                <w:sz w:val="20"/>
                <w:szCs w:val="20"/>
                <w:color w:val="auto"/>
              </w:rPr>
            </w:pPr>
            <w:r>
              <w:rPr>
                <w:rFonts w:ascii="Arial" w:cs="Arial" w:eastAsia="Arial" w:hAnsi="Arial"/>
                <w:sz w:val="16"/>
                <w:szCs w:val="16"/>
                <w:color w:val="auto"/>
              </w:rPr>
              <w:t>+13%</w:t>
            </w:r>
          </w:p>
        </w:tc>
      </w:tr>
      <w:tr>
        <w:trPr>
          <w:trHeight w:val="324"/>
        </w:trPr>
        <w:tc>
          <w:tcPr>
            <w:tcW w:w="3640" w:type="dxa"/>
            <w:vAlign w:val="bottom"/>
            <w:tcBorders>
              <w:right w:val="single" w:sz="8" w:color="0072AF"/>
            </w:tcBorders>
          </w:tcPr>
          <w:p>
            <w:pPr>
              <w:ind w:left="60"/>
              <w:spacing w:after="0"/>
              <w:rPr>
                <w:sz w:val="20"/>
                <w:szCs w:val="20"/>
                <w:color w:val="auto"/>
              </w:rPr>
            </w:pPr>
            <w:r>
              <w:rPr>
                <w:rFonts w:ascii="Arial" w:cs="Arial" w:eastAsia="Arial" w:hAnsi="Arial"/>
                <w:sz w:val="16"/>
                <w:szCs w:val="16"/>
                <w:color w:val="auto"/>
              </w:rPr>
              <w:t>GXO Logistics</w:t>
            </w:r>
          </w:p>
        </w:tc>
        <w:tc>
          <w:tcPr>
            <w:tcW w:w="940" w:type="dxa"/>
            <w:vAlign w:val="bottom"/>
          </w:tcPr>
          <w:p>
            <w:pPr>
              <w:jc w:val="center"/>
              <w:spacing w:after="0"/>
              <w:rPr>
                <w:sz w:val="20"/>
                <w:szCs w:val="20"/>
                <w:color w:val="auto"/>
              </w:rPr>
            </w:pPr>
            <w:r>
              <w:rPr>
                <w:rFonts w:ascii="Arial" w:cs="Arial" w:eastAsia="Arial" w:hAnsi="Arial"/>
                <w:sz w:val="16"/>
                <w:szCs w:val="16"/>
                <w:color w:val="auto"/>
              </w:rPr>
              <w:t>$ 9,778</w:t>
            </w:r>
          </w:p>
        </w:tc>
        <w:tc>
          <w:tcPr>
            <w:tcW w:w="1740" w:type="dxa"/>
            <w:vAlign w:val="bottom"/>
            <w:gridSpan w:val="2"/>
          </w:tcPr>
          <w:p>
            <w:pPr>
              <w:ind w:left="540"/>
              <w:spacing w:after="0"/>
              <w:rPr>
                <w:sz w:val="20"/>
                <w:szCs w:val="20"/>
                <w:color w:val="auto"/>
              </w:rPr>
            </w:pPr>
            <w:r>
              <w:rPr>
                <w:rFonts w:ascii="Arial" w:cs="Arial" w:eastAsia="Arial" w:hAnsi="Arial"/>
                <w:sz w:val="16"/>
                <w:szCs w:val="16"/>
                <w:color w:val="auto"/>
              </w:rPr>
              <w:t>$ 7,275</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+43%</w:t>
            </w: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0072AF"/>
            </w:tcBorders>
          </w:tcPr>
          <w:p>
            <w:pPr>
              <w:jc w:val="right"/>
              <w:ind w:right="299"/>
              <w:spacing w:after="0"/>
              <w:rPr>
                <w:sz w:val="20"/>
                <w:szCs w:val="20"/>
                <w:color w:val="auto"/>
              </w:rPr>
            </w:pPr>
            <w:r>
              <w:rPr>
                <w:rFonts w:ascii="Arial" w:cs="Arial" w:eastAsia="Arial" w:hAnsi="Arial"/>
                <w:sz w:val="16"/>
                <w:szCs w:val="16"/>
                <w:color w:val="auto"/>
              </w:rPr>
              <w:t>-</w:t>
            </w:r>
          </w:p>
        </w:tc>
      </w:tr>
      <w:tr>
        <w:trPr>
          <w:trHeight w:val="324"/>
        </w:trPr>
        <w:tc>
          <w:tcPr>
            <w:tcW w:w="3640" w:type="dxa"/>
            <w:vAlign w:val="bottom"/>
            <w:tcBorders>
              <w:right w:val="single" w:sz="8" w:color="0072AF"/>
            </w:tcBorders>
          </w:tcPr>
          <w:p>
            <w:pPr>
              <w:ind w:left="60"/>
              <w:spacing w:after="0"/>
              <w:rPr>
                <w:sz w:val="20"/>
                <w:szCs w:val="20"/>
                <w:color w:val="auto"/>
              </w:rPr>
            </w:pPr>
            <w:r>
              <w:rPr>
                <w:rFonts w:ascii="Arial" w:cs="Arial" w:eastAsia="Arial" w:hAnsi="Arial"/>
                <w:sz w:val="16"/>
                <w:szCs w:val="16"/>
                <w:color w:val="auto"/>
              </w:rPr>
              <w:t>Hub Group, Inc.</w:t>
            </w:r>
          </w:p>
        </w:tc>
        <w:tc>
          <w:tcPr>
            <w:tcW w:w="940" w:type="dxa"/>
            <w:vAlign w:val="bottom"/>
          </w:tcPr>
          <w:p>
            <w:pPr>
              <w:jc w:val="center"/>
              <w:spacing w:after="0"/>
              <w:rPr>
                <w:sz w:val="20"/>
                <w:szCs w:val="20"/>
                <w:color w:val="auto"/>
              </w:rPr>
            </w:pPr>
            <w:r>
              <w:rPr>
                <w:rFonts w:ascii="Arial" w:cs="Arial" w:eastAsia="Arial" w:hAnsi="Arial"/>
                <w:sz w:val="16"/>
                <w:szCs w:val="16"/>
                <w:color w:val="auto"/>
              </w:rPr>
              <w:t>$ 4,203</w:t>
            </w:r>
          </w:p>
        </w:tc>
        <w:tc>
          <w:tcPr>
            <w:tcW w:w="1740" w:type="dxa"/>
            <w:vAlign w:val="bottom"/>
            <w:gridSpan w:val="2"/>
          </w:tcPr>
          <w:p>
            <w:pPr>
              <w:ind w:left="540"/>
              <w:spacing w:after="0"/>
              <w:rPr>
                <w:sz w:val="20"/>
                <w:szCs w:val="20"/>
                <w:color w:val="auto"/>
              </w:rPr>
            </w:pPr>
            <w:r>
              <w:rPr>
                <w:rFonts w:ascii="Arial" w:cs="Arial" w:eastAsia="Arial" w:hAnsi="Arial"/>
                <w:sz w:val="16"/>
                <w:szCs w:val="16"/>
                <w:color w:val="auto"/>
              </w:rPr>
              <w:t>$ 2,921</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+16%</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+17%</w:t>
            </w:r>
          </w:p>
        </w:tc>
        <w:tc>
          <w:tcPr>
            <w:tcW w:w="980" w:type="dxa"/>
            <w:vAlign w:val="bottom"/>
            <w:tcBorders>
              <w:right w:val="single" w:sz="8" w:color="0072AF"/>
            </w:tcBorders>
          </w:tcPr>
          <w:p>
            <w:pPr>
              <w:jc w:val="right"/>
              <w:ind w:right="139"/>
              <w:spacing w:after="0"/>
              <w:rPr>
                <w:sz w:val="20"/>
                <w:szCs w:val="20"/>
                <w:color w:val="auto"/>
              </w:rPr>
            </w:pPr>
            <w:r>
              <w:rPr>
                <w:rFonts w:ascii="Arial" w:cs="Arial" w:eastAsia="Arial" w:hAnsi="Arial"/>
                <w:sz w:val="16"/>
                <w:szCs w:val="16"/>
                <w:color w:val="auto"/>
              </w:rPr>
              <w:t>+20%</w:t>
            </w:r>
          </w:p>
        </w:tc>
      </w:tr>
      <w:tr>
        <w:trPr>
          <w:trHeight w:val="324"/>
        </w:trPr>
        <w:tc>
          <w:tcPr>
            <w:tcW w:w="3640" w:type="dxa"/>
            <w:vAlign w:val="bottom"/>
            <w:tcBorders>
              <w:right w:val="single" w:sz="8" w:color="0072AF"/>
            </w:tcBorders>
          </w:tcPr>
          <w:p>
            <w:pPr>
              <w:ind w:left="60"/>
              <w:spacing w:after="0"/>
              <w:rPr>
                <w:sz w:val="20"/>
                <w:szCs w:val="20"/>
                <w:color w:val="auto"/>
              </w:rPr>
            </w:pPr>
            <w:r>
              <w:rPr>
                <w:rFonts w:ascii="Arial" w:cs="Arial" w:eastAsia="Arial" w:hAnsi="Arial"/>
                <w:sz w:val="16"/>
                <w:szCs w:val="16"/>
                <w:color w:val="auto"/>
              </w:rPr>
              <w:t>NCR Voyix Corporation</w:t>
            </w:r>
          </w:p>
        </w:tc>
        <w:tc>
          <w:tcPr>
            <w:tcW w:w="940" w:type="dxa"/>
            <w:vAlign w:val="bottom"/>
          </w:tcPr>
          <w:p>
            <w:pPr>
              <w:jc w:val="center"/>
              <w:spacing w:after="0"/>
              <w:rPr>
                <w:sz w:val="20"/>
                <w:szCs w:val="20"/>
                <w:color w:val="auto"/>
              </w:rPr>
            </w:pPr>
            <w:r>
              <w:rPr>
                <w:rFonts w:ascii="Arial" w:cs="Arial" w:eastAsia="Arial" w:hAnsi="Arial"/>
                <w:sz w:val="16"/>
                <w:szCs w:val="16"/>
                <w:color w:val="auto"/>
              </w:rPr>
              <w:t>$ 7,903</w:t>
            </w:r>
          </w:p>
        </w:tc>
        <w:tc>
          <w:tcPr>
            <w:tcW w:w="1740" w:type="dxa"/>
            <w:vAlign w:val="bottom"/>
            <w:gridSpan w:val="2"/>
          </w:tcPr>
          <w:p>
            <w:pPr>
              <w:ind w:left="540"/>
              <w:spacing w:after="0"/>
              <w:rPr>
                <w:sz w:val="20"/>
                <w:szCs w:val="20"/>
                <w:color w:val="auto"/>
              </w:rPr>
            </w:pPr>
            <w:r>
              <w:rPr>
                <w:rFonts w:ascii="Arial" w:cs="Arial" w:eastAsia="Arial" w:hAnsi="Arial"/>
                <w:sz w:val="16"/>
                <w:szCs w:val="16"/>
                <w:color w:val="auto"/>
              </w:rPr>
              <w:t>$ 2,388</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+18%</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980" w:type="dxa"/>
            <w:vAlign w:val="bottom"/>
            <w:tcBorders>
              <w:right w:val="single" w:sz="8" w:color="0072AF"/>
            </w:tcBorders>
          </w:tcPr>
          <w:p>
            <w:pPr>
              <w:jc w:val="right"/>
              <w:ind w:right="139"/>
              <w:spacing w:after="0"/>
              <w:rPr>
                <w:sz w:val="20"/>
                <w:szCs w:val="20"/>
                <w:color w:val="auto"/>
              </w:rPr>
            </w:pPr>
            <w:r>
              <w:rPr>
                <w:rFonts w:ascii="Arial" w:cs="Arial" w:eastAsia="Arial" w:hAnsi="Arial"/>
                <w:sz w:val="16"/>
                <w:szCs w:val="16"/>
                <w:color w:val="auto"/>
              </w:rPr>
              <w:t>+4%</w:t>
            </w:r>
          </w:p>
        </w:tc>
      </w:tr>
      <w:tr>
        <w:trPr>
          <w:trHeight w:val="324"/>
        </w:trPr>
        <w:tc>
          <w:tcPr>
            <w:tcW w:w="3640" w:type="dxa"/>
            <w:vAlign w:val="bottom"/>
            <w:tcBorders>
              <w:right w:val="single" w:sz="8" w:color="0072AF"/>
            </w:tcBorders>
          </w:tcPr>
          <w:p>
            <w:pPr>
              <w:ind w:left="60"/>
              <w:spacing w:after="0"/>
              <w:rPr>
                <w:sz w:val="20"/>
                <w:szCs w:val="20"/>
                <w:color w:val="auto"/>
              </w:rPr>
            </w:pPr>
            <w:r>
              <w:rPr>
                <w:rFonts w:ascii="Arial" w:cs="Arial" w:eastAsia="Arial" w:hAnsi="Arial"/>
                <w:sz w:val="16"/>
                <w:szCs w:val="16"/>
                <w:color w:val="auto"/>
              </w:rPr>
              <w:t>Beyond, Inc. (formerly Overstock.com, Inc.)</w:t>
            </w:r>
          </w:p>
        </w:tc>
        <w:tc>
          <w:tcPr>
            <w:tcW w:w="940" w:type="dxa"/>
            <w:vAlign w:val="bottom"/>
          </w:tcPr>
          <w:p>
            <w:pPr>
              <w:jc w:val="center"/>
              <w:spacing w:after="0"/>
              <w:rPr>
                <w:sz w:val="20"/>
                <w:szCs w:val="20"/>
                <w:color w:val="auto"/>
              </w:rPr>
            </w:pPr>
            <w:r>
              <w:rPr>
                <w:rFonts w:ascii="Arial" w:cs="Arial" w:eastAsia="Arial" w:hAnsi="Arial"/>
                <w:sz w:val="16"/>
                <w:szCs w:val="16"/>
                <w:color w:val="auto"/>
              </w:rPr>
              <w:t>$ 1,561</w:t>
            </w:r>
          </w:p>
        </w:tc>
        <w:tc>
          <w:tcPr>
            <w:tcW w:w="1740" w:type="dxa"/>
            <w:vAlign w:val="bottom"/>
            <w:gridSpan w:val="2"/>
          </w:tcPr>
          <w:p>
            <w:pPr>
              <w:ind w:left="540"/>
              <w:spacing w:after="0"/>
              <w:rPr>
                <w:sz w:val="20"/>
                <w:szCs w:val="20"/>
                <w:color w:val="auto"/>
              </w:rPr>
            </w:pPr>
            <w:r>
              <w:rPr>
                <w:rFonts w:ascii="Arial" w:cs="Arial" w:eastAsia="Arial" w:hAnsi="Arial"/>
                <w:sz w:val="16"/>
                <w:szCs w:val="16"/>
                <w:color w:val="auto"/>
              </w:rPr>
              <w:t>$ 1,254</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+43%</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-17%</w:t>
            </w:r>
          </w:p>
        </w:tc>
        <w:tc>
          <w:tcPr>
            <w:tcW w:w="980" w:type="dxa"/>
            <w:vAlign w:val="bottom"/>
            <w:tcBorders>
              <w:right w:val="single" w:sz="8" w:color="0072AF"/>
            </w:tcBorders>
          </w:tcPr>
          <w:p>
            <w:pPr>
              <w:jc w:val="right"/>
              <w:ind w:right="139"/>
              <w:spacing w:after="0"/>
              <w:rPr>
                <w:sz w:val="20"/>
                <w:szCs w:val="20"/>
                <w:color w:val="auto"/>
              </w:rPr>
            </w:pPr>
            <w:r>
              <w:rPr>
                <w:rFonts w:ascii="Arial" w:cs="Arial" w:eastAsia="Arial" w:hAnsi="Arial"/>
                <w:sz w:val="16"/>
                <w:szCs w:val="16"/>
                <w:color w:val="auto"/>
              </w:rPr>
              <w:t>+15%</w:t>
            </w:r>
          </w:p>
        </w:tc>
      </w:tr>
      <w:tr>
        <w:trPr>
          <w:trHeight w:val="324"/>
        </w:trPr>
        <w:tc>
          <w:tcPr>
            <w:tcW w:w="3640" w:type="dxa"/>
            <w:vAlign w:val="bottom"/>
            <w:tcBorders>
              <w:right w:val="single" w:sz="8" w:color="0072AF"/>
            </w:tcBorders>
          </w:tcPr>
          <w:p>
            <w:pPr>
              <w:ind w:left="60"/>
              <w:spacing w:after="0"/>
              <w:rPr>
                <w:sz w:val="20"/>
                <w:szCs w:val="20"/>
                <w:color w:val="auto"/>
              </w:rPr>
            </w:pPr>
            <w:r>
              <w:rPr>
                <w:rFonts w:ascii="Arial" w:cs="Arial" w:eastAsia="Arial" w:hAnsi="Arial"/>
                <w:sz w:val="16"/>
                <w:szCs w:val="16"/>
                <w:color w:val="auto"/>
              </w:rPr>
              <w:t>Rockwell Automation Inc.</w:t>
            </w:r>
          </w:p>
        </w:tc>
        <w:tc>
          <w:tcPr>
            <w:tcW w:w="940" w:type="dxa"/>
            <w:vAlign w:val="bottom"/>
          </w:tcPr>
          <w:p>
            <w:pPr>
              <w:jc w:val="center"/>
              <w:spacing w:after="0"/>
              <w:rPr>
                <w:sz w:val="20"/>
                <w:szCs w:val="20"/>
                <w:color w:val="auto"/>
              </w:rPr>
            </w:pPr>
            <w:r>
              <w:rPr>
                <w:rFonts w:ascii="Arial" w:cs="Arial" w:eastAsia="Arial" w:hAnsi="Arial"/>
                <w:sz w:val="16"/>
                <w:szCs w:val="16"/>
                <w:color w:val="auto"/>
              </w:rPr>
              <w:t>$ 9,058</w:t>
            </w:r>
          </w:p>
        </w:tc>
        <w:tc>
          <w:tcPr>
            <w:tcW w:w="1740" w:type="dxa"/>
            <w:vAlign w:val="bottom"/>
            <w:gridSpan w:val="2"/>
          </w:tcPr>
          <w:p>
            <w:pPr>
              <w:ind w:left="540"/>
              <w:spacing w:after="0"/>
              <w:rPr>
                <w:sz w:val="20"/>
                <w:szCs w:val="20"/>
                <w:color w:val="auto"/>
              </w:rPr>
            </w:pPr>
            <w:r>
              <w:rPr>
                <w:rFonts w:ascii="Arial" w:cs="Arial" w:eastAsia="Arial" w:hAnsi="Arial"/>
                <w:sz w:val="16"/>
                <w:szCs w:val="16"/>
                <w:color w:val="auto"/>
              </w:rPr>
              <w:t>$35,575</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+23%</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+9%</w:t>
            </w:r>
          </w:p>
        </w:tc>
        <w:tc>
          <w:tcPr>
            <w:tcW w:w="980" w:type="dxa"/>
            <w:vAlign w:val="bottom"/>
            <w:tcBorders>
              <w:right w:val="single" w:sz="8" w:color="0072AF"/>
            </w:tcBorders>
          </w:tcPr>
          <w:p>
            <w:pPr>
              <w:jc w:val="right"/>
              <w:ind w:right="139"/>
              <w:spacing w:after="0"/>
              <w:rPr>
                <w:sz w:val="20"/>
                <w:szCs w:val="20"/>
                <w:color w:val="auto"/>
              </w:rPr>
            </w:pPr>
            <w:r>
              <w:rPr>
                <w:rFonts w:ascii="Arial" w:cs="Arial" w:eastAsia="Arial" w:hAnsi="Arial"/>
                <w:sz w:val="16"/>
                <w:szCs w:val="16"/>
                <w:color w:val="auto"/>
              </w:rPr>
              <w:t>+18%</w:t>
            </w:r>
          </w:p>
        </w:tc>
      </w:tr>
      <w:tr>
        <w:trPr>
          <w:trHeight w:val="324"/>
        </w:trPr>
        <w:tc>
          <w:tcPr>
            <w:tcW w:w="3640" w:type="dxa"/>
            <w:vAlign w:val="bottom"/>
            <w:tcBorders>
              <w:right w:val="single" w:sz="8" w:color="0072AF"/>
            </w:tcBorders>
          </w:tcPr>
          <w:p>
            <w:pPr>
              <w:ind w:left="60"/>
              <w:spacing w:after="0"/>
              <w:rPr>
                <w:sz w:val="20"/>
                <w:szCs w:val="20"/>
                <w:color w:val="auto"/>
              </w:rPr>
            </w:pPr>
            <w:r>
              <w:rPr>
                <w:rFonts w:ascii="Arial" w:cs="Arial" w:eastAsia="Arial" w:hAnsi="Arial"/>
                <w:sz w:val="16"/>
                <w:szCs w:val="16"/>
                <w:color w:val="auto"/>
              </w:rPr>
              <w:t>Ryder System, Inc.</w:t>
            </w:r>
          </w:p>
        </w:tc>
        <w:tc>
          <w:tcPr>
            <w:tcW w:w="940" w:type="dxa"/>
            <w:vAlign w:val="bottom"/>
          </w:tcPr>
          <w:p>
            <w:pPr>
              <w:jc w:val="center"/>
              <w:spacing w:after="0"/>
              <w:rPr>
                <w:sz w:val="20"/>
                <w:szCs w:val="20"/>
                <w:color w:val="auto"/>
              </w:rPr>
            </w:pPr>
            <w:r>
              <w:rPr>
                <w:rFonts w:ascii="Arial" w:cs="Arial" w:eastAsia="Arial" w:hAnsi="Arial"/>
                <w:sz w:val="16"/>
                <w:szCs w:val="16"/>
                <w:color w:val="auto"/>
              </w:rPr>
              <w:t>$11,783</w:t>
            </w:r>
          </w:p>
        </w:tc>
        <w:tc>
          <w:tcPr>
            <w:tcW w:w="1740" w:type="dxa"/>
            <w:vAlign w:val="bottom"/>
            <w:gridSpan w:val="2"/>
          </w:tcPr>
          <w:p>
            <w:pPr>
              <w:ind w:left="540"/>
              <w:spacing w:after="0"/>
              <w:rPr>
                <w:sz w:val="20"/>
                <w:szCs w:val="20"/>
                <w:color w:val="auto"/>
              </w:rPr>
            </w:pPr>
            <w:r>
              <w:rPr>
                <w:rFonts w:ascii="Arial" w:cs="Arial" w:eastAsia="Arial" w:hAnsi="Arial"/>
                <w:sz w:val="16"/>
                <w:szCs w:val="16"/>
                <w:color w:val="auto"/>
              </w:rPr>
              <w:t>$ 5,100</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+42%</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+27%</w:t>
            </w:r>
          </w:p>
        </w:tc>
        <w:tc>
          <w:tcPr>
            <w:tcW w:w="980" w:type="dxa"/>
            <w:vAlign w:val="bottom"/>
            <w:tcBorders>
              <w:right w:val="single" w:sz="8" w:color="0072AF"/>
            </w:tcBorders>
          </w:tcPr>
          <w:p>
            <w:pPr>
              <w:jc w:val="right"/>
              <w:ind w:right="139"/>
              <w:spacing w:after="0"/>
              <w:rPr>
                <w:sz w:val="20"/>
                <w:szCs w:val="20"/>
                <w:color w:val="auto"/>
              </w:rPr>
            </w:pPr>
            <w:r>
              <w:rPr>
                <w:rFonts w:ascii="Arial" w:cs="Arial" w:eastAsia="Arial" w:hAnsi="Arial"/>
                <w:sz w:val="16"/>
                <w:szCs w:val="16"/>
                <w:color w:val="auto"/>
              </w:rPr>
              <w:t>+23%</w:t>
            </w:r>
          </w:p>
        </w:tc>
      </w:tr>
      <w:tr>
        <w:trPr>
          <w:trHeight w:val="324"/>
        </w:trPr>
        <w:tc>
          <w:tcPr>
            <w:tcW w:w="3640" w:type="dxa"/>
            <w:vAlign w:val="bottom"/>
            <w:tcBorders>
              <w:right w:val="single" w:sz="8" w:color="0072AF"/>
            </w:tcBorders>
          </w:tcPr>
          <w:p>
            <w:pPr>
              <w:ind w:left="60"/>
              <w:spacing w:after="0"/>
              <w:rPr>
                <w:sz w:val="20"/>
                <w:szCs w:val="20"/>
                <w:color w:val="auto"/>
              </w:rPr>
            </w:pPr>
            <w:r>
              <w:rPr>
                <w:rFonts w:ascii="Arial" w:cs="Arial" w:eastAsia="Arial" w:hAnsi="Arial"/>
                <w:sz w:val="16"/>
                <w:szCs w:val="16"/>
                <w:color w:val="auto"/>
              </w:rPr>
              <w:t>Schneider National, Inc.</w:t>
            </w:r>
          </w:p>
        </w:tc>
        <w:tc>
          <w:tcPr>
            <w:tcW w:w="940" w:type="dxa"/>
            <w:vAlign w:val="bottom"/>
          </w:tcPr>
          <w:p>
            <w:pPr>
              <w:jc w:val="center"/>
              <w:spacing w:after="0"/>
              <w:rPr>
                <w:sz w:val="20"/>
                <w:szCs w:val="20"/>
                <w:color w:val="auto"/>
              </w:rPr>
            </w:pPr>
            <w:r>
              <w:rPr>
                <w:rFonts w:ascii="Arial" w:cs="Arial" w:eastAsia="Arial" w:hAnsi="Arial"/>
                <w:sz w:val="16"/>
                <w:szCs w:val="16"/>
                <w:color w:val="auto"/>
              </w:rPr>
              <w:t>$ 5,499</w:t>
            </w:r>
          </w:p>
        </w:tc>
        <w:tc>
          <w:tcPr>
            <w:tcW w:w="1740" w:type="dxa"/>
            <w:vAlign w:val="bottom"/>
            <w:gridSpan w:val="2"/>
          </w:tcPr>
          <w:p>
            <w:pPr>
              <w:ind w:left="540"/>
              <w:spacing w:after="0"/>
              <w:rPr>
                <w:sz w:val="20"/>
                <w:szCs w:val="20"/>
                <w:color w:val="auto"/>
              </w:rPr>
            </w:pPr>
            <w:r>
              <w:rPr>
                <w:rFonts w:ascii="Arial" w:cs="Arial" w:eastAsia="Arial" w:hAnsi="Arial"/>
                <w:sz w:val="16"/>
                <w:szCs w:val="16"/>
                <w:color w:val="auto"/>
              </w:rPr>
              <w:t>$ 4,491</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+10%</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+9%</w:t>
            </w:r>
          </w:p>
        </w:tc>
        <w:tc>
          <w:tcPr>
            <w:tcW w:w="980" w:type="dxa"/>
            <w:vAlign w:val="bottom"/>
            <w:tcBorders>
              <w:right w:val="single" w:sz="8" w:color="0072AF"/>
            </w:tcBorders>
          </w:tcPr>
          <w:p>
            <w:pPr>
              <w:jc w:val="right"/>
              <w:ind w:right="139"/>
              <w:spacing w:after="0"/>
              <w:rPr>
                <w:sz w:val="20"/>
                <w:szCs w:val="20"/>
                <w:color w:val="auto"/>
              </w:rPr>
            </w:pPr>
            <w:r>
              <w:rPr>
                <w:rFonts w:ascii="Arial" w:cs="Arial" w:eastAsia="Arial" w:hAnsi="Arial"/>
                <w:sz w:val="16"/>
                <w:szCs w:val="16"/>
                <w:color w:val="auto"/>
              </w:rPr>
              <w:t>+10%</w:t>
            </w:r>
          </w:p>
        </w:tc>
      </w:tr>
      <w:tr>
        <w:trPr>
          <w:trHeight w:val="324"/>
        </w:trPr>
        <w:tc>
          <w:tcPr>
            <w:tcW w:w="3640" w:type="dxa"/>
            <w:vAlign w:val="bottom"/>
            <w:tcBorders>
              <w:right w:val="single" w:sz="8" w:color="0072AF"/>
            </w:tcBorders>
          </w:tcPr>
          <w:p>
            <w:pPr>
              <w:ind w:left="60"/>
              <w:spacing w:after="0"/>
              <w:rPr>
                <w:sz w:val="20"/>
                <w:szCs w:val="20"/>
                <w:color w:val="auto"/>
              </w:rPr>
            </w:pPr>
            <w:r>
              <w:rPr>
                <w:rFonts w:ascii="Arial" w:cs="Arial" w:eastAsia="Arial" w:hAnsi="Arial"/>
                <w:sz w:val="16"/>
                <w:szCs w:val="16"/>
                <w:color w:val="auto"/>
              </w:rPr>
              <w:t>The Western Union Company</w:t>
            </w:r>
          </w:p>
        </w:tc>
        <w:tc>
          <w:tcPr>
            <w:tcW w:w="940" w:type="dxa"/>
            <w:vAlign w:val="bottom"/>
          </w:tcPr>
          <w:p>
            <w:pPr>
              <w:jc w:val="center"/>
              <w:spacing w:after="0"/>
              <w:rPr>
                <w:sz w:val="20"/>
                <w:szCs w:val="20"/>
                <w:color w:val="auto"/>
              </w:rPr>
            </w:pPr>
            <w:r>
              <w:rPr>
                <w:rFonts w:ascii="Arial" w:cs="Arial" w:eastAsia="Arial" w:hAnsi="Arial"/>
                <w:sz w:val="16"/>
                <w:szCs w:val="16"/>
                <w:color w:val="auto"/>
              </w:rPr>
              <w:t>$ 4,357</w:t>
            </w:r>
          </w:p>
        </w:tc>
        <w:tc>
          <w:tcPr>
            <w:tcW w:w="1740" w:type="dxa"/>
            <w:vAlign w:val="bottom"/>
            <w:gridSpan w:val="2"/>
          </w:tcPr>
          <w:p>
            <w:pPr>
              <w:ind w:left="540"/>
              <w:spacing w:after="0"/>
              <w:rPr>
                <w:sz w:val="20"/>
                <w:szCs w:val="20"/>
                <w:color w:val="auto"/>
              </w:rPr>
            </w:pPr>
            <w:r>
              <w:rPr>
                <w:rFonts w:ascii="Arial" w:cs="Arial" w:eastAsia="Arial" w:hAnsi="Arial"/>
                <w:sz w:val="16"/>
                <w:szCs w:val="16"/>
                <w:color w:val="auto"/>
              </w:rPr>
              <w:t>$ 4,343</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-6%</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-13%</w:t>
            </w:r>
          </w:p>
        </w:tc>
        <w:tc>
          <w:tcPr>
            <w:tcW w:w="980" w:type="dxa"/>
            <w:vAlign w:val="bottom"/>
            <w:tcBorders>
              <w:right w:val="single" w:sz="8" w:color="0072AF"/>
            </w:tcBorders>
          </w:tcPr>
          <w:p>
            <w:pPr>
              <w:jc w:val="right"/>
              <w:ind w:right="139"/>
              <w:spacing w:after="0"/>
              <w:rPr>
                <w:sz w:val="20"/>
                <w:szCs w:val="20"/>
                <w:color w:val="auto"/>
              </w:rPr>
            </w:pPr>
            <w:r>
              <w:rPr>
                <w:rFonts w:ascii="Arial" w:cs="Arial" w:eastAsia="Arial" w:hAnsi="Arial"/>
                <w:sz w:val="16"/>
                <w:szCs w:val="16"/>
                <w:color w:val="auto"/>
              </w:rPr>
              <w:t>-2%</w:t>
            </w:r>
          </w:p>
        </w:tc>
      </w:tr>
      <w:tr>
        <w:trPr>
          <w:trHeight w:val="324"/>
        </w:trPr>
        <w:tc>
          <w:tcPr>
            <w:tcW w:w="3640" w:type="dxa"/>
            <w:vAlign w:val="bottom"/>
            <w:tcBorders>
              <w:right w:val="single" w:sz="8" w:color="0072AF"/>
            </w:tcBorders>
          </w:tcPr>
          <w:p>
            <w:pPr>
              <w:ind w:left="60"/>
              <w:spacing w:after="0"/>
              <w:rPr>
                <w:sz w:val="20"/>
                <w:szCs w:val="20"/>
                <w:color w:val="auto"/>
              </w:rPr>
            </w:pPr>
            <w:r>
              <w:rPr>
                <w:rFonts w:ascii="Arial" w:cs="Arial" w:eastAsia="Arial" w:hAnsi="Arial"/>
                <w:sz w:val="16"/>
                <w:szCs w:val="16"/>
                <w:color w:val="auto"/>
              </w:rPr>
              <w:t>W.W. Grainger, Inc.</w:t>
            </w:r>
          </w:p>
        </w:tc>
        <w:tc>
          <w:tcPr>
            <w:tcW w:w="940" w:type="dxa"/>
            <w:vAlign w:val="bottom"/>
          </w:tcPr>
          <w:p>
            <w:pPr>
              <w:jc w:val="center"/>
              <w:spacing w:after="0"/>
              <w:rPr>
                <w:sz w:val="20"/>
                <w:szCs w:val="20"/>
                <w:color w:val="auto"/>
              </w:rPr>
            </w:pPr>
            <w:r>
              <w:rPr>
                <w:rFonts w:ascii="Arial" w:cs="Arial" w:eastAsia="Arial" w:hAnsi="Arial"/>
                <w:sz w:val="16"/>
                <w:szCs w:val="16"/>
                <w:color w:val="auto"/>
              </w:rPr>
              <w:t>$16,478</w:t>
            </w:r>
          </w:p>
        </w:tc>
        <w:tc>
          <w:tcPr>
            <w:tcW w:w="1740" w:type="dxa"/>
            <w:vAlign w:val="bottom"/>
            <w:gridSpan w:val="2"/>
          </w:tcPr>
          <w:p>
            <w:pPr>
              <w:ind w:left="540"/>
              <w:spacing w:after="0"/>
              <w:rPr>
                <w:sz w:val="20"/>
                <w:szCs w:val="20"/>
                <w:color w:val="auto"/>
              </w:rPr>
            </w:pPr>
            <w:r>
              <w:rPr>
                <w:rFonts w:ascii="Arial" w:cs="Arial" w:eastAsia="Arial" w:hAnsi="Arial"/>
                <w:sz w:val="16"/>
                <w:szCs w:val="16"/>
                <w:color w:val="auto"/>
              </w:rPr>
              <w:t>$41,131</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+51%</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+28%</w:t>
            </w:r>
          </w:p>
        </w:tc>
        <w:tc>
          <w:tcPr>
            <w:tcW w:w="980" w:type="dxa"/>
            <w:vAlign w:val="bottom"/>
            <w:tcBorders>
              <w:right w:val="single" w:sz="8" w:color="0072AF"/>
            </w:tcBorders>
          </w:tcPr>
          <w:p>
            <w:pPr>
              <w:jc w:val="right"/>
              <w:ind w:right="139"/>
              <w:spacing w:after="0"/>
              <w:rPr>
                <w:sz w:val="20"/>
                <w:szCs w:val="20"/>
                <w:color w:val="auto"/>
              </w:rPr>
            </w:pPr>
            <w:r>
              <w:rPr>
                <w:rFonts w:ascii="Arial" w:cs="Arial" w:eastAsia="Arial" w:hAnsi="Arial"/>
                <w:sz w:val="16"/>
                <w:szCs w:val="16"/>
                <w:color w:val="auto"/>
              </w:rPr>
              <w:t>+26%</w:t>
            </w:r>
          </w:p>
        </w:tc>
      </w:tr>
      <w:tr>
        <w:trPr>
          <w:trHeight w:val="324"/>
        </w:trPr>
        <w:tc>
          <w:tcPr>
            <w:tcW w:w="3640" w:type="dxa"/>
            <w:vAlign w:val="bottom"/>
            <w:tcBorders>
              <w:right w:val="single" w:sz="8" w:color="0072AF"/>
            </w:tcBorders>
          </w:tcPr>
          <w:p>
            <w:pPr>
              <w:ind w:left="60"/>
              <w:spacing w:after="0"/>
              <w:rPr>
                <w:sz w:val="20"/>
                <w:szCs w:val="20"/>
                <w:color w:val="auto"/>
              </w:rPr>
            </w:pPr>
            <w:r>
              <w:rPr>
                <w:rFonts w:ascii="Arial" w:cs="Arial" w:eastAsia="Arial" w:hAnsi="Arial"/>
                <w:sz w:val="16"/>
                <w:szCs w:val="16"/>
                <w:color w:val="auto"/>
              </w:rPr>
              <w:t>Xerox Holdings Corporation</w:t>
            </w:r>
          </w:p>
        </w:tc>
        <w:tc>
          <w:tcPr>
            <w:tcW w:w="940" w:type="dxa"/>
            <w:vAlign w:val="bottom"/>
          </w:tcPr>
          <w:p>
            <w:pPr>
              <w:jc w:val="center"/>
              <w:spacing w:after="0"/>
              <w:rPr>
                <w:sz w:val="20"/>
                <w:szCs w:val="20"/>
                <w:color w:val="auto"/>
              </w:rPr>
            </w:pPr>
            <w:r>
              <w:rPr>
                <w:rFonts w:ascii="Arial" w:cs="Arial" w:eastAsia="Arial" w:hAnsi="Arial"/>
                <w:sz w:val="16"/>
                <w:szCs w:val="16"/>
                <w:color w:val="auto"/>
              </w:rPr>
              <w:t>$ 6,886</w:t>
            </w:r>
          </w:p>
        </w:tc>
        <w:tc>
          <w:tcPr>
            <w:tcW w:w="1740" w:type="dxa"/>
            <w:vAlign w:val="bottom"/>
            <w:gridSpan w:val="2"/>
          </w:tcPr>
          <w:p>
            <w:pPr>
              <w:ind w:left="540"/>
              <w:spacing w:after="0"/>
              <w:rPr>
                <w:sz w:val="20"/>
                <w:szCs w:val="20"/>
                <w:color w:val="auto"/>
              </w:rPr>
            </w:pPr>
            <w:r>
              <w:rPr>
                <w:rFonts w:ascii="Arial" w:cs="Arial" w:eastAsia="Arial" w:hAnsi="Arial"/>
                <w:sz w:val="16"/>
                <w:szCs w:val="16"/>
                <w:color w:val="auto"/>
              </w:rPr>
              <w:t>$ 2,253</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+34%</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980" w:type="dxa"/>
            <w:vAlign w:val="bottom"/>
            <w:tcBorders>
              <w:right w:val="single" w:sz="8" w:color="0072AF"/>
            </w:tcBorders>
          </w:tcPr>
          <w:p>
            <w:pPr>
              <w:jc w:val="right"/>
              <w:ind w:right="139"/>
              <w:spacing w:after="0"/>
              <w:rPr>
                <w:sz w:val="20"/>
                <w:szCs w:val="20"/>
                <w:color w:val="auto"/>
              </w:rPr>
            </w:pPr>
            <w:r>
              <w:rPr>
                <w:rFonts w:ascii="Arial" w:cs="Arial" w:eastAsia="Arial" w:hAnsi="Arial"/>
                <w:sz w:val="16"/>
                <w:szCs w:val="16"/>
                <w:color w:val="auto"/>
              </w:rPr>
              <w:t>+4%</w:t>
            </w:r>
          </w:p>
        </w:tc>
      </w:tr>
      <w:tr>
        <w:trPr>
          <w:trHeight w:val="69"/>
        </w:trPr>
        <w:tc>
          <w:tcPr>
            <w:tcW w:w="3640" w:type="dxa"/>
            <w:vAlign w:val="bottom"/>
            <w:tcBorders>
              <w:bottom w:val="single" w:sz="8" w:color="0072AF"/>
              <w:right w:val="single" w:sz="8" w:color="0072AF"/>
            </w:tcBorders>
          </w:tcPr>
          <w:p>
            <w:pPr>
              <w:spacing w:after="0"/>
              <w:rPr>
                <w:sz w:val="6"/>
                <w:szCs w:val="6"/>
                <w:color w:val="auto"/>
              </w:rPr>
            </w:pPr>
          </w:p>
        </w:tc>
        <w:tc>
          <w:tcPr>
            <w:tcW w:w="940" w:type="dxa"/>
            <w:vAlign w:val="bottom"/>
            <w:tcBorders>
              <w:bottom w:val="single" w:sz="8" w:color="0072AF"/>
            </w:tcBorders>
          </w:tcPr>
          <w:p>
            <w:pPr>
              <w:spacing w:after="0"/>
              <w:rPr>
                <w:sz w:val="6"/>
                <w:szCs w:val="6"/>
                <w:color w:val="auto"/>
              </w:rPr>
            </w:pPr>
          </w:p>
        </w:tc>
        <w:tc>
          <w:tcPr>
            <w:tcW w:w="1740" w:type="dxa"/>
            <w:vAlign w:val="bottom"/>
            <w:tcBorders>
              <w:bottom w:val="single" w:sz="8" w:color="0072AF"/>
            </w:tcBorders>
            <w:gridSpan w:val="2"/>
          </w:tcPr>
          <w:p>
            <w:pPr>
              <w:spacing w:after="0"/>
              <w:rPr>
                <w:sz w:val="6"/>
                <w:szCs w:val="6"/>
                <w:color w:val="auto"/>
              </w:rPr>
            </w:pPr>
          </w:p>
        </w:tc>
        <w:tc>
          <w:tcPr>
            <w:tcW w:w="960" w:type="dxa"/>
            <w:vAlign w:val="bottom"/>
            <w:tcBorders>
              <w:bottom w:val="single" w:sz="8" w:color="0072AF"/>
            </w:tcBorders>
          </w:tcPr>
          <w:p>
            <w:pPr>
              <w:spacing w:after="0"/>
              <w:rPr>
                <w:sz w:val="6"/>
                <w:szCs w:val="6"/>
                <w:color w:val="auto"/>
              </w:rPr>
            </w:pPr>
          </w:p>
        </w:tc>
        <w:tc>
          <w:tcPr>
            <w:tcW w:w="920" w:type="dxa"/>
            <w:vAlign w:val="bottom"/>
            <w:tcBorders>
              <w:bottom w:val="single" w:sz="8" w:color="0072AF"/>
            </w:tcBorders>
          </w:tcPr>
          <w:p>
            <w:pPr>
              <w:spacing w:after="0"/>
              <w:rPr>
                <w:sz w:val="6"/>
                <w:szCs w:val="6"/>
                <w:color w:val="auto"/>
              </w:rPr>
            </w:pPr>
          </w:p>
        </w:tc>
        <w:tc>
          <w:tcPr>
            <w:tcW w:w="980" w:type="dxa"/>
            <w:vAlign w:val="bottom"/>
            <w:tcBorders>
              <w:bottom w:val="single" w:sz="8" w:color="0072AF"/>
              <w:right w:val="single" w:sz="8" w:color="0072AF"/>
            </w:tcBorders>
          </w:tcPr>
          <w:p>
            <w:pPr>
              <w:spacing w:after="0"/>
              <w:rPr>
                <w:sz w:val="6"/>
                <w:szCs w:val="6"/>
                <w:color w:val="auto"/>
              </w:rPr>
            </w:pPr>
          </w:p>
        </w:tc>
      </w:tr>
      <w:tr>
        <w:trPr>
          <w:trHeight w:val="275"/>
        </w:trPr>
        <w:tc>
          <w:tcPr>
            <w:tcW w:w="3640" w:type="dxa"/>
            <w:vAlign w:val="bottom"/>
            <w:tcBorders>
              <w:right w:val="single" w:sz="8" w:color="0072AF"/>
            </w:tcBorders>
          </w:tcPr>
          <w:p>
            <w:pPr>
              <w:ind w:left="60"/>
              <w:spacing w:after="0"/>
              <w:rPr>
                <w:sz w:val="20"/>
                <w:szCs w:val="20"/>
                <w:color w:val="auto"/>
              </w:rPr>
            </w:pPr>
            <w:r>
              <w:rPr>
                <w:rFonts w:ascii="Arial" w:cs="Arial" w:eastAsia="Arial" w:hAnsi="Arial"/>
                <w:sz w:val="16"/>
                <w:szCs w:val="16"/>
                <w:color w:val="auto"/>
              </w:rPr>
              <w:t>25th Percentile</w:t>
            </w:r>
          </w:p>
        </w:tc>
        <w:tc>
          <w:tcPr>
            <w:tcW w:w="940" w:type="dxa"/>
            <w:vAlign w:val="bottom"/>
          </w:tcPr>
          <w:p>
            <w:pPr>
              <w:jc w:val="center"/>
              <w:spacing w:after="0"/>
              <w:rPr>
                <w:sz w:val="20"/>
                <w:szCs w:val="20"/>
                <w:color w:val="auto"/>
              </w:rPr>
            </w:pPr>
            <w:r>
              <w:rPr>
                <w:rFonts w:ascii="Arial" w:cs="Arial" w:eastAsia="Arial" w:hAnsi="Arial"/>
                <w:sz w:val="16"/>
                <w:szCs w:val="16"/>
                <w:color w:val="auto"/>
              </w:rPr>
              <w:t>$ 3,070</w:t>
            </w:r>
          </w:p>
        </w:tc>
        <w:tc>
          <w:tcPr>
            <w:tcW w:w="1740" w:type="dxa"/>
            <w:vAlign w:val="bottom"/>
            <w:gridSpan w:val="2"/>
          </w:tcPr>
          <w:p>
            <w:pPr>
              <w:ind w:left="540"/>
              <w:spacing w:after="0"/>
              <w:rPr>
                <w:sz w:val="20"/>
                <w:szCs w:val="20"/>
                <w:color w:val="auto"/>
              </w:rPr>
            </w:pPr>
            <w:r>
              <w:rPr>
                <w:rFonts w:ascii="Arial" w:cs="Arial" w:eastAsia="Arial" w:hAnsi="Arial"/>
                <w:sz w:val="16"/>
                <w:szCs w:val="16"/>
                <w:color w:val="auto"/>
              </w:rPr>
              <w:t>$ 1,877</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+11%</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-13%</w:t>
            </w:r>
          </w:p>
        </w:tc>
        <w:tc>
          <w:tcPr>
            <w:tcW w:w="980" w:type="dxa"/>
            <w:vAlign w:val="bottom"/>
            <w:tcBorders>
              <w:right w:val="single" w:sz="8" w:color="0072AF"/>
            </w:tcBorders>
          </w:tcPr>
          <w:p>
            <w:pPr>
              <w:jc w:val="right"/>
              <w:ind w:right="139"/>
              <w:spacing w:after="0"/>
              <w:rPr>
                <w:sz w:val="20"/>
                <w:szCs w:val="20"/>
                <w:color w:val="auto"/>
              </w:rPr>
            </w:pPr>
            <w:r>
              <w:rPr>
                <w:rFonts w:ascii="Arial" w:cs="Arial" w:eastAsia="Arial" w:hAnsi="Arial"/>
                <w:sz w:val="16"/>
                <w:szCs w:val="16"/>
                <w:color w:val="auto"/>
              </w:rPr>
              <w:t>-2%</w:t>
            </w:r>
          </w:p>
        </w:tc>
      </w:tr>
      <w:tr>
        <w:trPr>
          <w:trHeight w:val="56"/>
        </w:trPr>
        <w:tc>
          <w:tcPr>
            <w:tcW w:w="3640" w:type="dxa"/>
            <w:vAlign w:val="bottom"/>
            <w:tcBorders>
              <w:right w:val="single" w:sz="8" w:color="0072AF"/>
            </w:tcBorders>
          </w:tcPr>
          <w:p>
            <w:pPr>
              <w:spacing w:after="0"/>
              <w:rPr>
                <w:sz w:val="4"/>
                <w:szCs w:val="4"/>
                <w:color w:val="auto"/>
              </w:rPr>
            </w:pPr>
          </w:p>
        </w:tc>
        <w:tc>
          <w:tcPr>
            <w:tcW w:w="940" w:type="dxa"/>
            <w:vAlign w:val="bottom"/>
          </w:tcPr>
          <w:p>
            <w:pPr>
              <w:spacing w:after="0"/>
              <w:rPr>
                <w:sz w:val="4"/>
                <w:szCs w:val="4"/>
                <w:color w:val="auto"/>
              </w:rPr>
            </w:pPr>
          </w:p>
        </w:tc>
        <w:tc>
          <w:tcPr>
            <w:tcW w:w="1740" w:type="dxa"/>
            <w:vAlign w:val="bottom"/>
            <w:gridSpan w:val="2"/>
          </w:tcPr>
          <w:p>
            <w:pPr>
              <w:spacing w:after="0"/>
              <w:rPr>
                <w:sz w:val="4"/>
                <w:szCs w:val="4"/>
                <w:color w:val="auto"/>
              </w:rPr>
            </w:pPr>
          </w:p>
        </w:tc>
        <w:tc>
          <w:tcPr>
            <w:tcW w:w="960" w:type="dxa"/>
            <w:vAlign w:val="bottom"/>
          </w:tcPr>
          <w:p>
            <w:pPr>
              <w:spacing w:after="0"/>
              <w:rPr>
                <w:sz w:val="4"/>
                <w:szCs w:val="4"/>
                <w:color w:val="auto"/>
              </w:rPr>
            </w:pPr>
          </w:p>
        </w:tc>
        <w:tc>
          <w:tcPr>
            <w:tcW w:w="920" w:type="dxa"/>
            <w:vAlign w:val="bottom"/>
          </w:tcPr>
          <w:p>
            <w:pPr>
              <w:spacing w:after="0"/>
              <w:rPr>
                <w:sz w:val="4"/>
                <w:szCs w:val="4"/>
                <w:color w:val="auto"/>
              </w:rPr>
            </w:pPr>
          </w:p>
        </w:tc>
        <w:tc>
          <w:tcPr>
            <w:tcW w:w="980" w:type="dxa"/>
            <w:vAlign w:val="bottom"/>
            <w:tcBorders>
              <w:right w:val="single" w:sz="8" w:color="0072AF"/>
            </w:tcBorders>
          </w:tcPr>
          <w:p>
            <w:pPr>
              <w:spacing w:after="0"/>
              <w:rPr>
                <w:sz w:val="4"/>
                <w:szCs w:val="4"/>
                <w:color w:val="auto"/>
              </w:rPr>
            </w:pPr>
          </w:p>
        </w:tc>
      </w:tr>
      <w:tr>
        <w:trPr>
          <w:trHeight w:val="304"/>
        </w:trPr>
        <w:tc>
          <w:tcPr>
            <w:tcW w:w="3640" w:type="dxa"/>
            <w:vAlign w:val="bottom"/>
            <w:tcBorders>
              <w:bottom w:val="single" w:sz="8" w:color="CBCEE0"/>
              <w:right w:val="single" w:sz="8" w:color="0072AF"/>
            </w:tcBorders>
            <w:shd w:val="clear" w:color="auto" w:fill="CBCEE0"/>
          </w:tcPr>
          <w:p>
            <w:pPr>
              <w:ind w:left="60"/>
              <w:spacing w:after="0"/>
              <w:rPr>
                <w:sz w:val="20"/>
                <w:szCs w:val="20"/>
                <w:color w:val="auto"/>
              </w:rPr>
            </w:pPr>
            <w:r>
              <w:rPr>
                <w:rFonts w:ascii="Arial" w:cs="Arial" w:eastAsia="Arial" w:hAnsi="Arial"/>
                <w:sz w:val="16"/>
                <w:szCs w:val="16"/>
                <w:color w:val="auto"/>
              </w:rPr>
              <w:t>Median</w:t>
            </w:r>
          </w:p>
        </w:tc>
        <w:tc>
          <w:tcPr>
            <w:tcW w:w="94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6"/>
                <w:szCs w:val="16"/>
                <w:color w:val="auto"/>
              </w:rPr>
              <w:t>$ 5,499</w:t>
            </w:r>
          </w:p>
        </w:tc>
        <w:tc>
          <w:tcPr>
            <w:tcW w:w="1740" w:type="dxa"/>
            <w:vAlign w:val="bottom"/>
            <w:tcBorders>
              <w:bottom w:val="single" w:sz="8" w:color="CBCEE0"/>
            </w:tcBorders>
            <w:gridSpan w:val="2"/>
            <w:shd w:val="clear" w:color="auto" w:fill="CBCEE0"/>
          </w:tcPr>
          <w:p>
            <w:pPr>
              <w:ind w:left="540"/>
              <w:spacing w:after="0"/>
              <w:rPr>
                <w:sz w:val="20"/>
                <w:szCs w:val="20"/>
                <w:color w:val="auto"/>
              </w:rPr>
            </w:pPr>
            <w:r>
              <w:rPr>
                <w:rFonts w:ascii="Arial" w:cs="Arial" w:eastAsia="Arial" w:hAnsi="Arial"/>
                <w:sz w:val="16"/>
                <w:szCs w:val="16"/>
                <w:color w:val="auto"/>
              </w:rPr>
              <w:t>$ 4,343</w:t>
            </w:r>
          </w:p>
        </w:tc>
        <w:tc>
          <w:tcPr>
            <w:tcW w:w="960" w:type="dxa"/>
            <w:vAlign w:val="bottom"/>
            <w:tcBorders>
              <w:bottom w:val="single" w:sz="8" w:color="CBCEE0"/>
            </w:tcBorders>
            <w:shd w:val="clear" w:color="auto" w:fill="CBCEE0"/>
          </w:tcPr>
          <w:p>
            <w:pPr>
              <w:jc w:val="right"/>
              <w:ind w:right="160"/>
              <w:spacing w:after="0"/>
              <w:rPr>
                <w:sz w:val="20"/>
                <w:szCs w:val="20"/>
                <w:color w:val="auto"/>
              </w:rPr>
            </w:pPr>
            <w:r>
              <w:rPr>
                <w:rFonts w:ascii="Arial" w:cs="Arial" w:eastAsia="Arial" w:hAnsi="Arial"/>
                <w:sz w:val="16"/>
                <w:szCs w:val="16"/>
                <w:color w:val="auto"/>
              </w:rPr>
              <w:t>+20%</w:t>
            </w:r>
          </w:p>
        </w:tc>
        <w:tc>
          <w:tcPr>
            <w:tcW w:w="920" w:type="dxa"/>
            <w:vAlign w:val="bottom"/>
            <w:tcBorders>
              <w:bottom w:val="single" w:sz="8" w:color="CBCEE0"/>
            </w:tcBorders>
            <w:shd w:val="clear" w:color="auto" w:fill="CBCEE0"/>
          </w:tcPr>
          <w:p>
            <w:pPr>
              <w:jc w:val="right"/>
              <w:ind w:right="139"/>
              <w:spacing w:after="0"/>
              <w:rPr>
                <w:sz w:val="20"/>
                <w:szCs w:val="20"/>
                <w:color w:val="auto"/>
              </w:rPr>
            </w:pPr>
            <w:r>
              <w:rPr>
                <w:rFonts w:ascii="Arial" w:cs="Arial" w:eastAsia="Arial" w:hAnsi="Arial"/>
                <w:sz w:val="16"/>
                <w:szCs w:val="16"/>
                <w:color w:val="auto"/>
              </w:rPr>
              <w:t>-3%</w:t>
            </w:r>
          </w:p>
        </w:tc>
        <w:tc>
          <w:tcPr>
            <w:tcW w:w="980" w:type="dxa"/>
            <w:vAlign w:val="bottom"/>
            <w:tcBorders>
              <w:bottom w:val="single" w:sz="8" w:color="CBCEE0"/>
              <w:right w:val="single" w:sz="8" w:color="0072AF"/>
            </w:tcBorders>
            <w:shd w:val="clear" w:color="auto" w:fill="CBCEE0"/>
          </w:tcPr>
          <w:p>
            <w:pPr>
              <w:jc w:val="right"/>
              <w:ind w:right="139"/>
              <w:spacing w:after="0"/>
              <w:rPr>
                <w:sz w:val="20"/>
                <w:szCs w:val="20"/>
                <w:color w:val="auto"/>
              </w:rPr>
            </w:pPr>
            <w:r>
              <w:rPr>
                <w:rFonts w:ascii="Arial" w:cs="Arial" w:eastAsia="Arial" w:hAnsi="Arial"/>
                <w:sz w:val="16"/>
                <w:szCs w:val="16"/>
                <w:color w:val="auto"/>
              </w:rPr>
              <w:t>+10%</w:t>
            </w:r>
          </w:p>
        </w:tc>
      </w:tr>
      <w:tr>
        <w:trPr>
          <w:trHeight w:val="268"/>
        </w:trPr>
        <w:tc>
          <w:tcPr>
            <w:tcW w:w="3640" w:type="dxa"/>
            <w:vAlign w:val="bottom"/>
            <w:tcBorders>
              <w:right w:val="single" w:sz="8" w:color="0072AF"/>
            </w:tcBorders>
          </w:tcPr>
          <w:p>
            <w:pPr>
              <w:ind w:left="60"/>
              <w:spacing w:after="0"/>
              <w:rPr>
                <w:sz w:val="20"/>
                <w:szCs w:val="20"/>
                <w:color w:val="auto"/>
              </w:rPr>
            </w:pPr>
            <w:r>
              <w:rPr>
                <w:rFonts w:ascii="Arial" w:cs="Arial" w:eastAsia="Arial" w:hAnsi="Arial"/>
                <w:sz w:val="16"/>
                <w:szCs w:val="16"/>
                <w:color w:val="auto"/>
              </w:rPr>
              <w:t>75th Percentile</w:t>
            </w:r>
          </w:p>
        </w:tc>
        <w:tc>
          <w:tcPr>
            <w:tcW w:w="940" w:type="dxa"/>
            <w:vAlign w:val="bottom"/>
          </w:tcPr>
          <w:p>
            <w:pPr>
              <w:jc w:val="center"/>
              <w:spacing w:after="0"/>
              <w:rPr>
                <w:sz w:val="20"/>
                <w:szCs w:val="20"/>
                <w:color w:val="auto"/>
              </w:rPr>
            </w:pPr>
            <w:r>
              <w:rPr>
                <w:rFonts w:ascii="Arial" w:cs="Arial" w:eastAsia="Arial" w:hAnsi="Arial"/>
                <w:sz w:val="16"/>
                <w:szCs w:val="16"/>
                <w:color w:val="auto"/>
              </w:rPr>
              <w:t>$ 9,418</w:t>
            </w:r>
          </w:p>
        </w:tc>
        <w:tc>
          <w:tcPr>
            <w:tcW w:w="1740" w:type="dxa"/>
            <w:vAlign w:val="bottom"/>
            <w:gridSpan w:val="2"/>
          </w:tcPr>
          <w:p>
            <w:pPr>
              <w:ind w:left="540"/>
              <w:spacing w:after="0"/>
              <w:rPr>
                <w:sz w:val="20"/>
                <w:szCs w:val="20"/>
                <w:color w:val="auto"/>
              </w:rPr>
            </w:pPr>
            <w:r>
              <w:rPr>
                <w:rFonts w:ascii="Arial" w:cs="Arial" w:eastAsia="Arial" w:hAnsi="Arial"/>
                <w:sz w:val="16"/>
                <w:szCs w:val="16"/>
                <w:color w:val="auto"/>
              </w:rPr>
              <w:t>$12,993</w:t>
            </w: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+40%</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+9%</w:t>
            </w:r>
          </w:p>
        </w:tc>
        <w:tc>
          <w:tcPr>
            <w:tcW w:w="980" w:type="dxa"/>
            <w:vAlign w:val="bottom"/>
            <w:tcBorders>
              <w:right w:val="single" w:sz="8" w:color="0072AF"/>
            </w:tcBorders>
          </w:tcPr>
          <w:p>
            <w:pPr>
              <w:jc w:val="right"/>
              <w:ind w:right="139"/>
              <w:spacing w:after="0"/>
              <w:rPr>
                <w:sz w:val="20"/>
                <w:szCs w:val="20"/>
                <w:color w:val="auto"/>
              </w:rPr>
            </w:pPr>
            <w:r>
              <w:rPr>
                <w:rFonts w:ascii="Arial" w:cs="Arial" w:eastAsia="Arial" w:hAnsi="Arial"/>
                <w:sz w:val="16"/>
                <w:szCs w:val="16"/>
                <w:color w:val="auto"/>
              </w:rPr>
              <w:t>+18%</w:t>
            </w:r>
          </w:p>
        </w:tc>
      </w:tr>
      <w:tr>
        <w:trPr>
          <w:trHeight w:val="69"/>
        </w:trPr>
        <w:tc>
          <w:tcPr>
            <w:tcW w:w="3640" w:type="dxa"/>
            <w:vAlign w:val="bottom"/>
            <w:tcBorders>
              <w:bottom w:val="single" w:sz="8" w:color="0072AF"/>
              <w:right w:val="single" w:sz="8" w:color="0072AF"/>
            </w:tcBorders>
          </w:tcPr>
          <w:p>
            <w:pPr>
              <w:spacing w:after="0"/>
              <w:rPr>
                <w:sz w:val="6"/>
                <w:szCs w:val="6"/>
                <w:color w:val="auto"/>
              </w:rPr>
            </w:pPr>
          </w:p>
        </w:tc>
        <w:tc>
          <w:tcPr>
            <w:tcW w:w="940" w:type="dxa"/>
            <w:vAlign w:val="bottom"/>
            <w:tcBorders>
              <w:bottom w:val="single" w:sz="8" w:color="0072AF"/>
            </w:tcBorders>
          </w:tcPr>
          <w:p>
            <w:pPr>
              <w:spacing w:after="0"/>
              <w:rPr>
                <w:sz w:val="6"/>
                <w:szCs w:val="6"/>
                <w:color w:val="auto"/>
              </w:rPr>
            </w:pPr>
          </w:p>
        </w:tc>
        <w:tc>
          <w:tcPr>
            <w:tcW w:w="640" w:type="dxa"/>
            <w:vAlign w:val="bottom"/>
            <w:tcBorders>
              <w:bottom w:val="single" w:sz="8" w:color="0072AF"/>
            </w:tcBorders>
          </w:tcPr>
          <w:p>
            <w:pPr>
              <w:spacing w:after="0"/>
              <w:rPr>
                <w:sz w:val="6"/>
                <w:szCs w:val="6"/>
                <w:color w:val="auto"/>
              </w:rPr>
            </w:pPr>
          </w:p>
        </w:tc>
        <w:tc>
          <w:tcPr>
            <w:tcW w:w="1100" w:type="dxa"/>
            <w:vAlign w:val="bottom"/>
            <w:tcBorders>
              <w:bottom w:val="single" w:sz="8" w:color="0072AF"/>
            </w:tcBorders>
          </w:tcPr>
          <w:p>
            <w:pPr>
              <w:spacing w:after="0"/>
              <w:rPr>
                <w:sz w:val="6"/>
                <w:szCs w:val="6"/>
                <w:color w:val="auto"/>
              </w:rPr>
            </w:pPr>
          </w:p>
        </w:tc>
        <w:tc>
          <w:tcPr>
            <w:tcW w:w="960" w:type="dxa"/>
            <w:vAlign w:val="bottom"/>
            <w:tcBorders>
              <w:bottom w:val="single" w:sz="8" w:color="0072AF"/>
            </w:tcBorders>
          </w:tcPr>
          <w:p>
            <w:pPr>
              <w:spacing w:after="0"/>
              <w:rPr>
                <w:sz w:val="6"/>
                <w:szCs w:val="6"/>
                <w:color w:val="auto"/>
              </w:rPr>
            </w:pPr>
          </w:p>
        </w:tc>
        <w:tc>
          <w:tcPr>
            <w:tcW w:w="920" w:type="dxa"/>
            <w:vAlign w:val="bottom"/>
            <w:tcBorders>
              <w:bottom w:val="single" w:sz="8" w:color="0072AF"/>
            </w:tcBorders>
          </w:tcPr>
          <w:p>
            <w:pPr>
              <w:spacing w:after="0"/>
              <w:rPr>
                <w:sz w:val="6"/>
                <w:szCs w:val="6"/>
                <w:color w:val="auto"/>
              </w:rPr>
            </w:pPr>
          </w:p>
        </w:tc>
        <w:tc>
          <w:tcPr>
            <w:tcW w:w="980" w:type="dxa"/>
            <w:vAlign w:val="bottom"/>
            <w:tcBorders>
              <w:bottom w:val="single" w:sz="8" w:color="0072AF"/>
              <w:right w:val="single" w:sz="8" w:color="0072AF"/>
            </w:tcBorders>
          </w:tcPr>
          <w:p>
            <w:pPr>
              <w:spacing w:after="0"/>
              <w:rPr>
                <w:sz w:val="6"/>
                <w:szCs w:val="6"/>
                <w:color w:val="auto"/>
              </w:rPr>
            </w:pPr>
          </w:p>
        </w:tc>
      </w:tr>
      <w:tr>
        <w:trPr>
          <w:trHeight w:val="102"/>
        </w:trPr>
        <w:tc>
          <w:tcPr>
            <w:tcW w:w="3640" w:type="dxa"/>
            <w:vAlign w:val="bottom"/>
            <w:tcBorders>
              <w:bottom w:val="single" w:sz="8" w:color="0072AF"/>
            </w:tcBorders>
          </w:tcPr>
          <w:p>
            <w:pPr>
              <w:spacing w:after="0"/>
              <w:rPr>
                <w:sz w:val="8"/>
                <w:szCs w:val="8"/>
                <w:color w:val="auto"/>
              </w:rPr>
            </w:pPr>
          </w:p>
        </w:tc>
        <w:tc>
          <w:tcPr>
            <w:tcW w:w="940" w:type="dxa"/>
            <w:vAlign w:val="bottom"/>
            <w:tcBorders>
              <w:bottom w:val="single" w:sz="8" w:color="0072AF"/>
            </w:tcBorders>
          </w:tcPr>
          <w:p>
            <w:pPr>
              <w:spacing w:after="0"/>
              <w:rPr>
                <w:sz w:val="8"/>
                <w:szCs w:val="8"/>
                <w:color w:val="auto"/>
              </w:rPr>
            </w:pPr>
          </w:p>
        </w:tc>
        <w:tc>
          <w:tcPr>
            <w:tcW w:w="640" w:type="dxa"/>
            <w:vAlign w:val="bottom"/>
            <w:tcBorders>
              <w:bottom w:val="single" w:sz="8" w:color="0072AF"/>
            </w:tcBorders>
          </w:tcPr>
          <w:p>
            <w:pPr>
              <w:spacing w:after="0"/>
              <w:rPr>
                <w:sz w:val="8"/>
                <w:szCs w:val="8"/>
                <w:color w:val="auto"/>
              </w:rPr>
            </w:pPr>
          </w:p>
        </w:tc>
        <w:tc>
          <w:tcPr>
            <w:tcW w:w="1100" w:type="dxa"/>
            <w:vAlign w:val="bottom"/>
            <w:tcBorders>
              <w:bottom w:val="single" w:sz="8" w:color="0072AF"/>
            </w:tcBorders>
          </w:tcPr>
          <w:p>
            <w:pPr>
              <w:spacing w:after="0"/>
              <w:rPr>
                <w:sz w:val="8"/>
                <w:szCs w:val="8"/>
                <w:color w:val="auto"/>
              </w:rPr>
            </w:pPr>
          </w:p>
        </w:tc>
        <w:tc>
          <w:tcPr>
            <w:tcW w:w="960" w:type="dxa"/>
            <w:vAlign w:val="bottom"/>
            <w:tcBorders>
              <w:bottom w:val="single" w:sz="8" w:color="0072AF"/>
            </w:tcBorders>
          </w:tcPr>
          <w:p>
            <w:pPr>
              <w:spacing w:after="0"/>
              <w:rPr>
                <w:sz w:val="8"/>
                <w:szCs w:val="8"/>
                <w:color w:val="auto"/>
              </w:rPr>
            </w:pPr>
          </w:p>
        </w:tc>
        <w:tc>
          <w:tcPr>
            <w:tcW w:w="920" w:type="dxa"/>
            <w:vAlign w:val="bottom"/>
            <w:tcBorders>
              <w:bottom w:val="single" w:sz="8" w:color="0072AF"/>
            </w:tcBorders>
          </w:tcPr>
          <w:p>
            <w:pPr>
              <w:spacing w:after="0"/>
              <w:rPr>
                <w:sz w:val="8"/>
                <w:szCs w:val="8"/>
                <w:color w:val="auto"/>
              </w:rPr>
            </w:pPr>
          </w:p>
        </w:tc>
        <w:tc>
          <w:tcPr>
            <w:tcW w:w="980" w:type="dxa"/>
            <w:vAlign w:val="bottom"/>
            <w:tcBorders>
              <w:bottom w:val="single" w:sz="8" w:color="0072AF"/>
            </w:tcBorders>
          </w:tcPr>
          <w:p>
            <w:pPr>
              <w:spacing w:after="0"/>
              <w:rPr>
                <w:sz w:val="8"/>
                <w:szCs w:val="8"/>
                <w:color w:val="auto"/>
              </w:rPr>
            </w:pPr>
          </w:p>
        </w:tc>
      </w:tr>
      <w:tr>
        <w:trPr>
          <w:trHeight w:val="338"/>
        </w:trPr>
        <w:tc>
          <w:tcPr>
            <w:tcW w:w="3640" w:type="dxa"/>
            <w:vAlign w:val="bottom"/>
            <w:tcBorders>
              <w:right w:val="single" w:sz="8" w:color="0072AF"/>
            </w:tcBorders>
          </w:tcPr>
          <w:p>
            <w:pPr>
              <w:ind w:left="60"/>
              <w:spacing w:after="0"/>
              <w:rPr>
                <w:sz w:val="20"/>
                <w:szCs w:val="20"/>
                <w:color w:val="auto"/>
              </w:rPr>
            </w:pPr>
            <w:r>
              <w:rPr>
                <w:rFonts w:ascii="Arial" w:cs="Arial" w:eastAsia="Arial" w:hAnsi="Arial"/>
                <w:sz w:val="16"/>
                <w:szCs w:val="16"/>
                <w:b w:val="1"/>
                <w:bCs w:val="1"/>
                <w:color w:val="auto"/>
              </w:rPr>
              <w:t>Pitney Bowes Inc.</w:t>
            </w:r>
          </w:p>
        </w:tc>
        <w:tc>
          <w:tcPr>
            <w:tcW w:w="94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6"/>
                <w:szCs w:val="16"/>
                <w:color w:val="auto"/>
              </w:rPr>
              <w:t>$3,266</w:t>
            </w:r>
          </w:p>
        </w:tc>
        <w:tc>
          <w:tcPr>
            <w:tcW w:w="640" w:type="dxa"/>
            <w:vAlign w:val="bottom"/>
            <w:tcBorders>
              <w:bottom w:val="single" w:sz="8" w:color="CBCEE0"/>
            </w:tcBorders>
            <w:shd w:val="clear" w:color="auto" w:fill="CBCEE0"/>
          </w:tcPr>
          <w:p>
            <w:pPr>
              <w:spacing w:after="0"/>
              <w:rPr>
                <w:sz w:val="24"/>
                <w:szCs w:val="24"/>
                <w:color w:val="auto"/>
              </w:rPr>
            </w:pPr>
          </w:p>
        </w:tc>
        <w:tc>
          <w:tcPr>
            <w:tcW w:w="1100" w:type="dxa"/>
            <w:vAlign w:val="bottom"/>
            <w:tcBorders>
              <w:bottom w:val="single" w:sz="8" w:color="CBCEE0"/>
            </w:tcBorders>
            <w:shd w:val="clear" w:color="auto" w:fill="CBCEE0"/>
          </w:tcPr>
          <w:p>
            <w:pPr>
              <w:jc w:val="center"/>
              <w:ind w:right="659"/>
              <w:spacing w:after="0"/>
              <w:rPr>
                <w:sz w:val="20"/>
                <w:szCs w:val="20"/>
                <w:color w:val="auto"/>
              </w:rPr>
            </w:pPr>
            <w:r>
              <w:rPr>
                <w:rFonts w:ascii="Arial" w:cs="Arial" w:eastAsia="Arial" w:hAnsi="Arial"/>
                <w:sz w:val="16"/>
                <w:szCs w:val="16"/>
                <w:color w:val="auto"/>
              </w:rPr>
              <w:t>$776</w:t>
            </w:r>
          </w:p>
        </w:tc>
        <w:tc>
          <w:tcPr>
            <w:tcW w:w="960" w:type="dxa"/>
            <w:vAlign w:val="bottom"/>
            <w:tcBorders>
              <w:bottom w:val="single" w:sz="8" w:color="CBCEE0"/>
            </w:tcBorders>
            <w:shd w:val="clear" w:color="auto" w:fill="CBCEE0"/>
          </w:tcPr>
          <w:p>
            <w:pPr>
              <w:jc w:val="right"/>
              <w:ind w:right="180"/>
              <w:spacing w:after="0"/>
              <w:rPr>
                <w:sz w:val="20"/>
                <w:szCs w:val="20"/>
                <w:color w:val="auto"/>
              </w:rPr>
            </w:pPr>
            <w:r>
              <w:rPr>
                <w:rFonts w:ascii="Arial" w:cs="Arial" w:eastAsia="Arial" w:hAnsi="Arial"/>
                <w:sz w:val="16"/>
                <w:szCs w:val="16"/>
                <w:color w:val="auto"/>
              </w:rPr>
              <w:t>+22%</w:t>
            </w:r>
          </w:p>
        </w:tc>
        <w:tc>
          <w:tcPr>
            <w:tcW w:w="920" w:type="dxa"/>
            <w:vAlign w:val="bottom"/>
            <w:tcBorders>
              <w:bottom w:val="single" w:sz="8" w:color="CBCEE0"/>
            </w:tcBorders>
            <w:shd w:val="clear" w:color="auto" w:fill="CBCEE0"/>
          </w:tcPr>
          <w:p>
            <w:pPr>
              <w:jc w:val="right"/>
              <w:ind w:right="199"/>
              <w:spacing w:after="0"/>
              <w:rPr>
                <w:sz w:val="20"/>
                <w:szCs w:val="20"/>
                <w:color w:val="auto"/>
              </w:rPr>
            </w:pPr>
            <w:r>
              <w:rPr>
                <w:rFonts w:ascii="Arial" w:cs="Arial" w:eastAsia="Arial" w:hAnsi="Arial"/>
                <w:sz w:val="16"/>
                <w:szCs w:val="16"/>
                <w:color w:val="auto"/>
              </w:rPr>
              <w:t>-7%</w:t>
            </w:r>
          </w:p>
        </w:tc>
        <w:tc>
          <w:tcPr>
            <w:tcW w:w="980" w:type="dxa"/>
            <w:vAlign w:val="bottom"/>
            <w:tcBorders>
              <w:bottom w:val="single" w:sz="8" w:color="CBCEE0"/>
              <w:right w:val="single" w:sz="8" w:color="0072AF"/>
            </w:tcBorders>
            <w:shd w:val="clear" w:color="auto" w:fill="CBCEE0"/>
          </w:tcPr>
          <w:p>
            <w:pPr>
              <w:jc w:val="right"/>
              <w:ind w:right="199"/>
              <w:spacing w:after="0"/>
              <w:rPr>
                <w:sz w:val="20"/>
                <w:szCs w:val="20"/>
                <w:color w:val="auto"/>
              </w:rPr>
            </w:pPr>
            <w:r>
              <w:rPr>
                <w:rFonts w:ascii="Arial" w:cs="Arial" w:eastAsia="Arial" w:hAnsi="Arial"/>
                <w:sz w:val="16"/>
                <w:szCs w:val="16"/>
                <w:color w:val="auto"/>
              </w:rPr>
              <w:t>-1%</w:t>
            </w:r>
          </w:p>
        </w:tc>
      </w:tr>
      <w:tr>
        <w:trPr>
          <w:trHeight w:val="268"/>
        </w:trPr>
        <w:tc>
          <w:tcPr>
            <w:tcW w:w="3640" w:type="dxa"/>
            <w:vAlign w:val="bottom"/>
            <w:tcBorders>
              <w:right w:val="single" w:sz="8" w:color="0072AF"/>
            </w:tcBorders>
          </w:tcPr>
          <w:p>
            <w:pPr>
              <w:ind w:left="60"/>
              <w:spacing w:after="0"/>
              <w:rPr>
                <w:sz w:val="20"/>
                <w:szCs w:val="20"/>
                <w:color w:val="auto"/>
              </w:rPr>
            </w:pPr>
            <w:r>
              <w:rPr>
                <w:rFonts w:ascii="Arial" w:cs="Arial" w:eastAsia="Arial" w:hAnsi="Arial"/>
                <w:sz w:val="16"/>
                <w:szCs w:val="16"/>
                <w:color w:val="auto"/>
              </w:rPr>
              <w:t>PBI Percentile Rank</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640" w:type="dxa"/>
            <w:vAlign w:val="bottom"/>
          </w:tcPr>
          <w:p>
            <w:pPr>
              <w:spacing w:after="0"/>
              <w:rPr>
                <w:sz w:val="23"/>
                <w:szCs w:val="23"/>
                <w:color w:val="auto"/>
              </w:rPr>
            </w:pPr>
          </w:p>
        </w:tc>
        <w:tc>
          <w:tcPr>
            <w:tcW w:w="1100" w:type="dxa"/>
            <w:vAlign w:val="bottom"/>
          </w:tcPr>
          <w:p>
            <w:pPr>
              <w:jc w:val="right"/>
              <w:ind w:right="539"/>
              <w:spacing w:after="0"/>
              <w:rPr>
                <w:sz w:val="20"/>
                <w:szCs w:val="20"/>
                <w:color w:val="auto"/>
              </w:rPr>
            </w:pPr>
            <w:r>
              <w:rPr>
                <w:rFonts w:ascii="Arial" w:cs="Arial" w:eastAsia="Arial" w:hAnsi="Arial"/>
                <w:sz w:val="16"/>
                <w:szCs w:val="16"/>
                <w:color w:val="auto"/>
              </w:rPr>
              <w:t>3%</w:t>
            </w:r>
          </w:p>
        </w:tc>
        <w:tc>
          <w:tcPr>
            <w:tcW w:w="960" w:type="dxa"/>
            <w:vAlign w:val="bottom"/>
          </w:tcPr>
          <w:p>
            <w:pPr>
              <w:jc w:val="right"/>
              <w:ind w:right="200"/>
              <w:spacing w:after="0"/>
              <w:rPr>
                <w:sz w:val="20"/>
                <w:szCs w:val="20"/>
                <w:color w:val="auto"/>
              </w:rPr>
            </w:pPr>
            <w:r>
              <w:rPr>
                <w:rFonts w:ascii="Arial" w:cs="Arial" w:eastAsia="Arial" w:hAnsi="Arial"/>
                <w:sz w:val="16"/>
                <w:szCs w:val="16"/>
                <w:color w:val="auto"/>
              </w:rPr>
              <w:t>52%</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37%</w:t>
            </w:r>
          </w:p>
        </w:tc>
        <w:tc>
          <w:tcPr>
            <w:tcW w:w="980" w:type="dxa"/>
            <w:vAlign w:val="bottom"/>
            <w:tcBorders>
              <w:right w:val="single" w:sz="8" w:color="0072AF"/>
            </w:tcBorders>
          </w:tcPr>
          <w:p>
            <w:pPr>
              <w:jc w:val="right"/>
              <w:ind w:right="179"/>
              <w:spacing w:after="0"/>
              <w:rPr>
                <w:sz w:val="20"/>
                <w:szCs w:val="20"/>
                <w:color w:val="auto"/>
              </w:rPr>
            </w:pPr>
            <w:r>
              <w:rPr>
                <w:rFonts w:ascii="Arial" w:cs="Arial" w:eastAsia="Arial" w:hAnsi="Arial"/>
                <w:sz w:val="16"/>
                <w:szCs w:val="16"/>
                <w:color w:val="auto"/>
              </w:rPr>
              <w:t>26%</w:t>
            </w:r>
          </w:p>
        </w:tc>
      </w:tr>
      <w:tr>
        <w:trPr>
          <w:trHeight w:val="70"/>
        </w:trPr>
        <w:tc>
          <w:tcPr>
            <w:tcW w:w="3640" w:type="dxa"/>
            <w:vAlign w:val="bottom"/>
            <w:tcBorders>
              <w:bottom w:val="single" w:sz="8" w:color="0072AF"/>
              <w:right w:val="single" w:sz="8" w:color="0072AF"/>
            </w:tcBorders>
          </w:tcPr>
          <w:p>
            <w:pPr>
              <w:spacing w:after="0"/>
              <w:rPr>
                <w:sz w:val="6"/>
                <w:szCs w:val="6"/>
                <w:color w:val="auto"/>
              </w:rPr>
            </w:pPr>
          </w:p>
        </w:tc>
        <w:tc>
          <w:tcPr>
            <w:tcW w:w="940" w:type="dxa"/>
            <w:vAlign w:val="bottom"/>
            <w:tcBorders>
              <w:bottom w:val="single" w:sz="8" w:color="0072AF"/>
            </w:tcBorders>
          </w:tcPr>
          <w:p>
            <w:pPr>
              <w:spacing w:after="0"/>
              <w:rPr>
                <w:sz w:val="6"/>
                <w:szCs w:val="6"/>
                <w:color w:val="auto"/>
              </w:rPr>
            </w:pPr>
          </w:p>
        </w:tc>
        <w:tc>
          <w:tcPr>
            <w:tcW w:w="640" w:type="dxa"/>
            <w:vAlign w:val="bottom"/>
            <w:tcBorders>
              <w:bottom w:val="single" w:sz="8" w:color="0072AF"/>
            </w:tcBorders>
          </w:tcPr>
          <w:p>
            <w:pPr>
              <w:spacing w:after="0"/>
              <w:rPr>
                <w:sz w:val="6"/>
                <w:szCs w:val="6"/>
                <w:color w:val="auto"/>
              </w:rPr>
            </w:pPr>
          </w:p>
        </w:tc>
        <w:tc>
          <w:tcPr>
            <w:tcW w:w="1100" w:type="dxa"/>
            <w:vAlign w:val="bottom"/>
            <w:tcBorders>
              <w:bottom w:val="single" w:sz="8" w:color="0072AF"/>
            </w:tcBorders>
          </w:tcPr>
          <w:p>
            <w:pPr>
              <w:spacing w:after="0"/>
              <w:rPr>
                <w:sz w:val="6"/>
                <w:szCs w:val="6"/>
                <w:color w:val="auto"/>
              </w:rPr>
            </w:pPr>
          </w:p>
        </w:tc>
        <w:tc>
          <w:tcPr>
            <w:tcW w:w="960" w:type="dxa"/>
            <w:vAlign w:val="bottom"/>
            <w:tcBorders>
              <w:bottom w:val="single" w:sz="8" w:color="0072AF"/>
            </w:tcBorders>
          </w:tcPr>
          <w:p>
            <w:pPr>
              <w:spacing w:after="0"/>
              <w:rPr>
                <w:sz w:val="6"/>
                <w:szCs w:val="6"/>
                <w:color w:val="auto"/>
              </w:rPr>
            </w:pPr>
          </w:p>
        </w:tc>
        <w:tc>
          <w:tcPr>
            <w:tcW w:w="920" w:type="dxa"/>
            <w:vAlign w:val="bottom"/>
            <w:tcBorders>
              <w:bottom w:val="single" w:sz="8" w:color="0072AF"/>
            </w:tcBorders>
          </w:tcPr>
          <w:p>
            <w:pPr>
              <w:spacing w:after="0"/>
              <w:rPr>
                <w:sz w:val="6"/>
                <w:szCs w:val="6"/>
                <w:color w:val="auto"/>
              </w:rPr>
            </w:pPr>
          </w:p>
        </w:tc>
        <w:tc>
          <w:tcPr>
            <w:tcW w:w="980" w:type="dxa"/>
            <w:vAlign w:val="bottom"/>
            <w:tcBorders>
              <w:bottom w:val="single" w:sz="8" w:color="0072AF"/>
              <w:right w:val="single" w:sz="8" w:color="0072AF"/>
            </w:tcBorders>
          </w:tcPr>
          <w:p>
            <w:pPr>
              <w:spacing w:after="0"/>
              <w:rPr>
                <w:sz w:val="6"/>
                <w:szCs w:val="6"/>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Source: S&amp;P Capital I.Q.</w:t>
      </w:r>
    </w:p>
    <w:p>
      <w:pPr>
        <w:spacing w:after="0" w:line="196" w:lineRule="auto"/>
        <w:rPr>
          <w:sz w:val="20"/>
          <w:szCs w:val="20"/>
          <w:color w:val="auto"/>
        </w:rPr>
      </w:pPr>
      <w:r>
        <w:rPr>
          <w:rFonts w:ascii="Arial" w:cs="Arial" w:eastAsia="Arial" w:hAnsi="Arial"/>
          <w:sz w:val="8"/>
          <w:szCs w:val="8"/>
          <w:color w:val="auto"/>
        </w:rPr>
        <w:t>(1)</w:t>
      </w:r>
    </w:p>
    <w:p>
      <w:pPr>
        <w:jc w:val="both"/>
        <w:ind w:left="340" w:right="20"/>
        <w:spacing w:after="0" w:line="252" w:lineRule="auto"/>
        <w:rPr>
          <w:sz w:val="20"/>
          <w:szCs w:val="20"/>
          <w:color w:val="auto"/>
        </w:rPr>
      </w:pPr>
      <w:r>
        <w:rPr>
          <w:rFonts w:ascii="Arial" w:cs="Arial" w:eastAsia="Arial" w:hAnsi="Arial"/>
          <w:sz w:val="14"/>
          <w:szCs w:val="14"/>
          <w:color w:val="auto"/>
        </w:rPr>
        <w:t>Peer group as of December 31, 2023 used for reviewing NEO peer median pay levels and conducting pay practice reviews. Also note, the calculation of the 2021-2023 TSR modifier excludes newly added companies in effect as of January 1, 2022 and January 1, 2023 as well as Stamps.com Inc., Echo Global Logistics, Inc., and R.R. Donnelley &amp; Sons Company given their privatization.</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Pay Governance and the Committee design our peer group so the Committee can analyze compensation packages, including compensation mix and other benefits, relative to the competitive market to attract and retain the talent and skills required to lead our business. Our peer group consists of industrial, technology, logistics, and consumer discretionary companies. When evaluating the appropriateness of the peer group, the Committee considers factors such as revenue, market capitalization, and complexity of the business to strike a reasonable balance in terms of Company size and an adequate number of peers. The Committee also considers any feedback received from stockholders.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OTHER POLICIES AND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32"/>
          <w:szCs w:val="32"/>
          <w:b w:val="1"/>
          <w:bCs w:val="1"/>
          <w:color w:val="4B5A89"/>
        </w:rPr>
        <w:t>Other Policies and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58293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Clawback Policy</w:t>
      </w:r>
    </w:p>
    <w:p>
      <w:pPr>
        <w:spacing w:after="0" w:line="17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Consistent with the New York Stock Exchange listing rules adopted to implement the compensation recovery requirements under the Dodd-Frank Wall Street Reform and Consumer Protection Act, the Board approved on September 11, 2023 a Compensation Recoupment Policy applicable to the Company’s executive compensation program which includes a “clawback” feature, requiring (in the event of an accounting restatement, as described in the first bullet below) or allowing the Board to adjust, recoup or require the forfeiture of any awards made or paid under the Stock Plan or the KEIP and applies to:</w:t>
      </w:r>
    </w:p>
    <w:p>
      <w:pPr>
        <w:spacing w:after="0" w:line="71" w:lineRule="exact"/>
        <w:rPr>
          <w:sz w:val="20"/>
          <w:szCs w:val="20"/>
          <w:color w:val="auto"/>
        </w:rPr>
      </w:pPr>
    </w:p>
    <w:p>
      <w:pPr>
        <w:jc w:val="both"/>
        <w:ind w:left="420" w:hanging="210"/>
        <w:spacing w:after="0" w:line="247" w:lineRule="auto"/>
        <w:tabs>
          <w:tab w:leader="none" w:pos="420" w:val="left"/>
        </w:tabs>
        <w:numPr>
          <w:ilvl w:val="0"/>
          <w:numId w:val="45"/>
        </w:numPr>
        <w:rPr>
          <w:rFonts w:ascii="Arial" w:cs="Arial" w:eastAsia="Arial" w:hAnsi="Arial"/>
          <w:sz w:val="18"/>
          <w:szCs w:val="18"/>
          <w:color w:val="0072AF"/>
        </w:rPr>
      </w:pPr>
      <w:r>
        <w:rPr>
          <w:rFonts w:ascii="Arial" w:cs="Arial" w:eastAsia="Arial" w:hAnsi="Arial"/>
          <w:sz w:val="18"/>
          <w:szCs w:val="18"/>
          <w:color w:val="auto"/>
        </w:rPr>
        <w:t>Any current and former NEOs, as well as anyone who performs a policy-making function for the Company, who received incentive-based compensation during the three fiscal year period immediately preceding the date on which the Company is required to prepare an accounting restatement due to material noncompliance with federal securities laws, regardless of fault;</w:t>
      </w:r>
    </w:p>
    <w:p>
      <w:pPr>
        <w:spacing w:after="0" w:line="11" w:lineRule="exact"/>
        <w:rPr>
          <w:rFonts w:ascii="Arial" w:cs="Arial" w:eastAsia="Arial" w:hAnsi="Arial"/>
          <w:sz w:val="18"/>
          <w:szCs w:val="18"/>
          <w:color w:val="0072AF"/>
        </w:rPr>
      </w:pPr>
    </w:p>
    <w:p>
      <w:pPr>
        <w:jc w:val="both"/>
        <w:ind w:left="420" w:hanging="210"/>
        <w:spacing w:after="0" w:line="253" w:lineRule="auto"/>
        <w:tabs>
          <w:tab w:leader="none" w:pos="420" w:val="left"/>
        </w:tabs>
        <w:numPr>
          <w:ilvl w:val="0"/>
          <w:numId w:val="45"/>
        </w:numPr>
        <w:rPr>
          <w:rFonts w:ascii="Arial" w:cs="Arial" w:eastAsia="Arial" w:hAnsi="Arial"/>
          <w:sz w:val="18"/>
          <w:szCs w:val="18"/>
          <w:color w:val="0072AF"/>
        </w:rPr>
      </w:pPr>
      <w:r>
        <w:rPr>
          <w:rFonts w:ascii="Arial" w:cs="Arial" w:eastAsia="Arial" w:hAnsi="Arial"/>
          <w:sz w:val="18"/>
          <w:szCs w:val="18"/>
          <w:color w:val="auto"/>
        </w:rPr>
        <w:t>Any executive officer, including NEOs, in the event of any financial restatement due to a misrepresentation of the financial statements of the Company. This applies to awards granted, vested, or payments made during the 36-month period prior to the financial restatement; or</w:t>
      </w:r>
    </w:p>
    <w:p>
      <w:pPr>
        <w:spacing w:after="0" w:line="6" w:lineRule="exact"/>
        <w:rPr>
          <w:rFonts w:ascii="Arial" w:cs="Arial" w:eastAsia="Arial" w:hAnsi="Arial"/>
          <w:sz w:val="18"/>
          <w:szCs w:val="18"/>
          <w:color w:val="0072AF"/>
        </w:rPr>
      </w:pPr>
    </w:p>
    <w:p>
      <w:pPr>
        <w:jc w:val="both"/>
        <w:ind w:left="420" w:hanging="210"/>
        <w:spacing w:after="0" w:line="247" w:lineRule="auto"/>
        <w:tabs>
          <w:tab w:leader="none" w:pos="420" w:val="left"/>
        </w:tabs>
        <w:numPr>
          <w:ilvl w:val="0"/>
          <w:numId w:val="45"/>
        </w:numPr>
        <w:rPr>
          <w:rFonts w:ascii="Arial" w:cs="Arial" w:eastAsia="Arial" w:hAnsi="Arial"/>
          <w:sz w:val="18"/>
          <w:szCs w:val="18"/>
          <w:color w:val="0072AF"/>
        </w:rPr>
      </w:pPr>
      <w:r>
        <w:rPr>
          <w:rFonts w:ascii="Arial" w:cs="Arial" w:eastAsia="Arial" w:hAnsi="Arial"/>
          <w:sz w:val="18"/>
          <w:szCs w:val="18"/>
          <w:color w:val="auto"/>
        </w:rPr>
        <w:t>Any employee, including NEOs, whom the Board reasonably believes engaged in gross misconduct or breached any provisions in their Proprietary Interest Protection Agreement, which generally provides for confidentiality, and non-competition and non-solicitation of employees and customers for one year following termination of employment.</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No Agreements with Executives</w:t>
      </w:r>
    </w:p>
    <w:p>
      <w:pPr>
        <w:spacing w:after="0" w:line="18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have not entered into fixed term employment agreements with any of our NEOs, including the CEO. Therefore, such officers are “at will” employees.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No Pledging, Hedging and Other Short-Term Speculative Trading</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policies prohibiting both the pledging and hedging of our stock. Neither the Board nor management-level employees may pledge or transfer for value Pitney Bowes securities, engage in short-term speculative (“in and out”) trading in Pitney Bowes securities, or participate in hedging and other derivative transactions, including short sales, “put” or “call” options, swaps, collars or similar derivative transactions, with respect to Pitney Bowes securities (other than transactions in employee stock options).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Executive Stock Ownership Policy</w:t>
      </w:r>
    </w:p>
    <w:p>
      <w:pPr>
        <w:spacing w:after="0" w:line="17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maintain an executive stock ownership policy that encourages executives to think as owners and to hold substantial amounts of Company stock to closely align our key executives’ interests with the long-term interests of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illustrates the policy ownership requirements:</w:t>
      </w:r>
    </w:p>
    <w:p>
      <w:pPr>
        <w:spacing w:after="0" w:line="154" w:lineRule="exact"/>
        <w:rPr>
          <w:sz w:val="20"/>
          <w:szCs w:val="20"/>
          <w:color w:val="auto"/>
        </w:rPr>
      </w:pPr>
    </w:p>
    <w:tbl>
      <w:tblPr>
        <w:tblLayout w:type="fixed"/>
        <w:tblInd w:w="134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3280" w:type="dxa"/>
            <w:vAlign w:val="bottom"/>
          </w:tcPr>
          <w:p>
            <w:pPr>
              <w:jc w:val="center"/>
              <w:ind w:left="863"/>
              <w:spacing w:after="0"/>
              <w:rPr>
                <w:sz w:val="20"/>
                <w:szCs w:val="20"/>
                <w:color w:val="auto"/>
              </w:rPr>
            </w:pPr>
            <w:r>
              <w:rPr>
                <w:rFonts w:ascii="Arial" w:cs="Arial" w:eastAsia="Arial" w:hAnsi="Arial"/>
                <w:sz w:val="14"/>
                <w:szCs w:val="14"/>
                <w:b w:val="1"/>
                <w:bCs w:val="1"/>
                <w:color w:val="auto"/>
              </w:rPr>
              <w:t>Stock Ownership as a Multiple of</w:t>
            </w:r>
          </w:p>
        </w:tc>
      </w:tr>
      <w:tr>
        <w:trPr>
          <w:trHeight w:val="196"/>
        </w:trPr>
        <w:tc>
          <w:tcPr>
            <w:tcW w:w="3200" w:type="dxa"/>
            <w:vAlign w:val="bottom"/>
          </w:tcPr>
          <w:p>
            <w:pPr>
              <w:ind w:left="1460"/>
              <w:spacing w:after="0"/>
              <w:rPr>
                <w:sz w:val="20"/>
                <w:szCs w:val="20"/>
                <w:color w:val="auto"/>
              </w:rPr>
            </w:pPr>
            <w:r>
              <w:rPr>
                <w:rFonts w:ascii="Arial" w:cs="Arial" w:eastAsia="Arial" w:hAnsi="Arial"/>
                <w:sz w:val="14"/>
                <w:szCs w:val="14"/>
                <w:b w:val="1"/>
                <w:bCs w:val="1"/>
                <w:color w:val="auto"/>
              </w:rPr>
              <w:t>Title</w:t>
            </w:r>
          </w:p>
        </w:tc>
        <w:tc>
          <w:tcPr>
            <w:tcW w:w="3280" w:type="dxa"/>
            <w:vAlign w:val="bottom"/>
          </w:tcPr>
          <w:p>
            <w:pPr>
              <w:jc w:val="center"/>
              <w:ind w:left="903"/>
              <w:spacing w:after="0"/>
              <w:rPr>
                <w:sz w:val="20"/>
                <w:szCs w:val="20"/>
                <w:color w:val="auto"/>
              </w:rPr>
            </w:pPr>
            <w:r>
              <w:rPr>
                <w:rFonts w:ascii="Arial" w:cs="Arial" w:eastAsia="Arial" w:hAnsi="Arial"/>
                <w:sz w:val="14"/>
                <w:szCs w:val="14"/>
                <w:b w:val="1"/>
                <w:bCs w:val="1"/>
                <w:color w:val="auto"/>
              </w:rPr>
              <w:t>Base Salary</w:t>
            </w:r>
          </w:p>
        </w:tc>
      </w:tr>
      <w:tr>
        <w:trPr>
          <w:trHeight w:val="56"/>
        </w:trPr>
        <w:tc>
          <w:tcPr>
            <w:tcW w:w="3200" w:type="dxa"/>
            <w:vAlign w:val="bottom"/>
            <w:tcBorders>
              <w:bottom w:val="single" w:sz="8" w:color="0072AF"/>
            </w:tcBorders>
          </w:tcPr>
          <w:p>
            <w:pPr>
              <w:spacing w:after="0"/>
              <w:rPr>
                <w:sz w:val="4"/>
                <w:szCs w:val="4"/>
                <w:color w:val="auto"/>
              </w:rPr>
            </w:pPr>
          </w:p>
        </w:tc>
        <w:tc>
          <w:tcPr>
            <w:tcW w:w="3280" w:type="dxa"/>
            <w:vAlign w:val="bottom"/>
            <w:tcBorders>
              <w:bottom w:val="single" w:sz="8" w:color="0072AF"/>
            </w:tcBorders>
          </w:tcPr>
          <w:p>
            <w:pPr>
              <w:spacing w:after="0"/>
              <w:rPr>
                <w:sz w:val="4"/>
                <w:szCs w:val="4"/>
                <w:color w:val="auto"/>
              </w:rPr>
            </w:pPr>
          </w:p>
        </w:tc>
      </w:tr>
      <w:tr>
        <w:trPr>
          <w:trHeight w:val="275"/>
        </w:trPr>
        <w:tc>
          <w:tcPr>
            <w:tcW w:w="3200" w:type="dxa"/>
            <w:vAlign w:val="bottom"/>
          </w:tcPr>
          <w:p>
            <w:pPr>
              <w:ind w:left="120"/>
              <w:spacing w:after="0"/>
              <w:rPr>
                <w:sz w:val="20"/>
                <w:szCs w:val="20"/>
                <w:color w:val="auto"/>
              </w:rPr>
            </w:pPr>
            <w:r>
              <w:rPr>
                <w:rFonts w:ascii="Arial" w:cs="Arial" w:eastAsia="Arial" w:hAnsi="Arial"/>
                <w:sz w:val="16"/>
                <w:szCs w:val="16"/>
                <w:color w:val="auto"/>
              </w:rPr>
              <w:t>Chief Executive Officer</w:t>
            </w:r>
          </w:p>
        </w:tc>
        <w:tc>
          <w:tcPr>
            <w:tcW w:w="3280" w:type="dxa"/>
            <w:vAlign w:val="bottom"/>
          </w:tcPr>
          <w:p>
            <w:pPr>
              <w:ind w:left="1960"/>
              <w:spacing w:after="0"/>
              <w:rPr>
                <w:sz w:val="20"/>
                <w:szCs w:val="20"/>
                <w:color w:val="auto"/>
              </w:rPr>
            </w:pPr>
            <w:r>
              <w:rPr>
                <w:rFonts w:ascii="Arial" w:cs="Arial" w:eastAsia="Arial" w:hAnsi="Arial"/>
                <w:sz w:val="16"/>
                <w:szCs w:val="16"/>
                <w:color w:val="auto"/>
              </w:rPr>
              <w:t>5X</w:t>
            </w:r>
          </w:p>
        </w:tc>
      </w:tr>
      <w:tr>
        <w:trPr>
          <w:trHeight w:val="324"/>
        </w:trPr>
        <w:tc>
          <w:tcPr>
            <w:tcW w:w="3200" w:type="dxa"/>
            <w:vAlign w:val="bottom"/>
          </w:tcPr>
          <w:p>
            <w:pPr>
              <w:ind w:left="120"/>
              <w:spacing w:after="0"/>
              <w:rPr>
                <w:sz w:val="20"/>
                <w:szCs w:val="20"/>
                <w:color w:val="auto"/>
              </w:rPr>
            </w:pPr>
            <w:r>
              <w:rPr>
                <w:rFonts w:ascii="Arial" w:cs="Arial" w:eastAsia="Arial" w:hAnsi="Arial"/>
                <w:sz w:val="16"/>
                <w:szCs w:val="16"/>
                <w:color w:val="auto"/>
              </w:rPr>
              <w:t>Other Executive Officers</w:t>
            </w:r>
          </w:p>
        </w:tc>
        <w:tc>
          <w:tcPr>
            <w:tcW w:w="3280" w:type="dxa"/>
            <w:vAlign w:val="bottom"/>
          </w:tcPr>
          <w:p>
            <w:pPr>
              <w:ind w:left="1960"/>
              <w:spacing w:after="0"/>
              <w:rPr>
                <w:sz w:val="20"/>
                <w:szCs w:val="20"/>
                <w:color w:val="auto"/>
              </w:rPr>
            </w:pPr>
            <w:r>
              <w:rPr>
                <w:rFonts w:ascii="Arial" w:cs="Arial" w:eastAsia="Arial" w:hAnsi="Arial"/>
                <w:sz w:val="16"/>
                <w:szCs w:val="16"/>
                <w:color w:val="auto"/>
              </w:rPr>
              <w:t>2X</w:t>
            </w:r>
          </w:p>
        </w:tc>
      </w:tr>
      <w:tr>
        <w:trPr>
          <w:trHeight w:val="324"/>
        </w:trPr>
        <w:tc>
          <w:tcPr>
            <w:tcW w:w="3200" w:type="dxa"/>
            <w:vAlign w:val="bottom"/>
          </w:tcPr>
          <w:p>
            <w:pPr>
              <w:ind w:left="120"/>
              <w:spacing w:after="0"/>
              <w:rPr>
                <w:sz w:val="20"/>
                <w:szCs w:val="20"/>
                <w:color w:val="auto"/>
              </w:rPr>
            </w:pPr>
            <w:r>
              <w:rPr>
                <w:rFonts w:ascii="Arial" w:cs="Arial" w:eastAsia="Arial" w:hAnsi="Arial"/>
                <w:sz w:val="16"/>
                <w:szCs w:val="16"/>
                <w:color w:val="auto"/>
              </w:rPr>
              <w:t>All Other Covered Executives</w:t>
            </w:r>
          </w:p>
        </w:tc>
        <w:tc>
          <w:tcPr>
            <w:tcW w:w="3280" w:type="dxa"/>
            <w:vAlign w:val="bottom"/>
          </w:tcPr>
          <w:p>
            <w:pPr>
              <w:ind w:left="1960"/>
              <w:spacing w:after="0"/>
              <w:rPr>
                <w:sz w:val="20"/>
                <w:szCs w:val="20"/>
                <w:color w:val="auto"/>
              </w:rPr>
            </w:pPr>
            <w:r>
              <w:rPr>
                <w:rFonts w:ascii="Arial" w:cs="Arial" w:eastAsia="Arial" w:hAnsi="Arial"/>
                <w:sz w:val="16"/>
                <w:szCs w:val="16"/>
                <w:color w:val="auto"/>
              </w:rPr>
              <w:t>1X</w:t>
            </w:r>
          </w:p>
        </w:tc>
      </w:tr>
    </w:tbl>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Only shares owned outright, shares held in a trust, and shares owned under a deferred compensation arrangement are counted toward the ownership requirement. Unvested shares and unexercised NSOs do not count toward the requirement.</w:t>
      </w:r>
    </w:p>
    <w:p>
      <w:pPr>
        <w:spacing w:after="0" w:line="14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Executive officers are expected to reach the required ownership level within five years. Until they reach ownership levels, executive officers are required to retain all or a portion of the net after tax shares acquired upon vesting of equity awards. Executive officers must retain 100% of shares acquired through the vesting of any equity based LTI awards for at least 12 months following vesting.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OTHER POLICIES AND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Beginning with performance or time-based RSUs and PSU awards made in February 2015, executives who are required to own certain levels of Company stock under the executive stock ownership policy may elect to defer the settlement of their awards upon vesting until the executives terminate employment or retire. Executives who choose to defer their awards receive dividend equivalents once the awards vest, which are also deferred as vested RSUs.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Committee reviews executive stock ownership annually to make sure it is in line with the policy’s objectives.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Change of Control</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believe that the cash payments and benefit levels available to our executives in connection with a Change of Control transaction are consistent with current market practice for companies of our size. Our Change of Control arrangements are intended to encourage those executives most closely connected to a potential Change of Control to act more objectively, and therefore, in the best interests of our stockholders, despite such a transaction possibly resulting in the executives’ termination of employment.</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Change of Control protections also encourage executives to remain with the Company until the completion of the transaction to enable a successful transition. Payments of equity awards and Change of Control-enhanced severance occur only when an employee is terminated without cause or when an employee voluntarily terminates for good reason (such as a reduction in position, pay or other constructive termination event) within two years following a Change of Control (a “double trigger” payment mechanism). The Change of Control, by itself, does not cause severance payments or accelerated vesting of equity awards (i.e., we do not provide “single trigger” Change of Control protections).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gross up our executives for any excise tax imposed on Change of Control payments.</w:t>
      </w:r>
    </w:p>
    <w:p>
      <w:pPr>
        <w:spacing w:after="0" w:line="171"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A Change of Control is generally defined as (i) an acquisition of 30% or more of our Common Stock, or 30% or more of the combined voting power of our voting securities by an individual, entity or group, (ii) replacement of a majority of the Board other than as approved by the incumbent Board, (iii) as a result of a reorganization, merger, consolidation or sale, more than 50% of our Common Stock and voting power changes hands, or (iv) approval by stockholders of a liquidation or dissolution of the Company.</w:t>
      </w:r>
    </w:p>
    <w:p>
      <w:pPr>
        <w:spacing w:after="0" w:line="13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believe our Change of Control arrangements support our overall compensation objectives because they are aligned with our goal of providing a compensation package sufficiently competitive to attract and retain talent and align with stockholder interests. With the double trigger payment mechanism applicable to both equity and cash awards and the lack of any gross-up, we believe the Change of Control arrangements incorporate best practices from a corporate governance perspective.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Treatment of Special Events</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In determining performance goals and evaluating performance results, the Committee may use its discretion and judgment to align management’s rewards for business performance with their contributions to that performance while still holding management accountable for the overall results of the business. The Committee believes that the metrics for incentive compensation should be specific and objective. However, the Committee recognizes that during the measurement period, certain one-time or unusual events may distort, either positively or negatively, the Company’s financial performance. For annual incentive, CIU, and RSU measures, financial results have been adjusted to exclude: goodwill impairment charges, restructuring charges, gains and losses on debt extinguishment and other unusual or one-time items. For additional detail, please refer to the “Reconciliation of Reported Consolidated Results to Adjusted Measures” table on page </w:t>
      </w:r>
      <w:r>
        <w:rPr>
          <w:rFonts w:ascii="Arial" w:cs="Arial" w:eastAsia="Arial" w:hAnsi="Arial"/>
          <w:sz w:val="18"/>
          <w:szCs w:val="18"/>
          <w:u w:val="single" w:color="auto"/>
          <w:color w:val="0000EE"/>
        </w:rPr>
        <w:t>96</w:t>
      </w:r>
      <w:r>
        <w:rPr>
          <w:rFonts w:ascii="Arial" w:cs="Arial" w:eastAsia="Arial" w:hAnsi="Arial"/>
          <w:sz w:val="18"/>
          <w:szCs w:val="18"/>
          <w:color w:val="auto"/>
        </w:rPr>
        <w:t xml:space="preserve"> of this Proxy Statement.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128905</wp:posOffset>
            </wp:positionV>
            <wp:extent cx="699516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75" w:name="page76"/>
    <w:bookmarkEnd w:id="75"/>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EXECUTIVE COMPENSATION TABLES AND RELATED NARRATIVE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2" w:lineRule="exact"/>
        <w:rPr>
          <w:sz w:val="20"/>
          <w:szCs w:val="20"/>
          <w:color w:val="auto"/>
        </w:rPr>
      </w:pPr>
    </w:p>
    <w:p>
      <w:pPr>
        <w:ind w:left="6"/>
        <w:spacing w:after="0"/>
        <w:rPr>
          <w:sz w:val="20"/>
          <w:szCs w:val="20"/>
          <w:color w:val="auto"/>
        </w:rPr>
      </w:pPr>
      <w:r>
        <w:rPr>
          <w:rFonts w:ascii="Arial" w:cs="Arial" w:eastAsia="Arial" w:hAnsi="Arial"/>
          <w:sz w:val="32"/>
          <w:szCs w:val="32"/>
          <w:b w:val="1"/>
          <w:bCs w:val="1"/>
          <w:color w:val="4B5A89"/>
        </w:rPr>
        <w:t>Executive Compensation Tables and Related Narrative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582930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8" w:lineRule="exact"/>
        <w:rPr>
          <w:sz w:val="20"/>
          <w:szCs w:val="20"/>
          <w:color w:val="auto"/>
        </w:rPr>
      </w:pPr>
    </w:p>
    <w:p>
      <w:pPr>
        <w:jc w:val="both"/>
        <w:ind w:left="6" w:right="20"/>
        <w:spacing w:after="0"/>
        <w:rPr>
          <w:sz w:val="20"/>
          <w:szCs w:val="20"/>
          <w:color w:val="auto"/>
        </w:rPr>
      </w:pPr>
      <w:r>
        <w:rPr>
          <w:rFonts w:ascii="Arial" w:cs="Arial" w:eastAsia="Arial" w:hAnsi="Arial"/>
          <w:sz w:val="18"/>
          <w:szCs w:val="18"/>
          <w:color w:val="auto"/>
        </w:rPr>
        <w:t>The following 2023 Summary Compensation Table shows all compensation earned by or paid to the NEOs. The compensation shown below was paid for services performed during or with respect to 2023, 2022, and 2021. The 2023 Summary Compensation Table includes amounts earned and deferred during the periods covered under the DISP.</w:t>
      </w:r>
    </w:p>
    <w:p>
      <w:pPr>
        <w:jc w:val="both"/>
        <w:ind w:left="6" w:right="20"/>
        <w:spacing w:after="0" w:line="250" w:lineRule="auto"/>
        <w:rPr>
          <w:sz w:val="20"/>
          <w:szCs w:val="20"/>
          <w:color w:val="auto"/>
        </w:rPr>
      </w:pPr>
      <w:r>
        <w:rPr>
          <w:rFonts w:ascii="Arial" w:cs="Arial" w:eastAsia="Arial" w:hAnsi="Arial"/>
          <w:sz w:val="18"/>
          <w:szCs w:val="18"/>
          <w:color w:val="auto"/>
        </w:rPr>
        <w:t xml:space="preserve">For additional information regarding grants made during 2023 to the NEOs, please see the “Grants of Plan-Based Awards in 2023” table on page </w:t>
      </w:r>
      <w:r>
        <w:rPr>
          <w:rFonts w:ascii="Arial" w:cs="Arial" w:eastAsia="Arial" w:hAnsi="Arial"/>
          <w:sz w:val="18"/>
          <w:szCs w:val="18"/>
          <w:u w:val="single" w:color="auto"/>
          <w:color w:val="0000EE"/>
        </w:rPr>
        <w:t>77</w:t>
      </w:r>
      <w:r>
        <w:rPr>
          <w:rFonts w:ascii="Arial" w:cs="Arial" w:eastAsia="Arial" w:hAnsi="Arial"/>
          <w:sz w:val="18"/>
          <w:szCs w:val="18"/>
          <w:color w:val="auto"/>
        </w:rPr>
        <w:t xml:space="preserve"> of this Proxy Statement.</w:t>
      </w:r>
    </w:p>
    <w:p>
      <w:pPr>
        <w:spacing w:after="0" w:line="197" w:lineRule="exact"/>
        <w:rPr>
          <w:sz w:val="20"/>
          <w:szCs w:val="20"/>
          <w:color w:val="auto"/>
        </w:rPr>
      </w:pPr>
    </w:p>
    <w:p>
      <w:pPr>
        <w:jc w:val="center"/>
        <w:ind w:right="74"/>
        <w:spacing w:after="0"/>
        <w:rPr>
          <w:sz w:val="20"/>
          <w:szCs w:val="20"/>
          <w:color w:val="auto"/>
        </w:rPr>
      </w:pPr>
      <w:r>
        <w:rPr>
          <w:rFonts w:ascii="Arial" w:cs="Arial" w:eastAsia="Arial" w:hAnsi="Arial"/>
          <w:sz w:val="29"/>
          <w:szCs w:val="29"/>
          <w:b w:val="1"/>
          <w:bCs w:val="1"/>
          <w:color w:val="0072AF"/>
        </w:rPr>
        <w:t>2023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582930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221615</wp:posOffset>
            </wp:positionV>
            <wp:extent cx="58293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6" w:type="dxa"/>
        <w:tblCellMar>
          <w:top w:w="0" w:type="dxa"/>
          <w:left w:w="0" w:type="dxa"/>
          <w:bottom w:w="0" w:type="dxa"/>
          <w:right w:w="0" w:type="dxa"/>
        </w:tblCellMar>
      </w:tblPr>
      <w:tr>
        <w:trPr>
          <w:trHeight w:val="252"/>
        </w:trPr>
        <w:tc>
          <w:tcPr>
            <w:tcW w:w="1820" w:type="dxa"/>
            <w:vAlign w:val="bottom"/>
            <w:tcBorders>
              <w:top w:val="single" w:sz="8" w:color="0072AF"/>
              <w:right w:val="single" w:sz="8" w:color="0072AF"/>
            </w:tcBorders>
          </w:tcPr>
          <w:p>
            <w:pPr>
              <w:spacing w:after="0"/>
              <w:rPr>
                <w:sz w:val="21"/>
                <w:szCs w:val="21"/>
                <w:color w:val="auto"/>
              </w:rPr>
            </w:pPr>
          </w:p>
        </w:tc>
        <w:tc>
          <w:tcPr>
            <w:tcW w:w="720" w:type="dxa"/>
            <w:vAlign w:val="bottom"/>
            <w:tcBorders>
              <w:top w:val="single" w:sz="8" w:color="0072AF"/>
            </w:tcBorders>
          </w:tcPr>
          <w:p>
            <w:pPr>
              <w:spacing w:after="0"/>
              <w:rPr>
                <w:sz w:val="21"/>
                <w:szCs w:val="21"/>
                <w:color w:val="auto"/>
              </w:rPr>
            </w:pPr>
          </w:p>
        </w:tc>
        <w:tc>
          <w:tcPr>
            <w:tcW w:w="820" w:type="dxa"/>
            <w:vAlign w:val="bottom"/>
            <w:tcBorders>
              <w:top w:val="single" w:sz="8" w:color="0072AF"/>
            </w:tcBorders>
          </w:tcPr>
          <w:p>
            <w:pPr>
              <w:spacing w:after="0"/>
              <w:rPr>
                <w:sz w:val="21"/>
                <w:szCs w:val="21"/>
                <w:color w:val="auto"/>
              </w:rPr>
            </w:pPr>
          </w:p>
        </w:tc>
        <w:tc>
          <w:tcPr>
            <w:tcW w:w="680" w:type="dxa"/>
            <w:vAlign w:val="bottom"/>
            <w:tcBorders>
              <w:top w:val="single" w:sz="8" w:color="0072AF"/>
            </w:tcBorders>
          </w:tcPr>
          <w:p>
            <w:pPr>
              <w:spacing w:after="0"/>
              <w:rPr>
                <w:sz w:val="21"/>
                <w:szCs w:val="21"/>
                <w:color w:val="auto"/>
              </w:rPr>
            </w:pPr>
          </w:p>
        </w:tc>
        <w:tc>
          <w:tcPr>
            <w:tcW w:w="800" w:type="dxa"/>
            <w:vAlign w:val="bottom"/>
            <w:tcBorders>
              <w:top w:val="single" w:sz="8" w:color="0072AF"/>
            </w:tcBorders>
          </w:tcPr>
          <w:p>
            <w:pPr>
              <w:spacing w:after="0"/>
              <w:rPr>
                <w:sz w:val="21"/>
                <w:szCs w:val="21"/>
                <w:color w:val="auto"/>
              </w:rPr>
            </w:pPr>
          </w:p>
        </w:tc>
        <w:tc>
          <w:tcPr>
            <w:tcW w:w="720" w:type="dxa"/>
            <w:vAlign w:val="bottom"/>
            <w:tcBorders>
              <w:top w:val="single" w:sz="8" w:color="0072AF"/>
            </w:tcBorders>
          </w:tcPr>
          <w:p>
            <w:pPr>
              <w:spacing w:after="0"/>
              <w:rPr>
                <w:sz w:val="21"/>
                <w:szCs w:val="21"/>
                <w:color w:val="auto"/>
              </w:rPr>
            </w:pPr>
          </w:p>
        </w:tc>
        <w:tc>
          <w:tcPr>
            <w:tcW w:w="960" w:type="dxa"/>
            <w:vAlign w:val="bottom"/>
            <w:tcBorders>
              <w:top w:val="single" w:sz="8" w:color="0072AF"/>
            </w:tcBorders>
          </w:tcPr>
          <w:p>
            <w:pPr>
              <w:spacing w:after="0"/>
              <w:rPr>
                <w:sz w:val="21"/>
                <w:szCs w:val="21"/>
                <w:color w:val="auto"/>
              </w:rPr>
            </w:pPr>
          </w:p>
        </w:tc>
        <w:tc>
          <w:tcPr>
            <w:tcW w:w="940" w:type="dxa"/>
            <w:vAlign w:val="bottom"/>
            <w:tcBorders>
              <w:top w:val="single" w:sz="8" w:color="0072AF"/>
            </w:tcBorders>
          </w:tcPr>
          <w:p>
            <w:pPr>
              <w:jc w:val="center"/>
              <w:spacing w:after="0"/>
              <w:rPr>
                <w:sz w:val="20"/>
                <w:szCs w:val="20"/>
                <w:color w:val="auto"/>
              </w:rPr>
            </w:pPr>
            <w:r>
              <w:rPr>
                <w:rFonts w:ascii="Arial" w:cs="Arial" w:eastAsia="Arial" w:hAnsi="Arial"/>
                <w:sz w:val="13"/>
                <w:szCs w:val="13"/>
                <w:b w:val="1"/>
                <w:bCs w:val="1"/>
                <w:color w:val="auto"/>
                <w:w w:val="95"/>
              </w:rPr>
              <w:t>Change in</w:t>
            </w:r>
          </w:p>
        </w:tc>
        <w:tc>
          <w:tcPr>
            <w:tcW w:w="960" w:type="dxa"/>
            <w:vAlign w:val="bottom"/>
            <w:tcBorders>
              <w:top w:val="single" w:sz="8" w:color="0072AF"/>
            </w:tcBorders>
          </w:tcPr>
          <w:p>
            <w:pPr>
              <w:spacing w:after="0"/>
              <w:rPr>
                <w:sz w:val="21"/>
                <w:szCs w:val="21"/>
                <w:color w:val="auto"/>
              </w:rPr>
            </w:pPr>
          </w:p>
        </w:tc>
        <w:tc>
          <w:tcPr>
            <w:tcW w:w="760" w:type="dxa"/>
            <w:vAlign w:val="bottom"/>
            <w:tcBorders>
              <w:top w:val="single" w:sz="8" w:color="0072AF"/>
            </w:tcBorders>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820" w:type="dxa"/>
            <w:vAlign w:val="bottom"/>
            <w:tcBorders>
              <w:right w:val="single" w:sz="8" w:color="0072AF"/>
            </w:tcBorders>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Pension Value</w:t>
            </w: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Borders>
              <w:right w:val="single" w:sz="8" w:color="0072AF"/>
            </w:tcBorders>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and</w:t>
            </w: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Borders>
              <w:right w:val="single" w:sz="8" w:color="0072AF"/>
            </w:tcBorders>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Non-Equity</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Nonqualified</w:t>
            </w: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Borders>
              <w:right w:val="single" w:sz="8" w:color="0072AF"/>
            </w:tcBorders>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Stock</w:t>
            </w: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Option</w:t>
            </w:r>
          </w:p>
        </w:tc>
        <w:tc>
          <w:tcPr>
            <w:tcW w:w="960" w:type="dxa"/>
            <w:vAlign w:val="bottom"/>
            <w:vMerge w:val="continue"/>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Deferred</w:t>
            </w: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Borders>
              <w:right w:val="single" w:sz="8" w:color="0072AF"/>
            </w:tcBorders>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Incentive Plan</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96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20" w:type="dxa"/>
            <w:vAlign w:val="bottom"/>
            <w:tcBorders>
              <w:right w:val="single" w:sz="8" w:color="0072AF"/>
            </w:tcBorders>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jc w:val="right"/>
              <w:ind w:right="189"/>
              <w:spacing w:after="0"/>
              <w:rPr>
                <w:sz w:val="20"/>
                <w:szCs w:val="20"/>
                <w:color w:val="auto"/>
              </w:rPr>
            </w:pPr>
            <w:r>
              <w:rPr>
                <w:rFonts w:ascii="Arial" w:cs="Arial" w:eastAsia="Arial" w:hAnsi="Arial"/>
                <w:sz w:val="13"/>
                <w:szCs w:val="13"/>
                <w:b w:val="1"/>
                <w:bCs w:val="1"/>
                <w:color w:val="auto"/>
              </w:rPr>
              <w:t>Salary</w:t>
            </w:r>
          </w:p>
        </w:tc>
        <w:tc>
          <w:tcPr>
            <w:tcW w:w="680" w:type="dxa"/>
            <w:vAlign w:val="bottom"/>
          </w:tcPr>
          <w:p>
            <w:pPr>
              <w:jc w:val="right"/>
              <w:ind w:right="89"/>
              <w:spacing w:after="0"/>
              <w:rPr>
                <w:sz w:val="20"/>
                <w:szCs w:val="20"/>
                <w:color w:val="auto"/>
              </w:rPr>
            </w:pPr>
            <w:r>
              <w:rPr>
                <w:rFonts w:ascii="Arial" w:cs="Arial" w:eastAsia="Arial" w:hAnsi="Arial"/>
                <w:sz w:val="13"/>
                <w:szCs w:val="13"/>
                <w:b w:val="1"/>
                <w:bCs w:val="1"/>
                <w:color w:val="auto"/>
              </w:rPr>
              <w:t>Bonus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7"/>
              </w:rPr>
              <w:t>Compensation</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6"/>
              </w:rPr>
              <w:t>Earnings</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5"/>
              </w:rPr>
              <w:t>Compensation</w:t>
            </w:r>
          </w:p>
        </w:tc>
        <w:tc>
          <w:tcPr>
            <w:tcW w:w="760" w:type="dxa"/>
            <w:vAlign w:val="bottom"/>
          </w:tcPr>
          <w:p>
            <w:pPr>
              <w:ind w:left="2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1820" w:type="dxa"/>
            <w:vAlign w:val="bottom"/>
            <w:tcBorders>
              <w:bottom w:val="single" w:sz="8" w:color="0072AF"/>
              <w:right w:val="single" w:sz="8" w:color="0072AF"/>
            </w:tcBorders>
          </w:tcPr>
          <w:p>
            <w:pPr>
              <w:spacing w:after="0"/>
              <w:rPr>
                <w:sz w:val="20"/>
                <w:szCs w:val="20"/>
                <w:color w:val="auto"/>
              </w:rPr>
            </w:pPr>
            <w:r>
              <w:rPr>
                <w:rFonts w:ascii="Arial" w:cs="Arial" w:eastAsia="Arial" w:hAnsi="Arial"/>
                <w:sz w:val="13"/>
                <w:szCs w:val="13"/>
                <w:b w:val="1"/>
                <w:bCs w:val="1"/>
                <w:color w:val="auto"/>
              </w:rPr>
              <w:t>Name and Principal Position</w:t>
            </w:r>
          </w:p>
        </w:tc>
        <w:tc>
          <w:tcPr>
            <w:tcW w:w="720" w:type="dxa"/>
            <w:vAlign w:val="bottom"/>
            <w:tcBorders>
              <w:bottom w:val="single" w:sz="8" w:color="0072AF"/>
            </w:tcBorders>
          </w:tcPr>
          <w:p>
            <w:pPr>
              <w:jc w:val="center"/>
              <w:spacing w:after="0"/>
              <w:rPr>
                <w:sz w:val="20"/>
                <w:szCs w:val="20"/>
                <w:color w:val="auto"/>
              </w:rPr>
            </w:pPr>
            <w:r>
              <w:rPr>
                <w:rFonts w:ascii="Arial" w:cs="Arial" w:eastAsia="Arial" w:hAnsi="Arial"/>
                <w:sz w:val="13"/>
                <w:szCs w:val="13"/>
                <w:b w:val="1"/>
                <w:bCs w:val="1"/>
                <w:color w:val="auto"/>
                <w:w w:val="99"/>
              </w:rPr>
              <w:t>Year</w:t>
            </w:r>
          </w:p>
        </w:tc>
        <w:tc>
          <w:tcPr>
            <w:tcW w:w="820" w:type="dxa"/>
            <w:vAlign w:val="bottom"/>
            <w:tcBorders>
              <w:bottom w:val="single" w:sz="8" w:color="0072AF"/>
            </w:tcBorders>
          </w:tcPr>
          <w:p>
            <w:pPr>
              <w:jc w:val="right"/>
              <w:ind w:right="269"/>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0072AF"/>
            </w:tcBorders>
          </w:tcPr>
          <w:p>
            <w:pPr>
              <w:jc w:val="right"/>
              <w:ind w:right="189"/>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0072AF"/>
            </w:tcBorders>
          </w:tcPr>
          <w:p>
            <w:pPr>
              <w:jc w:val="center"/>
              <w:spacing w:after="0"/>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(2)</w:t>
            </w:r>
          </w:p>
        </w:tc>
        <w:tc>
          <w:tcPr>
            <w:tcW w:w="720" w:type="dxa"/>
            <w:vAlign w:val="bottom"/>
            <w:tcBorders>
              <w:bottom w:val="single" w:sz="8" w:color="0072AF"/>
            </w:tcBorders>
          </w:tcPr>
          <w:p>
            <w:pPr>
              <w:jc w:val="center"/>
              <w:spacing w:after="0"/>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(3)</w:t>
            </w:r>
          </w:p>
        </w:tc>
        <w:tc>
          <w:tcPr>
            <w:tcW w:w="960" w:type="dxa"/>
            <w:vAlign w:val="bottom"/>
            <w:tcBorders>
              <w:bottom w:val="single" w:sz="8" w:color="0072AF"/>
            </w:tcBorders>
          </w:tcPr>
          <w:p>
            <w:pPr>
              <w:jc w:val="center"/>
              <w:spacing w:after="0"/>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(4)</w:t>
            </w:r>
          </w:p>
        </w:tc>
        <w:tc>
          <w:tcPr>
            <w:tcW w:w="940" w:type="dxa"/>
            <w:vAlign w:val="bottom"/>
            <w:tcBorders>
              <w:bottom w:val="single" w:sz="8" w:color="0072AF"/>
            </w:tcBorders>
          </w:tcPr>
          <w:p>
            <w:pPr>
              <w:jc w:val="center"/>
              <w:spacing w:after="0"/>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(5)</w:t>
            </w:r>
          </w:p>
        </w:tc>
        <w:tc>
          <w:tcPr>
            <w:tcW w:w="960" w:type="dxa"/>
            <w:vAlign w:val="bottom"/>
            <w:tcBorders>
              <w:bottom w:val="single" w:sz="8" w:color="0072AF"/>
            </w:tcBorders>
          </w:tcPr>
          <w:p>
            <w:pPr>
              <w:jc w:val="center"/>
              <w:spacing w:after="0"/>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(6)</w:t>
            </w:r>
          </w:p>
        </w:tc>
        <w:tc>
          <w:tcPr>
            <w:tcW w:w="760" w:type="dxa"/>
            <w:vAlign w:val="bottom"/>
            <w:tcBorders>
              <w:bottom w:val="single" w:sz="8" w:color="0072AF"/>
            </w:tcBorders>
          </w:tcPr>
          <w:p>
            <w:pPr>
              <w:jc w:val="center"/>
              <w:spacing w:after="0"/>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(7)</w:t>
            </w:r>
          </w:p>
        </w:tc>
        <w:tc>
          <w:tcPr>
            <w:tcW w:w="0" w:type="dxa"/>
            <w:vAlign w:val="bottom"/>
          </w:tcPr>
          <w:p>
            <w:pPr>
              <w:spacing w:after="0"/>
              <w:rPr>
                <w:sz w:val="1"/>
                <w:szCs w:val="1"/>
                <w:color w:val="auto"/>
              </w:rPr>
            </w:pPr>
          </w:p>
        </w:tc>
      </w:tr>
      <w:tr>
        <w:trPr>
          <w:trHeight w:val="254"/>
        </w:trPr>
        <w:tc>
          <w:tcPr>
            <w:tcW w:w="1820" w:type="dxa"/>
            <w:vAlign w:val="bottom"/>
            <w:tcBorders>
              <w:right w:val="single" w:sz="8" w:color="0072AF"/>
            </w:tcBorders>
          </w:tcPr>
          <w:p>
            <w:pPr>
              <w:spacing w:after="0" w:line="254" w:lineRule="exact"/>
              <w:rPr>
                <w:sz w:val="20"/>
                <w:szCs w:val="20"/>
                <w:color w:val="auto"/>
              </w:rPr>
            </w:pPr>
            <w:r>
              <w:rPr>
                <w:rFonts w:ascii="Arial" w:cs="Arial" w:eastAsia="Arial" w:hAnsi="Arial"/>
                <w:sz w:val="14"/>
                <w:szCs w:val="14"/>
                <w:b w:val="1"/>
                <w:bCs w:val="1"/>
                <w:color w:val="auto"/>
              </w:rPr>
              <w:t>Jason Dies</w:t>
            </w:r>
            <w:r>
              <w:rPr>
                <w:rFonts w:ascii="Arial" w:cs="Arial" w:eastAsia="Arial" w:hAnsi="Arial"/>
                <w:sz w:val="23"/>
                <w:szCs w:val="23"/>
                <w:color w:val="auto"/>
                <w:vertAlign w:val="superscript"/>
              </w:rPr>
              <w:t>(1)</w:t>
            </w:r>
          </w:p>
        </w:tc>
        <w:tc>
          <w:tcPr>
            <w:tcW w:w="72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2023</w:t>
            </w:r>
          </w:p>
        </w:tc>
        <w:tc>
          <w:tcPr>
            <w:tcW w:w="820" w:type="dxa"/>
            <w:vAlign w:val="bottom"/>
            <w:shd w:val="clear" w:color="auto" w:fill="CBCEE0"/>
          </w:tcPr>
          <w:p>
            <w:pPr>
              <w:jc w:val="right"/>
              <w:ind w:right="29"/>
              <w:spacing w:after="0"/>
              <w:rPr>
                <w:sz w:val="20"/>
                <w:szCs w:val="20"/>
                <w:color w:val="auto"/>
              </w:rPr>
            </w:pPr>
            <w:r>
              <w:rPr>
                <w:rFonts w:ascii="Arial" w:cs="Arial" w:eastAsia="Arial" w:hAnsi="Arial"/>
                <w:sz w:val="14"/>
                <w:szCs w:val="14"/>
                <w:color w:val="auto"/>
              </w:rPr>
              <w:t>875,000</w:t>
            </w:r>
          </w:p>
        </w:tc>
        <w:tc>
          <w:tcPr>
            <w:tcW w:w="680" w:type="dxa"/>
            <w:vAlign w:val="bottom"/>
            <w:shd w:val="clear" w:color="auto" w:fill="CBCEE0"/>
          </w:tcPr>
          <w:p>
            <w:pPr>
              <w:jc w:val="right"/>
              <w:ind w:right="9"/>
              <w:spacing w:after="0"/>
              <w:rPr>
                <w:sz w:val="20"/>
                <w:szCs w:val="20"/>
                <w:color w:val="auto"/>
              </w:rPr>
            </w:pPr>
            <w:r>
              <w:rPr>
                <w:rFonts w:ascii="Arial" w:cs="Arial" w:eastAsia="Arial" w:hAnsi="Arial"/>
                <w:sz w:val="14"/>
                <w:szCs w:val="14"/>
                <w:color w:val="auto"/>
              </w:rPr>
              <w:t>180,000</w:t>
            </w:r>
          </w:p>
        </w:tc>
        <w:tc>
          <w:tcPr>
            <w:tcW w:w="800" w:type="dxa"/>
            <w:vAlign w:val="bottom"/>
            <w:shd w:val="clear" w:color="auto" w:fill="CBCEE0"/>
          </w:tcPr>
          <w:p>
            <w:pPr>
              <w:jc w:val="right"/>
              <w:ind w:right="9"/>
              <w:spacing w:after="0"/>
              <w:rPr>
                <w:sz w:val="20"/>
                <w:szCs w:val="20"/>
                <w:color w:val="auto"/>
              </w:rPr>
            </w:pPr>
            <w:r>
              <w:rPr>
                <w:rFonts w:ascii="Arial" w:cs="Arial" w:eastAsia="Arial" w:hAnsi="Arial"/>
                <w:sz w:val="14"/>
                <w:szCs w:val="14"/>
                <w:color w:val="auto"/>
              </w:rPr>
              <w:t>769,893</w:t>
            </w:r>
          </w:p>
        </w:tc>
        <w:tc>
          <w:tcPr>
            <w:tcW w:w="720" w:type="dxa"/>
            <w:vAlign w:val="bottom"/>
            <w:shd w:val="clear" w:color="auto" w:fill="CBCEE0"/>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BCEE0"/>
          </w:tcPr>
          <w:p>
            <w:pPr>
              <w:jc w:val="right"/>
              <w:ind w:right="90"/>
              <w:spacing w:after="0"/>
              <w:rPr>
                <w:sz w:val="20"/>
                <w:szCs w:val="20"/>
                <w:color w:val="auto"/>
              </w:rPr>
            </w:pPr>
            <w:r>
              <w:rPr>
                <w:rFonts w:ascii="Arial" w:cs="Arial" w:eastAsia="Arial" w:hAnsi="Arial"/>
                <w:sz w:val="14"/>
                <w:szCs w:val="14"/>
                <w:color w:val="auto"/>
              </w:rPr>
              <w:t>786,000</w:t>
            </w:r>
          </w:p>
        </w:tc>
        <w:tc>
          <w:tcPr>
            <w:tcW w:w="940" w:type="dxa"/>
            <w:vAlign w:val="bottom"/>
            <w:shd w:val="clear" w:color="auto" w:fill="CBCEE0"/>
          </w:tcPr>
          <w:p>
            <w:pPr>
              <w:jc w:val="right"/>
              <w:ind w:right="211"/>
              <w:spacing w:after="0"/>
              <w:rPr>
                <w:sz w:val="20"/>
                <w:szCs w:val="20"/>
                <w:color w:val="auto"/>
              </w:rPr>
            </w:pPr>
            <w:r>
              <w:rPr>
                <w:rFonts w:ascii="Arial" w:cs="Arial" w:eastAsia="Arial" w:hAnsi="Arial"/>
                <w:sz w:val="14"/>
                <w:szCs w:val="14"/>
                <w:color w:val="auto"/>
              </w:rPr>
              <w:t>-</w:t>
            </w:r>
          </w:p>
        </w:tc>
        <w:tc>
          <w:tcPr>
            <w:tcW w:w="96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101,898</w:t>
            </w:r>
          </w:p>
        </w:tc>
        <w:tc>
          <w:tcPr>
            <w:tcW w:w="76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2,712,791</w:t>
            </w:r>
          </w:p>
        </w:tc>
        <w:tc>
          <w:tcPr>
            <w:tcW w:w="0" w:type="dxa"/>
            <w:vAlign w:val="bottom"/>
          </w:tcPr>
          <w:p>
            <w:pPr>
              <w:spacing w:after="0"/>
              <w:rPr>
                <w:sz w:val="1"/>
                <w:szCs w:val="1"/>
                <w:color w:val="auto"/>
              </w:rPr>
            </w:pPr>
          </w:p>
        </w:tc>
      </w:tr>
      <w:tr>
        <w:trPr>
          <w:trHeight w:val="162"/>
        </w:trPr>
        <w:tc>
          <w:tcPr>
            <w:tcW w:w="18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Interim Chief Executive</w:t>
            </w:r>
          </w:p>
        </w:tc>
        <w:tc>
          <w:tcPr>
            <w:tcW w:w="720" w:type="dxa"/>
            <w:vAlign w:val="bottom"/>
            <w:vMerge w:val="restart"/>
            <w:shd w:val="clear" w:color="auto" w:fill="CBCEE0"/>
          </w:tcPr>
          <w:p>
            <w:pPr>
              <w:jc w:val="center"/>
              <w:spacing w:after="0"/>
              <w:rPr>
                <w:sz w:val="20"/>
                <w:szCs w:val="20"/>
                <w:color w:val="auto"/>
              </w:rPr>
            </w:pPr>
            <w:r>
              <w:rPr>
                <w:rFonts w:ascii="Arial" w:cs="Arial" w:eastAsia="Arial" w:hAnsi="Arial"/>
                <w:sz w:val="14"/>
                <w:szCs w:val="14"/>
                <w:color w:val="auto"/>
              </w:rPr>
              <w:t>2022</w:t>
            </w:r>
          </w:p>
        </w:tc>
        <w:tc>
          <w:tcPr>
            <w:tcW w:w="820" w:type="dxa"/>
            <w:vAlign w:val="bottom"/>
            <w:vMerge w:val="restart"/>
            <w:shd w:val="clear" w:color="auto" w:fill="CBCEE0"/>
          </w:tcPr>
          <w:p>
            <w:pPr>
              <w:jc w:val="right"/>
              <w:ind w:right="29"/>
              <w:spacing w:after="0"/>
              <w:rPr>
                <w:sz w:val="20"/>
                <w:szCs w:val="20"/>
                <w:color w:val="auto"/>
              </w:rPr>
            </w:pPr>
            <w:r>
              <w:rPr>
                <w:rFonts w:ascii="Arial" w:cs="Arial" w:eastAsia="Arial" w:hAnsi="Arial"/>
                <w:sz w:val="14"/>
                <w:szCs w:val="14"/>
                <w:color w:val="auto"/>
              </w:rPr>
              <w:t>765,000</w:t>
            </w:r>
          </w:p>
        </w:tc>
        <w:tc>
          <w:tcPr>
            <w:tcW w:w="680" w:type="dxa"/>
            <w:vAlign w:val="bottom"/>
            <w:vMerge w:val="restart"/>
            <w:shd w:val="clear" w:color="auto" w:fill="CBCEE0"/>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BCEE0"/>
          </w:tcPr>
          <w:p>
            <w:pPr>
              <w:jc w:val="right"/>
              <w:ind w:right="9"/>
              <w:spacing w:after="0"/>
              <w:rPr>
                <w:sz w:val="20"/>
                <w:szCs w:val="20"/>
                <w:color w:val="auto"/>
              </w:rPr>
            </w:pPr>
            <w:r>
              <w:rPr>
                <w:rFonts w:ascii="Arial" w:cs="Arial" w:eastAsia="Arial" w:hAnsi="Arial"/>
                <w:sz w:val="14"/>
                <w:szCs w:val="14"/>
                <w:color w:val="auto"/>
              </w:rPr>
              <w:t>508,156</w:t>
            </w:r>
          </w:p>
        </w:tc>
        <w:tc>
          <w:tcPr>
            <w:tcW w:w="720" w:type="dxa"/>
            <w:vAlign w:val="bottom"/>
            <w:vMerge w:val="restart"/>
            <w:shd w:val="clear" w:color="auto" w:fill="CBCEE0"/>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BCEE0"/>
          </w:tcPr>
          <w:p>
            <w:pPr>
              <w:jc w:val="right"/>
              <w:ind w:right="90"/>
              <w:spacing w:after="0"/>
              <w:rPr>
                <w:sz w:val="20"/>
                <w:szCs w:val="20"/>
                <w:color w:val="auto"/>
              </w:rPr>
            </w:pPr>
            <w:r>
              <w:rPr>
                <w:rFonts w:ascii="Arial" w:cs="Arial" w:eastAsia="Arial" w:hAnsi="Arial"/>
                <w:sz w:val="14"/>
                <w:szCs w:val="14"/>
                <w:color w:val="auto"/>
              </w:rPr>
              <w:t>788,064</w:t>
            </w:r>
          </w:p>
        </w:tc>
        <w:tc>
          <w:tcPr>
            <w:tcW w:w="940" w:type="dxa"/>
            <w:vAlign w:val="bottom"/>
            <w:vMerge w:val="restart"/>
            <w:shd w:val="clear" w:color="auto" w:fill="CBCEE0"/>
          </w:tcPr>
          <w:p>
            <w:pPr>
              <w:jc w:val="right"/>
              <w:ind w:right="211"/>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BCEE0"/>
          </w:tcPr>
          <w:p>
            <w:pPr>
              <w:jc w:val="center"/>
              <w:spacing w:after="0"/>
              <w:rPr>
                <w:sz w:val="20"/>
                <w:szCs w:val="20"/>
                <w:color w:val="auto"/>
              </w:rPr>
            </w:pPr>
            <w:r>
              <w:rPr>
                <w:rFonts w:ascii="Arial" w:cs="Arial" w:eastAsia="Arial" w:hAnsi="Arial"/>
                <w:sz w:val="14"/>
                <w:szCs w:val="14"/>
                <w:color w:val="auto"/>
              </w:rPr>
              <w:t>90,937</w:t>
            </w:r>
          </w:p>
        </w:tc>
        <w:tc>
          <w:tcPr>
            <w:tcW w:w="760" w:type="dxa"/>
            <w:vAlign w:val="bottom"/>
            <w:vMerge w:val="restart"/>
            <w:shd w:val="clear" w:color="auto" w:fill="CBCEE0"/>
          </w:tcPr>
          <w:p>
            <w:pPr>
              <w:jc w:val="center"/>
              <w:spacing w:after="0"/>
              <w:rPr>
                <w:sz w:val="20"/>
                <w:szCs w:val="20"/>
                <w:color w:val="auto"/>
              </w:rPr>
            </w:pPr>
            <w:r>
              <w:rPr>
                <w:rFonts w:ascii="Arial" w:cs="Arial" w:eastAsia="Arial" w:hAnsi="Arial"/>
                <w:sz w:val="14"/>
                <w:szCs w:val="14"/>
                <w:color w:val="auto"/>
              </w:rPr>
              <w:t>2,152,157</w:t>
            </w:r>
          </w:p>
        </w:tc>
        <w:tc>
          <w:tcPr>
            <w:tcW w:w="0" w:type="dxa"/>
            <w:vAlign w:val="bottom"/>
          </w:tcPr>
          <w:p>
            <w:pPr>
              <w:spacing w:after="0"/>
              <w:rPr>
                <w:sz w:val="1"/>
                <w:szCs w:val="1"/>
                <w:color w:val="auto"/>
              </w:rPr>
            </w:pPr>
          </w:p>
        </w:tc>
      </w:tr>
      <w:tr>
        <w:trPr>
          <w:trHeight w:val="190"/>
        </w:trPr>
        <w:tc>
          <w:tcPr>
            <w:tcW w:w="18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Officer</w:t>
            </w:r>
          </w:p>
        </w:tc>
        <w:tc>
          <w:tcPr>
            <w:tcW w:w="720" w:type="dxa"/>
            <w:vAlign w:val="bottom"/>
            <w:vMerge w:val="continue"/>
            <w:shd w:val="clear" w:color="auto" w:fill="CBCEE0"/>
          </w:tcPr>
          <w:p>
            <w:pPr>
              <w:spacing w:after="0"/>
              <w:rPr>
                <w:sz w:val="16"/>
                <w:szCs w:val="16"/>
                <w:color w:val="auto"/>
              </w:rPr>
            </w:pPr>
          </w:p>
        </w:tc>
        <w:tc>
          <w:tcPr>
            <w:tcW w:w="820" w:type="dxa"/>
            <w:vAlign w:val="bottom"/>
            <w:vMerge w:val="continue"/>
            <w:shd w:val="clear" w:color="auto" w:fill="CBCEE0"/>
          </w:tcPr>
          <w:p>
            <w:pPr>
              <w:spacing w:after="0"/>
              <w:rPr>
                <w:sz w:val="16"/>
                <w:szCs w:val="16"/>
                <w:color w:val="auto"/>
              </w:rPr>
            </w:pPr>
          </w:p>
        </w:tc>
        <w:tc>
          <w:tcPr>
            <w:tcW w:w="680" w:type="dxa"/>
            <w:vAlign w:val="bottom"/>
            <w:vMerge w:val="continue"/>
            <w:shd w:val="clear" w:color="auto" w:fill="CBCEE0"/>
          </w:tcPr>
          <w:p>
            <w:pPr>
              <w:spacing w:after="0"/>
              <w:rPr>
                <w:sz w:val="16"/>
                <w:szCs w:val="16"/>
                <w:color w:val="auto"/>
              </w:rPr>
            </w:pPr>
          </w:p>
        </w:tc>
        <w:tc>
          <w:tcPr>
            <w:tcW w:w="800" w:type="dxa"/>
            <w:vAlign w:val="bottom"/>
            <w:vMerge w:val="continue"/>
            <w:shd w:val="clear" w:color="auto" w:fill="CBCEE0"/>
          </w:tcPr>
          <w:p>
            <w:pPr>
              <w:spacing w:after="0"/>
              <w:rPr>
                <w:sz w:val="16"/>
                <w:szCs w:val="16"/>
                <w:color w:val="auto"/>
              </w:rPr>
            </w:pPr>
          </w:p>
        </w:tc>
        <w:tc>
          <w:tcPr>
            <w:tcW w:w="720" w:type="dxa"/>
            <w:vAlign w:val="bottom"/>
            <w:vMerge w:val="continue"/>
            <w:shd w:val="clear" w:color="auto" w:fill="CBCEE0"/>
          </w:tcPr>
          <w:p>
            <w:pPr>
              <w:spacing w:after="0"/>
              <w:rPr>
                <w:sz w:val="16"/>
                <w:szCs w:val="16"/>
                <w:color w:val="auto"/>
              </w:rPr>
            </w:pPr>
          </w:p>
        </w:tc>
        <w:tc>
          <w:tcPr>
            <w:tcW w:w="960" w:type="dxa"/>
            <w:vAlign w:val="bottom"/>
            <w:vMerge w:val="continue"/>
            <w:shd w:val="clear" w:color="auto" w:fill="CBCEE0"/>
          </w:tcPr>
          <w:p>
            <w:pPr>
              <w:spacing w:after="0"/>
              <w:rPr>
                <w:sz w:val="16"/>
                <w:szCs w:val="16"/>
                <w:color w:val="auto"/>
              </w:rPr>
            </w:pPr>
          </w:p>
        </w:tc>
        <w:tc>
          <w:tcPr>
            <w:tcW w:w="940" w:type="dxa"/>
            <w:vAlign w:val="bottom"/>
            <w:vMerge w:val="continue"/>
            <w:shd w:val="clear" w:color="auto" w:fill="CBCEE0"/>
          </w:tcPr>
          <w:p>
            <w:pPr>
              <w:spacing w:after="0"/>
              <w:rPr>
                <w:sz w:val="16"/>
                <w:szCs w:val="16"/>
                <w:color w:val="auto"/>
              </w:rPr>
            </w:pPr>
          </w:p>
        </w:tc>
        <w:tc>
          <w:tcPr>
            <w:tcW w:w="960" w:type="dxa"/>
            <w:vAlign w:val="bottom"/>
            <w:vMerge w:val="continue"/>
            <w:shd w:val="clear" w:color="auto" w:fill="CBCEE0"/>
          </w:tcPr>
          <w:p>
            <w:pPr>
              <w:spacing w:after="0"/>
              <w:rPr>
                <w:sz w:val="16"/>
                <w:szCs w:val="16"/>
                <w:color w:val="auto"/>
              </w:rPr>
            </w:pPr>
          </w:p>
        </w:tc>
        <w:tc>
          <w:tcPr>
            <w:tcW w:w="760" w:type="dxa"/>
            <w:vAlign w:val="bottom"/>
            <w:vMerge w:val="continue"/>
            <w:shd w:val="clear" w:color="auto" w:fill="CBCEE0"/>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820" w:type="dxa"/>
            <w:vAlign w:val="bottom"/>
            <w:tcBorders>
              <w:right w:val="single" w:sz="8" w:color="0072AF"/>
            </w:tcBorders>
          </w:tcPr>
          <w:p>
            <w:pPr>
              <w:spacing w:after="0"/>
              <w:rPr>
                <w:sz w:val="23"/>
                <w:szCs w:val="23"/>
                <w:color w:val="auto"/>
              </w:rPr>
            </w:pPr>
          </w:p>
        </w:tc>
        <w:tc>
          <w:tcPr>
            <w:tcW w:w="72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2021</w:t>
            </w:r>
          </w:p>
        </w:tc>
        <w:tc>
          <w:tcPr>
            <w:tcW w:w="820" w:type="dxa"/>
            <w:vAlign w:val="bottom"/>
            <w:shd w:val="clear" w:color="auto" w:fill="CBCEE0"/>
          </w:tcPr>
          <w:p>
            <w:pPr>
              <w:jc w:val="right"/>
              <w:ind w:right="29"/>
              <w:spacing w:after="0"/>
              <w:rPr>
                <w:sz w:val="20"/>
                <w:szCs w:val="20"/>
                <w:color w:val="auto"/>
              </w:rPr>
            </w:pPr>
            <w:r>
              <w:rPr>
                <w:rFonts w:ascii="Arial" w:cs="Arial" w:eastAsia="Arial" w:hAnsi="Arial"/>
                <w:sz w:val="14"/>
                <w:szCs w:val="14"/>
                <w:color w:val="auto"/>
              </w:rPr>
              <w:t>765,577</w:t>
            </w:r>
          </w:p>
        </w:tc>
        <w:tc>
          <w:tcPr>
            <w:tcW w:w="680" w:type="dxa"/>
            <w:vAlign w:val="bottom"/>
            <w:shd w:val="clear" w:color="auto" w:fill="CBCEE0"/>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shd w:val="clear" w:color="auto" w:fill="CBCEE0"/>
          </w:tcPr>
          <w:p>
            <w:pPr>
              <w:jc w:val="right"/>
              <w:ind w:right="9"/>
              <w:spacing w:after="0"/>
              <w:rPr>
                <w:sz w:val="20"/>
                <w:szCs w:val="20"/>
                <w:color w:val="auto"/>
              </w:rPr>
            </w:pPr>
            <w:r>
              <w:rPr>
                <w:rFonts w:ascii="Arial" w:cs="Arial" w:eastAsia="Arial" w:hAnsi="Arial"/>
                <w:sz w:val="14"/>
                <w:szCs w:val="14"/>
                <w:color w:val="auto"/>
              </w:rPr>
              <w:t>248,273</w:t>
            </w:r>
          </w:p>
        </w:tc>
        <w:tc>
          <w:tcPr>
            <w:tcW w:w="720" w:type="dxa"/>
            <w:vAlign w:val="bottom"/>
            <w:shd w:val="clear" w:color="auto" w:fill="CBCEE0"/>
          </w:tcPr>
          <w:p>
            <w:pPr>
              <w:jc w:val="right"/>
              <w:spacing w:after="0"/>
              <w:rPr>
                <w:sz w:val="20"/>
                <w:szCs w:val="20"/>
                <w:color w:val="auto"/>
              </w:rPr>
            </w:pPr>
            <w:r>
              <w:rPr>
                <w:rFonts w:ascii="Arial" w:cs="Arial" w:eastAsia="Arial" w:hAnsi="Arial"/>
                <w:sz w:val="14"/>
                <w:szCs w:val="14"/>
                <w:color w:val="auto"/>
              </w:rPr>
              <w:t>259,998</w:t>
            </w:r>
          </w:p>
        </w:tc>
        <w:tc>
          <w:tcPr>
            <w:tcW w:w="960" w:type="dxa"/>
            <w:vAlign w:val="bottom"/>
            <w:shd w:val="clear" w:color="auto" w:fill="CBCEE0"/>
          </w:tcPr>
          <w:p>
            <w:pPr>
              <w:jc w:val="right"/>
              <w:ind w:right="90"/>
              <w:spacing w:after="0"/>
              <w:rPr>
                <w:sz w:val="20"/>
                <w:szCs w:val="20"/>
                <w:color w:val="auto"/>
              </w:rPr>
            </w:pPr>
            <w:r>
              <w:rPr>
                <w:rFonts w:ascii="Arial" w:cs="Arial" w:eastAsia="Arial" w:hAnsi="Arial"/>
                <w:sz w:val="14"/>
                <w:szCs w:val="14"/>
                <w:color w:val="auto"/>
              </w:rPr>
              <w:t>370,260</w:t>
            </w:r>
          </w:p>
        </w:tc>
        <w:tc>
          <w:tcPr>
            <w:tcW w:w="940" w:type="dxa"/>
            <w:vAlign w:val="bottom"/>
            <w:shd w:val="clear" w:color="auto" w:fill="CBCEE0"/>
          </w:tcPr>
          <w:p>
            <w:pPr>
              <w:jc w:val="right"/>
              <w:ind w:right="211"/>
              <w:spacing w:after="0"/>
              <w:rPr>
                <w:sz w:val="20"/>
                <w:szCs w:val="20"/>
                <w:color w:val="auto"/>
              </w:rPr>
            </w:pPr>
            <w:r>
              <w:rPr>
                <w:rFonts w:ascii="Arial" w:cs="Arial" w:eastAsia="Arial" w:hAnsi="Arial"/>
                <w:sz w:val="14"/>
                <w:szCs w:val="14"/>
                <w:color w:val="auto"/>
              </w:rPr>
              <w:t>-</w:t>
            </w:r>
          </w:p>
        </w:tc>
        <w:tc>
          <w:tcPr>
            <w:tcW w:w="96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90,386</w:t>
            </w:r>
          </w:p>
        </w:tc>
        <w:tc>
          <w:tcPr>
            <w:tcW w:w="76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1,734,493</w:t>
            </w:r>
          </w:p>
        </w:tc>
        <w:tc>
          <w:tcPr>
            <w:tcW w:w="0" w:type="dxa"/>
            <w:vAlign w:val="bottom"/>
          </w:tcPr>
          <w:p>
            <w:pPr>
              <w:spacing w:after="0"/>
              <w:rPr>
                <w:sz w:val="1"/>
                <w:szCs w:val="1"/>
                <w:color w:val="auto"/>
              </w:rPr>
            </w:pPr>
          </w:p>
        </w:tc>
      </w:tr>
      <w:tr>
        <w:trPr>
          <w:trHeight w:val="62"/>
        </w:trPr>
        <w:tc>
          <w:tcPr>
            <w:tcW w:w="1820" w:type="dxa"/>
            <w:vAlign w:val="bottom"/>
            <w:tcBorders>
              <w:bottom w:val="single" w:sz="8" w:color="0072AF"/>
              <w:right w:val="single" w:sz="8" w:color="0072AF"/>
            </w:tcBorders>
          </w:tcPr>
          <w:p>
            <w:pPr>
              <w:spacing w:after="0"/>
              <w:rPr>
                <w:sz w:val="5"/>
                <w:szCs w:val="5"/>
                <w:color w:val="auto"/>
              </w:rPr>
            </w:pPr>
          </w:p>
        </w:tc>
        <w:tc>
          <w:tcPr>
            <w:tcW w:w="720" w:type="dxa"/>
            <w:vAlign w:val="bottom"/>
            <w:tcBorders>
              <w:bottom w:val="single" w:sz="8" w:color="0072AF"/>
            </w:tcBorders>
            <w:shd w:val="clear" w:color="auto" w:fill="CBCEE0"/>
          </w:tcPr>
          <w:p>
            <w:pPr>
              <w:spacing w:after="0"/>
              <w:rPr>
                <w:sz w:val="5"/>
                <w:szCs w:val="5"/>
                <w:color w:val="auto"/>
              </w:rPr>
            </w:pPr>
          </w:p>
        </w:tc>
        <w:tc>
          <w:tcPr>
            <w:tcW w:w="820" w:type="dxa"/>
            <w:vAlign w:val="bottom"/>
            <w:tcBorders>
              <w:bottom w:val="single" w:sz="8" w:color="0072AF"/>
            </w:tcBorders>
            <w:shd w:val="clear" w:color="auto" w:fill="CBCEE0"/>
          </w:tcPr>
          <w:p>
            <w:pPr>
              <w:spacing w:after="0"/>
              <w:rPr>
                <w:sz w:val="5"/>
                <w:szCs w:val="5"/>
                <w:color w:val="auto"/>
              </w:rPr>
            </w:pPr>
          </w:p>
        </w:tc>
        <w:tc>
          <w:tcPr>
            <w:tcW w:w="680" w:type="dxa"/>
            <w:vAlign w:val="bottom"/>
            <w:tcBorders>
              <w:bottom w:val="single" w:sz="8" w:color="0072AF"/>
            </w:tcBorders>
            <w:shd w:val="clear" w:color="auto" w:fill="CBCEE0"/>
          </w:tcPr>
          <w:p>
            <w:pPr>
              <w:spacing w:after="0"/>
              <w:rPr>
                <w:sz w:val="5"/>
                <w:szCs w:val="5"/>
                <w:color w:val="auto"/>
              </w:rPr>
            </w:pPr>
          </w:p>
        </w:tc>
        <w:tc>
          <w:tcPr>
            <w:tcW w:w="800" w:type="dxa"/>
            <w:vAlign w:val="bottom"/>
            <w:tcBorders>
              <w:bottom w:val="single" w:sz="8" w:color="0072AF"/>
            </w:tcBorders>
            <w:shd w:val="clear" w:color="auto" w:fill="CBCEE0"/>
          </w:tcPr>
          <w:p>
            <w:pPr>
              <w:spacing w:after="0"/>
              <w:rPr>
                <w:sz w:val="5"/>
                <w:szCs w:val="5"/>
                <w:color w:val="auto"/>
              </w:rPr>
            </w:pPr>
          </w:p>
        </w:tc>
        <w:tc>
          <w:tcPr>
            <w:tcW w:w="720" w:type="dxa"/>
            <w:vAlign w:val="bottom"/>
            <w:tcBorders>
              <w:bottom w:val="single" w:sz="8" w:color="0072AF"/>
            </w:tcBorders>
            <w:shd w:val="clear" w:color="auto" w:fill="CBCEE0"/>
          </w:tcPr>
          <w:p>
            <w:pPr>
              <w:spacing w:after="0"/>
              <w:rPr>
                <w:sz w:val="5"/>
                <w:szCs w:val="5"/>
                <w:color w:val="auto"/>
              </w:rPr>
            </w:pPr>
          </w:p>
        </w:tc>
        <w:tc>
          <w:tcPr>
            <w:tcW w:w="960" w:type="dxa"/>
            <w:vAlign w:val="bottom"/>
            <w:tcBorders>
              <w:bottom w:val="single" w:sz="8" w:color="0072AF"/>
            </w:tcBorders>
            <w:shd w:val="clear" w:color="auto" w:fill="CBCEE0"/>
          </w:tcPr>
          <w:p>
            <w:pPr>
              <w:spacing w:after="0"/>
              <w:rPr>
                <w:sz w:val="5"/>
                <w:szCs w:val="5"/>
                <w:color w:val="auto"/>
              </w:rPr>
            </w:pPr>
          </w:p>
        </w:tc>
        <w:tc>
          <w:tcPr>
            <w:tcW w:w="940" w:type="dxa"/>
            <w:vAlign w:val="bottom"/>
            <w:tcBorders>
              <w:bottom w:val="single" w:sz="8" w:color="0072AF"/>
            </w:tcBorders>
            <w:shd w:val="clear" w:color="auto" w:fill="CBCEE0"/>
          </w:tcPr>
          <w:p>
            <w:pPr>
              <w:spacing w:after="0"/>
              <w:rPr>
                <w:sz w:val="5"/>
                <w:szCs w:val="5"/>
                <w:color w:val="auto"/>
              </w:rPr>
            </w:pPr>
          </w:p>
        </w:tc>
        <w:tc>
          <w:tcPr>
            <w:tcW w:w="960" w:type="dxa"/>
            <w:vAlign w:val="bottom"/>
            <w:tcBorders>
              <w:bottom w:val="single" w:sz="8" w:color="0072AF"/>
            </w:tcBorders>
            <w:shd w:val="clear" w:color="auto" w:fill="CBCEE0"/>
          </w:tcPr>
          <w:p>
            <w:pPr>
              <w:spacing w:after="0"/>
              <w:rPr>
                <w:sz w:val="5"/>
                <w:szCs w:val="5"/>
                <w:color w:val="auto"/>
              </w:rPr>
            </w:pPr>
          </w:p>
        </w:tc>
        <w:tc>
          <w:tcPr>
            <w:tcW w:w="760" w:type="dxa"/>
            <w:vAlign w:val="bottom"/>
            <w:tcBorders>
              <w:bottom w:val="single" w:sz="8" w:color="0072AF"/>
            </w:tcBorders>
            <w:shd w:val="clear" w:color="auto" w:fill="CBCEE0"/>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1820" w:type="dxa"/>
            <w:vAlign w:val="bottom"/>
            <w:tcBorders>
              <w:right w:val="single" w:sz="8" w:color="0072AF"/>
            </w:tcBorders>
          </w:tcPr>
          <w:p>
            <w:pPr>
              <w:spacing w:after="0"/>
              <w:rPr>
                <w:sz w:val="20"/>
                <w:szCs w:val="20"/>
                <w:color w:val="auto"/>
              </w:rPr>
            </w:pPr>
            <w:r>
              <w:rPr>
                <w:rFonts w:ascii="Arial" w:cs="Arial" w:eastAsia="Arial" w:hAnsi="Arial"/>
                <w:sz w:val="14"/>
                <w:szCs w:val="14"/>
                <w:b w:val="1"/>
                <w:bCs w:val="1"/>
                <w:color w:val="auto"/>
              </w:rPr>
              <w:t>Ana Chadwick</w:t>
            </w:r>
          </w:p>
        </w:tc>
        <w:tc>
          <w:tcPr>
            <w:tcW w:w="720" w:type="dxa"/>
            <w:vAlign w:val="bottom"/>
          </w:tcPr>
          <w:p>
            <w:pPr>
              <w:jc w:val="center"/>
              <w:spacing w:after="0"/>
              <w:rPr>
                <w:sz w:val="20"/>
                <w:szCs w:val="20"/>
                <w:color w:val="auto"/>
              </w:rPr>
            </w:pPr>
            <w:r>
              <w:rPr>
                <w:rFonts w:ascii="Arial" w:cs="Arial" w:eastAsia="Arial" w:hAnsi="Arial"/>
                <w:sz w:val="14"/>
                <w:szCs w:val="14"/>
                <w:color w:val="auto"/>
              </w:rPr>
              <w:t>2023</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607,148</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457,762</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675,822</w:t>
            </w:r>
          </w:p>
        </w:tc>
        <w:tc>
          <w:tcPr>
            <w:tcW w:w="94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rPr>
              <w:t>67,761</w:t>
            </w:r>
          </w:p>
        </w:tc>
        <w:tc>
          <w:tcPr>
            <w:tcW w:w="760" w:type="dxa"/>
            <w:vAlign w:val="bottom"/>
          </w:tcPr>
          <w:p>
            <w:pPr>
              <w:jc w:val="center"/>
              <w:spacing w:after="0"/>
              <w:rPr>
                <w:sz w:val="20"/>
                <w:szCs w:val="20"/>
                <w:color w:val="auto"/>
              </w:rPr>
            </w:pPr>
            <w:r>
              <w:rPr>
                <w:rFonts w:ascii="Arial" w:cs="Arial" w:eastAsia="Arial" w:hAnsi="Arial"/>
                <w:sz w:val="14"/>
                <w:szCs w:val="14"/>
                <w:color w:val="auto"/>
              </w:rPr>
              <w:t>1,808,493</w:t>
            </w:r>
          </w:p>
        </w:tc>
        <w:tc>
          <w:tcPr>
            <w:tcW w:w="0" w:type="dxa"/>
            <w:vAlign w:val="bottom"/>
          </w:tcPr>
          <w:p>
            <w:pPr>
              <w:spacing w:after="0"/>
              <w:rPr>
                <w:sz w:val="1"/>
                <w:szCs w:val="1"/>
                <w:color w:val="auto"/>
              </w:rPr>
            </w:pPr>
          </w:p>
        </w:tc>
      </w:tr>
      <w:tr>
        <w:trPr>
          <w:trHeight w:val="162"/>
        </w:trPr>
        <w:tc>
          <w:tcPr>
            <w:tcW w:w="18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Executive Vice President</w:t>
            </w: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and Chief Financial Officer</w:t>
            </w:r>
          </w:p>
        </w:tc>
        <w:tc>
          <w:tcPr>
            <w:tcW w:w="720" w:type="dxa"/>
            <w:vAlign w:val="bottom"/>
          </w:tcPr>
          <w:p>
            <w:pPr>
              <w:jc w:val="center"/>
              <w:spacing w:after="0"/>
              <w:rPr>
                <w:sz w:val="20"/>
                <w:szCs w:val="20"/>
                <w:color w:val="auto"/>
              </w:rPr>
            </w:pPr>
            <w:r>
              <w:rPr>
                <w:rFonts w:ascii="Arial" w:cs="Arial" w:eastAsia="Arial" w:hAnsi="Arial"/>
                <w:sz w:val="14"/>
                <w:szCs w:val="14"/>
                <w:color w:val="auto"/>
              </w:rPr>
              <w:t>2022</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589,530</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460,285</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223,634</w:t>
            </w:r>
          </w:p>
        </w:tc>
        <w:tc>
          <w:tcPr>
            <w:tcW w:w="94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rPr>
              <w:t>68,037</w:t>
            </w:r>
          </w:p>
        </w:tc>
        <w:tc>
          <w:tcPr>
            <w:tcW w:w="760" w:type="dxa"/>
            <w:vAlign w:val="bottom"/>
          </w:tcPr>
          <w:p>
            <w:pPr>
              <w:jc w:val="center"/>
              <w:spacing w:after="0"/>
              <w:rPr>
                <w:sz w:val="20"/>
                <w:szCs w:val="20"/>
                <w:color w:val="auto"/>
              </w:rPr>
            </w:pPr>
            <w:r>
              <w:rPr>
                <w:rFonts w:ascii="Arial" w:cs="Arial" w:eastAsia="Arial" w:hAnsi="Arial"/>
                <w:sz w:val="14"/>
                <w:szCs w:val="14"/>
                <w:color w:val="auto"/>
              </w:rPr>
              <w:t>1,341,486</w:t>
            </w:r>
          </w:p>
        </w:tc>
        <w:tc>
          <w:tcPr>
            <w:tcW w:w="0" w:type="dxa"/>
            <w:vAlign w:val="bottom"/>
          </w:tcPr>
          <w:p>
            <w:pPr>
              <w:spacing w:after="0"/>
              <w:rPr>
                <w:sz w:val="1"/>
                <w:szCs w:val="1"/>
                <w:color w:val="auto"/>
              </w:rPr>
            </w:pPr>
          </w:p>
        </w:tc>
      </w:tr>
      <w:tr>
        <w:trPr>
          <w:trHeight w:val="297"/>
        </w:trPr>
        <w:tc>
          <w:tcPr>
            <w:tcW w:w="1820" w:type="dxa"/>
            <w:vAlign w:val="bottom"/>
            <w:tcBorders>
              <w:right w:val="single" w:sz="8" w:color="0072AF"/>
            </w:tcBorders>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2021</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532,981</w:t>
            </w: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500,000</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716,202</w:t>
            </w:r>
          </w:p>
        </w:tc>
        <w:tc>
          <w:tcPr>
            <w:tcW w:w="720" w:type="dxa"/>
            <w:vAlign w:val="bottom"/>
          </w:tcPr>
          <w:p>
            <w:pPr>
              <w:jc w:val="right"/>
              <w:spacing w:after="0"/>
              <w:rPr>
                <w:sz w:val="20"/>
                <w:szCs w:val="20"/>
                <w:color w:val="auto"/>
              </w:rPr>
            </w:pPr>
            <w:r>
              <w:rPr>
                <w:rFonts w:ascii="Arial" w:cs="Arial" w:eastAsia="Arial" w:hAnsi="Arial"/>
                <w:sz w:val="14"/>
                <w:szCs w:val="14"/>
                <w:color w:val="auto"/>
              </w:rPr>
              <w:t>249,999</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256,951</w:t>
            </w:r>
          </w:p>
        </w:tc>
        <w:tc>
          <w:tcPr>
            <w:tcW w:w="94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rPr>
              <w:t>13,315</w:t>
            </w:r>
          </w:p>
        </w:tc>
        <w:tc>
          <w:tcPr>
            <w:tcW w:w="760" w:type="dxa"/>
            <w:vAlign w:val="bottom"/>
          </w:tcPr>
          <w:p>
            <w:pPr>
              <w:jc w:val="center"/>
              <w:spacing w:after="0"/>
              <w:rPr>
                <w:sz w:val="20"/>
                <w:szCs w:val="20"/>
                <w:color w:val="auto"/>
              </w:rPr>
            </w:pPr>
            <w:r>
              <w:rPr>
                <w:rFonts w:ascii="Arial" w:cs="Arial" w:eastAsia="Arial" w:hAnsi="Arial"/>
                <w:sz w:val="14"/>
                <w:szCs w:val="14"/>
                <w:color w:val="auto"/>
              </w:rPr>
              <w:t>2,269,448</w:t>
            </w:r>
          </w:p>
        </w:tc>
        <w:tc>
          <w:tcPr>
            <w:tcW w:w="0" w:type="dxa"/>
            <w:vAlign w:val="bottom"/>
          </w:tcPr>
          <w:p>
            <w:pPr>
              <w:spacing w:after="0"/>
              <w:rPr>
                <w:sz w:val="1"/>
                <w:szCs w:val="1"/>
                <w:color w:val="auto"/>
              </w:rPr>
            </w:pPr>
          </w:p>
        </w:tc>
      </w:tr>
      <w:tr>
        <w:trPr>
          <w:trHeight w:val="62"/>
        </w:trPr>
        <w:tc>
          <w:tcPr>
            <w:tcW w:w="1820" w:type="dxa"/>
            <w:vAlign w:val="bottom"/>
            <w:tcBorders>
              <w:bottom w:val="single" w:sz="8" w:color="0072AF"/>
              <w:right w:val="single" w:sz="8" w:color="0072AF"/>
            </w:tcBorders>
          </w:tcPr>
          <w:p>
            <w:pPr>
              <w:spacing w:after="0"/>
              <w:rPr>
                <w:sz w:val="5"/>
                <w:szCs w:val="5"/>
                <w:color w:val="auto"/>
              </w:rPr>
            </w:pPr>
          </w:p>
        </w:tc>
        <w:tc>
          <w:tcPr>
            <w:tcW w:w="720" w:type="dxa"/>
            <w:vAlign w:val="bottom"/>
            <w:tcBorders>
              <w:bottom w:val="single" w:sz="8" w:color="0072AF"/>
            </w:tcBorders>
          </w:tcPr>
          <w:p>
            <w:pPr>
              <w:spacing w:after="0"/>
              <w:rPr>
                <w:sz w:val="5"/>
                <w:szCs w:val="5"/>
                <w:color w:val="auto"/>
              </w:rPr>
            </w:pPr>
          </w:p>
        </w:tc>
        <w:tc>
          <w:tcPr>
            <w:tcW w:w="820" w:type="dxa"/>
            <w:vAlign w:val="bottom"/>
            <w:tcBorders>
              <w:bottom w:val="single" w:sz="8" w:color="0072AF"/>
            </w:tcBorders>
          </w:tcPr>
          <w:p>
            <w:pPr>
              <w:spacing w:after="0"/>
              <w:rPr>
                <w:sz w:val="5"/>
                <w:szCs w:val="5"/>
                <w:color w:val="auto"/>
              </w:rPr>
            </w:pPr>
          </w:p>
        </w:tc>
        <w:tc>
          <w:tcPr>
            <w:tcW w:w="680" w:type="dxa"/>
            <w:vAlign w:val="bottom"/>
            <w:tcBorders>
              <w:bottom w:val="single" w:sz="8" w:color="0072AF"/>
            </w:tcBorders>
          </w:tcPr>
          <w:p>
            <w:pPr>
              <w:spacing w:after="0"/>
              <w:rPr>
                <w:sz w:val="5"/>
                <w:szCs w:val="5"/>
                <w:color w:val="auto"/>
              </w:rPr>
            </w:pPr>
          </w:p>
        </w:tc>
        <w:tc>
          <w:tcPr>
            <w:tcW w:w="800" w:type="dxa"/>
            <w:vAlign w:val="bottom"/>
            <w:tcBorders>
              <w:bottom w:val="single" w:sz="8" w:color="0072AF"/>
            </w:tcBorders>
          </w:tcPr>
          <w:p>
            <w:pPr>
              <w:spacing w:after="0"/>
              <w:rPr>
                <w:sz w:val="5"/>
                <w:szCs w:val="5"/>
                <w:color w:val="auto"/>
              </w:rPr>
            </w:pPr>
          </w:p>
        </w:tc>
        <w:tc>
          <w:tcPr>
            <w:tcW w:w="720" w:type="dxa"/>
            <w:vAlign w:val="bottom"/>
            <w:tcBorders>
              <w:bottom w:val="single" w:sz="8" w:color="0072AF"/>
            </w:tcBorders>
          </w:tcPr>
          <w:p>
            <w:pPr>
              <w:spacing w:after="0"/>
              <w:rPr>
                <w:sz w:val="5"/>
                <w:szCs w:val="5"/>
                <w:color w:val="auto"/>
              </w:rPr>
            </w:pPr>
          </w:p>
        </w:tc>
        <w:tc>
          <w:tcPr>
            <w:tcW w:w="960" w:type="dxa"/>
            <w:vAlign w:val="bottom"/>
            <w:tcBorders>
              <w:bottom w:val="single" w:sz="8" w:color="0072AF"/>
            </w:tcBorders>
          </w:tcPr>
          <w:p>
            <w:pPr>
              <w:spacing w:after="0"/>
              <w:rPr>
                <w:sz w:val="5"/>
                <w:szCs w:val="5"/>
                <w:color w:val="auto"/>
              </w:rPr>
            </w:pPr>
          </w:p>
        </w:tc>
        <w:tc>
          <w:tcPr>
            <w:tcW w:w="940" w:type="dxa"/>
            <w:vAlign w:val="bottom"/>
            <w:tcBorders>
              <w:bottom w:val="single" w:sz="8" w:color="0072AF"/>
            </w:tcBorders>
          </w:tcPr>
          <w:p>
            <w:pPr>
              <w:spacing w:after="0"/>
              <w:rPr>
                <w:sz w:val="5"/>
                <w:szCs w:val="5"/>
                <w:color w:val="auto"/>
              </w:rPr>
            </w:pPr>
          </w:p>
        </w:tc>
        <w:tc>
          <w:tcPr>
            <w:tcW w:w="960" w:type="dxa"/>
            <w:vAlign w:val="bottom"/>
            <w:tcBorders>
              <w:bottom w:val="single" w:sz="8" w:color="0072AF"/>
            </w:tcBorders>
          </w:tcPr>
          <w:p>
            <w:pPr>
              <w:spacing w:after="0"/>
              <w:rPr>
                <w:sz w:val="5"/>
                <w:szCs w:val="5"/>
                <w:color w:val="auto"/>
              </w:rPr>
            </w:pPr>
          </w:p>
        </w:tc>
        <w:tc>
          <w:tcPr>
            <w:tcW w:w="760" w:type="dxa"/>
            <w:vAlign w:val="bottom"/>
            <w:tcBorders>
              <w:bottom w:val="single" w:sz="8" w:color="0072AF"/>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1820" w:type="dxa"/>
            <w:vAlign w:val="bottom"/>
            <w:tcBorders>
              <w:right w:val="single" w:sz="8" w:color="0072AF"/>
            </w:tcBorders>
          </w:tcPr>
          <w:p>
            <w:pPr>
              <w:spacing w:after="0"/>
              <w:rPr>
                <w:sz w:val="20"/>
                <w:szCs w:val="20"/>
                <w:color w:val="auto"/>
              </w:rPr>
            </w:pPr>
            <w:r>
              <w:rPr>
                <w:rFonts w:ascii="Arial" w:cs="Arial" w:eastAsia="Arial" w:hAnsi="Arial"/>
                <w:sz w:val="14"/>
                <w:szCs w:val="14"/>
                <w:b w:val="1"/>
                <w:bCs w:val="1"/>
                <w:color w:val="auto"/>
              </w:rPr>
              <w:t>Gregg Zegras</w:t>
            </w:r>
          </w:p>
        </w:tc>
        <w:tc>
          <w:tcPr>
            <w:tcW w:w="72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2023</w:t>
            </w:r>
          </w:p>
        </w:tc>
        <w:tc>
          <w:tcPr>
            <w:tcW w:w="820" w:type="dxa"/>
            <w:vAlign w:val="bottom"/>
            <w:shd w:val="clear" w:color="auto" w:fill="CBCEE0"/>
          </w:tcPr>
          <w:p>
            <w:pPr>
              <w:jc w:val="right"/>
              <w:ind w:right="29"/>
              <w:spacing w:after="0"/>
              <w:rPr>
                <w:sz w:val="20"/>
                <w:szCs w:val="20"/>
                <w:color w:val="auto"/>
              </w:rPr>
            </w:pPr>
            <w:r>
              <w:rPr>
                <w:rFonts w:ascii="Arial" w:cs="Arial" w:eastAsia="Arial" w:hAnsi="Arial"/>
                <w:sz w:val="14"/>
                <w:szCs w:val="14"/>
                <w:color w:val="auto"/>
              </w:rPr>
              <w:t>786,458</w:t>
            </w:r>
          </w:p>
        </w:tc>
        <w:tc>
          <w:tcPr>
            <w:tcW w:w="680" w:type="dxa"/>
            <w:vAlign w:val="bottom"/>
            <w:shd w:val="clear" w:color="auto" w:fill="CBCEE0"/>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shd w:val="clear" w:color="auto" w:fill="CBCEE0"/>
          </w:tcPr>
          <w:p>
            <w:pPr>
              <w:jc w:val="right"/>
              <w:ind w:right="9"/>
              <w:spacing w:after="0"/>
              <w:rPr>
                <w:sz w:val="20"/>
                <w:szCs w:val="20"/>
                <w:color w:val="auto"/>
              </w:rPr>
            </w:pPr>
            <w:r>
              <w:rPr>
                <w:rFonts w:ascii="Arial" w:cs="Arial" w:eastAsia="Arial" w:hAnsi="Arial"/>
                <w:sz w:val="14"/>
                <w:szCs w:val="14"/>
                <w:color w:val="auto"/>
              </w:rPr>
              <w:t>457,762</w:t>
            </w:r>
          </w:p>
        </w:tc>
        <w:tc>
          <w:tcPr>
            <w:tcW w:w="720" w:type="dxa"/>
            <w:vAlign w:val="bottom"/>
            <w:shd w:val="clear" w:color="auto" w:fill="CBCEE0"/>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BCEE0"/>
          </w:tcPr>
          <w:p>
            <w:pPr>
              <w:jc w:val="right"/>
              <w:ind w:right="90"/>
              <w:spacing w:after="0"/>
              <w:rPr>
                <w:sz w:val="20"/>
                <w:szCs w:val="20"/>
                <w:color w:val="auto"/>
              </w:rPr>
            </w:pPr>
            <w:r>
              <w:rPr>
                <w:rFonts w:ascii="Arial" w:cs="Arial" w:eastAsia="Arial" w:hAnsi="Arial"/>
                <w:sz w:val="14"/>
                <w:szCs w:val="14"/>
                <w:color w:val="auto"/>
              </w:rPr>
              <w:t>760,834</w:t>
            </w:r>
          </w:p>
        </w:tc>
        <w:tc>
          <w:tcPr>
            <w:tcW w:w="940" w:type="dxa"/>
            <w:vAlign w:val="bottom"/>
            <w:shd w:val="clear" w:color="auto" w:fill="CBCEE0"/>
          </w:tcPr>
          <w:p>
            <w:pPr>
              <w:jc w:val="right"/>
              <w:ind w:right="211"/>
              <w:spacing w:after="0"/>
              <w:rPr>
                <w:sz w:val="20"/>
                <w:szCs w:val="20"/>
                <w:color w:val="auto"/>
              </w:rPr>
            </w:pPr>
            <w:r>
              <w:rPr>
                <w:rFonts w:ascii="Arial" w:cs="Arial" w:eastAsia="Arial" w:hAnsi="Arial"/>
                <w:sz w:val="14"/>
                <w:szCs w:val="14"/>
                <w:color w:val="auto"/>
              </w:rPr>
              <w:t>-</w:t>
            </w:r>
          </w:p>
        </w:tc>
        <w:tc>
          <w:tcPr>
            <w:tcW w:w="96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77,899</w:t>
            </w:r>
          </w:p>
        </w:tc>
        <w:tc>
          <w:tcPr>
            <w:tcW w:w="76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2,082,953</w:t>
            </w:r>
          </w:p>
        </w:tc>
        <w:tc>
          <w:tcPr>
            <w:tcW w:w="0" w:type="dxa"/>
            <w:vAlign w:val="bottom"/>
          </w:tcPr>
          <w:p>
            <w:pPr>
              <w:spacing w:after="0"/>
              <w:rPr>
                <w:sz w:val="1"/>
                <w:szCs w:val="1"/>
                <w:color w:val="auto"/>
              </w:rPr>
            </w:pPr>
          </w:p>
        </w:tc>
      </w:tr>
      <w:tr>
        <w:trPr>
          <w:trHeight w:val="162"/>
        </w:trPr>
        <w:tc>
          <w:tcPr>
            <w:tcW w:w="18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Executive Vice President</w:t>
            </w:r>
          </w:p>
        </w:tc>
        <w:tc>
          <w:tcPr>
            <w:tcW w:w="720" w:type="dxa"/>
            <w:vAlign w:val="bottom"/>
            <w:shd w:val="clear" w:color="auto" w:fill="CBCEE0"/>
          </w:tcPr>
          <w:p>
            <w:pPr>
              <w:spacing w:after="0"/>
              <w:rPr>
                <w:sz w:val="14"/>
                <w:szCs w:val="14"/>
                <w:color w:val="auto"/>
              </w:rPr>
            </w:pPr>
          </w:p>
        </w:tc>
        <w:tc>
          <w:tcPr>
            <w:tcW w:w="820" w:type="dxa"/>
            <w:vAlign w:val="bottom"/>
            <w:shd w:val="clear" w:color="auto" w:fill="CBCEE0"/>
          </w:tcPr>
          <w:p>
            <w:pPr>
              <w:spacing w:after="0"/>
              <w:rPr>
                <w:sz w:val="14"/>
                <w:szCs w:val="14"/>
                <w:color w:val="auto"/>
              </w:rPr>
            </w:pPr>
          </w:p>
        </w:tc>
        <w:tc>
          <w:tcPr>
            <w:tcW w:w="680" w:type="dxa"/>
            <w:vAlign w:val="bottom"/>
            <w:shd w:val="clear" w:color="auto" w:fill="CBCEE0"/>
          </w:tcPr>
          <w:p>
            <w:pPr>
              <w:spacing w:after="0"/>
              <w:rPr>
                <w:sz w:val="14"/>
                <w:szCs w:val="14"/>
                <w:color w:val="auto"/>
              </w:rPr>
            </w:pPr>
          </w:p>
        </w:tc>
        <w:tc>
          <w:tcPr>
            <w:tcW w:w="800" w:type="dxa"/>
            <w:vAlign w:val="bottom"/>
            <w:shd w:val="clear" w:color="auto" w:fill="CBCEE0"/>
          </w:tcPr>
          <w:p>
            <w:pPr>
              <w:spacing w:after="0"/>
              <w:rPr>
                <w:sz w:val="14"/>
                <w:szCs w:val="14"/>
                <w:color w:val="auto"/>
              </w:rPr>
            </w:pPr>
          </w:p>
        </w:tc>
        <w:tc>
          <w:tcPr>
            <w:tcW w:w="720" w:type="dxa"/>
            <w:vAlign w:val="bottom"/>
            <w:shd w:val="clear" w:color="auto" w:fill="CBCEE0"/>
          </w:tcPr>
          <w:p>
            <w:pPr>
              <w:spacing w:after="0"/>
              <w:rPr>
                <w:sz w:val="14"/>
                <w:szCs w:val="14"/>
                <w:color w:val="auto"/>
              </w:rPr>
            </w:pPr>
          </w:p>
        </w:tc>
        <w:tc>
          <w:tcPr>
            <w:tcW w:w="960" w:type="dxa"/>
            <w:vAlign w:val="bottom"/>
            <w:shd w:val="clear" w:color="auto" w:fill="CBCEE0"/>
          </w:tcPr>
          <w:p>
            <w:pPr>
              <w:spacing w:after="0"/>
              <w:rPr>
                <w:sz w:val="14"/>
                <w:szCs w:val="14"/>
                <w:color w:val="auto"/>
              </w:rPr>
            </w:pPr>
          </w:p>
        </w:tc>
        <w:tc>
          <w:tcPr>
            <w:tcW w:w="940" w:type="dxa"/>
            <w:vAlign w:val="bottom"/>
            <w:shd w:val="clear" w:color="auto" w:fill="CBCEE0"/>
          </w:tcPr>
          <w:p>
            <w:pPr>
              <w:spacing w:after="0"/>
              <w:rPr>
                <w:sz w:val="14"/>
                <w:szCs w:val="14"/>
                <w:color w:val="auto"/>
              </w:rPr>
            </w:pPr>
          </w:p>
        </w:tc>
        <w:tc>
          <w:tcPr>
            <w:tcW w:w="960" w:type="dxa"/>
            <w:vAlign w:val="bottom"/>
            <w:shd w:val="clear" w:color="auto" w:fill="CBCEE0"/>
          </w:tcPr>
          <w:p>
            <w:pPr>
              <w:spacing w:after="0"/>
              <w:rPr>
                <w:sz w:val="14"/>
                <w:szCs w:val="14"/>
                <w:color w:val="auto"/>
              </w:rPr>
            </w:pPr>
          </w:p>
        </w:tc>
        <w:tc>
          <w:tcPr>
            <w:tcW w:w="760" w:type="dxa"/>
            <w:vAlign w:val="bottom"/>
            <w:shd w:val="clear" w:color="auto" w:fill="CBCEE0"/>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and President, Global</w:t>
            </w:r>
          </w:p>
        </w:tc>
        <w:tc>
          <w:tcPr>
            <w:tcW w:w="72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2022</w:t>
            </w:r>
          </w:p>
        </w:tc>
        <w:tc>
          <w:tcPr>
            <w:tcW w:w="820" w:type="dxa"/>
            <w:vAlign w:val="bottom"/>
            <w:shd w:val="clear" w:color="auto" w:fill="CBCEE0"/>
          </w:tcPr>
          <w:p>
            <w:pPr>
              <w:jc w:val="right"/>
              <w:ind w:right="29"/>
              <w:spacing w:after="0"/>
              <w:rPr>
                <w:sz w:val="20"/>
                <w:szCs w:val="20"/>
                <w:color w:val="auto"/>
              </w:rPr>
            </w:pPr>
            <w:r>
              <w:rPr>
                <w:rFonts w:ascii="Arial" w:cs="Arial" w:eastAsia="Arial" w:hAnsi="Arial"/>
                <w:sz w:val="14"/>
                <w:szCs w:val="14"/>
                <w:color w:val="auto"/>
              </w:rPr>
              <w:t>575,176</w:t>
            </w:r>
          </w:p>
        </w:tc>
        <w:tc>
          <w:tcPr>
            <w:tcW w:w="680" w:type="dxa"/>
            <w:vAlign w:val="bottom"/>
            <w:shd w:val="clear" w:color="auto" w:fill="CBCEE0"/>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shd w:val="clear" w:color="auto" w:fill="CBCEE0"/>
          </w:tcPr>
          <w:p>
            <w:pPr>
              <w:jc w:val="right"/>
              <w:ind w:right="9"/>
              <w:spacing w:after="0"/>
              <w:rPr>
                <w:sz w:val="20"/>
                <w:szCs w:val="20"/>
                <w:color w:val="auto"/>
              </w:rPr>
            </w:pPr>
            <w:r>
              <w:rPr>
                <w:rFonts w:ascii="Arial" w:cs="Arial" w:eastAsia="Arial" w:hAnsi="Arial"/>
                <w:sz w:val="14"/>
                <w:szCs w:val="14"/>
                <w:color w:val="auto"/>
              </w:rPr>
              <w:t>460,285</w:t>
            </w:r>
          </w:p>
        </w:tc>
        <w:tc>
          <w:tcPr>
            <w:tcW w:w="720" w:type="dxa"/>
            <w:vAlign w:val="bottom"/>
            <w:shd w:val="clear" w:color="auto" w:fill="CBCEE0"/>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BCEE0"/>
          </w:tcPr>
          <w:p>
            <w:pPr>
              <w:jc w:val="right"/>
              <w:ind w:right="90"/>
              <w:spacing w:after="0"/>
              <w:rPr>
                <w:sz w:val="20"/>
                <w:szCs w:val="20"/>
                <w:color w:val="auto"/>
              </w:rPr>
            </w:pPr>
            <w:r>
              <w:rPr>
                <w:rFonts w:ascii="Arial" w:cs="Arial" w:eastAsia="Arial" w:hAnsi="Arial"/>
                <w:sz w:val="14"/>
                <w:szCs w:val="14"/>
                <w:color w:val="auto"/>
              </w:rPr>
              <w:t>275,789</w:t>
            </w:r>
          </w:p>
        </w:tc>
        <w:tc>
          <w:tcPr>
            <w:tcW w:w="940" w:type="dxa"/>
            <w:vAlign w:val="bottom"/>
            <w:shd w:val="clear" w:color="auto" w:fill="CBCEE0"/>
          </w:tcPr>
          <w:p>
            <w:pPr>
              <w:jc w:val="right"/>
              <w:ind w:right="211"/>
              <w:spacing w:after="0"/>
              <w:rPr>
                <w:sz w:val="20"/>
                <w:szCs w:val="20"/>
                <w:color w:val="auto"/>
              </w:rPr>
            </w:pPr>
            <w:r>
              <w:rPr>
                <w:rFonts w:ascii="Arial" w:cs="Arial" w:eastAsia="Arial" w:hAnsi="Arial"/>
                <w:sz w:val="14"/>
                <w:szCs w:val="14"/>
                <w:color w:val="auto"/>
              </w:rPr>
              <w:t>-</w:t>
            </w:r>
          </w:p>
        </w:tc>
        <w:tc>
          <w:tcPr>
            <w:tcW w:w="96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46,391</w:t>
            </w:r>
          </w:p>
        </w:tc>
        <w:tc>
          <w:tcPr>
            <w:tcW w:w="76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1,357,641</w:t>
            </w:r>
          </w:p>
        </w:tc>
        <w:tc>
          <w:tcPr>
            <w:tcW w:w="0" w:type="dxa"/>
            <w:vAlign w:val="bottom"/>
          </w:tcPr>
          <w:p>
            <w:pPr>
              <w:spacing w:after="0"/>
              <w:rPr>
                <w:sz w:val="1"/>
                <w:szCs w:val="1"/>
                <w:color w:val="auto"/>
              </w:rPr>
            </w:pPr>
          </w:p>
        </w:tc>
      </w:tr>
      <w:tr>
        <w:trPr>
          <w:trHeight w:val="190"/>
        </w:trPr>
        <w:tc>
          <w:tcPr>
            <w:tcW w:w="18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Ecommerce</w:t>
            </w:r>
          </w:p>
        </w:tc>
        <w:tc>
          <w:tcPr>
            <w:tcW w:w="720" w:type="dxa"/>
            <w:vAlign w:val="bottom"/>
            <w:vMerge w:val="restart"/>
            <w:shd w:val="clear" w:color="auto" w:fill="CBCEE0"/>
          </w:tcPr>
          <w:p>
            <w:pPr>
              <w:jc w:val="center"/>
              <w:spacing w:after="0"/>
              <w:rPr>
                <w:sz w:val="20"/>
                <w:szCs w:val="20"/>
                <w:color w:val="auto"/>
              </w:rPr>
            </w:pPr>
            <w:r>
              <w:rPr>
                <w:rFonts w:ascii="Arial" w:cs="Arial" w:eastAsia="Arial" w:hAnsi="Arial"/>
                <w:sz w:val="14"/>
                <w:szCs w:val="14"/>
                <w:color w:val="auto"/>
              </w:rPr>
              <w:t>2021</w:t>
            </w:r>
          </w:p>
        </w:tc>
        <w:tc>
          <w:tcPr>
            <w:tcW w:w="820" w:type="dxa"/>
            <w:vAlign w:val="bottom"/>
            <w:vMerge w:val="restart"/>
            <w:shd w:val="clear" w:color="auto" w:fill="CBCEE0"/>
          </w:tcPr>
          <w:p>
            <w:pPr>
              <w:jc w:val="right"/>
              <w:ind w:right="29"/>
              <w:spacing w:after="0"/>
              <w:rPr>
                <w:sz w:val="20"/>
                <w:szCs w:val="20"/>
                <w:color w:val="auto"/>
              </w:rPr>
            </w:pPr>
            <w:r>
              <w:rPr>
                <w:rFonts w:ascii="Arial" w:cs="Arial" w:eastAsia="Arial" w:hAnsi="Arial"/>
                <w:sz w:val="14"/>
                <w:szCs w:val="14"/>
                <w:color w:val="auto"/>
              </w:rPr>
              <w:t>561,423</w:t>
            </w:r>
          </w:p>
        </w:tc>
        <w:tc>
          <w:tcPr>
            <w:tcW w:w="680" w:type="dxa"/>
            <w:vAlign w:val="bottom"/>
            <w:vMerge w:val="restart"/>
            <w:shd w:val="clear" w:color="auto" w:fill="CBCEE0"/>
          </w:tcPr>
          <w:p>
            <w:pPr>
              <w:jc w:val="right"/>
              <w:ind w:right="9"/>
              <w:spacing w:after="0"/>
              <w:rPr>
                <w:sz w:val="20"/>
                <w:szCs w:val="20"/>
                <w:color w:val="auto"/>
              </w:rPr>
            </w:pPr>
            <w:r>
              <w:rPr>
                <w:rFonts w:ascii="Arial" w:cs="Arial" w:eastAsia="Arial" w:hAnsi="Arial"/>
                <w:sz w:val="14"/>
                <w:szCs w:val="14"/>
                <w:color w:val="auto"/>
              </w:rPr>
              <w:t>125,000</w:t>
            </w:r>
          </w:p>
        </w:tc>
        <w:tc>
          <w:tcPr>
            <w:tcW w:w="800" w:type="dxa"/>
            <w:vAlign w:val="bottom"/>
            <w:vMerge w:val="restart"/>
            <w:shd w:val="clear" w:color="auto" w:fill="CBCEE0"/>
          </w:tcPr>
          <w:p>
            <w:pPr>
              <w:jc w:val="right"/>
              <w:ind w:right="9"/>
              <w:spacing w:after="0"/>
              <w:rPr>
                <w:sz w:val="20"/>
                <w:szCs w:val="20"/>
                <w:color w:val="auto"/>
              </w:rPr>
            </w:pPr>
            <w:r>
              <w:rPr>
                <w:rFonts w:ascii="Arial" w:cs="Arial" w:eastAsia="Arial" w:hAnsi="Arial"/>
                <w:sz w:val="14"/>
                <w:szCs w:val="14"/>
                <w:color w:val="auto"/>
              </w:rPr>
              <w:t>238,727</w:t>
            </w:r>
          </w:p>
        </w:tc>
        <w:tc>
          <w:tcPr>
            <w:tcW w:w="720" w:type="dxa"/>
            <w:vAlign w:val="bottom"/>
            <w:vMerge w:val="restart"/>
            <w:shd w:val="clear" w:color="auto" w:fill="CBCEE0"/>
          </w:tcPr>
          <w:p>
            <w:pPr>
              <w:jc w:val="right"/>
              <w:spacing w:after="0"/>
              <w:rPr>
                <w:sz w:val="20"/>
                <w:szCs w:val="20"/>
                <w:color w:val="auto"/>
              </w:rPr>
            </w:pPr>
            <w:r>
              <w:rPr>
                <w:rFonts w:ascii="Arial" w:cs="Arial" w:eastAsia="Arial" w:hAnsi="Arial"/>
                <w:sz w:val="14"/>
                <w:szCs w:val="14"/>
                <w:color w:val="auto"/>
              </w:rPr>
              <w:t>249,999</w:t>
            </w:r>
          </w:p>
        </w:tc>
        <w:tc>
          <w:tcPr>
            <w:tcW w:w="960" w:type="dxa"/>
            <w:vAlign w:val="bottom"/>
            <w:vMerge w:val="restart"/>
            <w:shd w:val="clear" w:color="auto" w:fill="CBCEE0"/>
          </w:tcPr>
          <w:p>
            <w:pPr>
              <w:jc w:val="right"/>
              <w:ind w:right="90"/>
              <w:spacing w:after="0"/>
              <w:rPr>
                <w:sz w:val="20"/>
                <w:szCs w:val="20"/>
                <w:color w:val="auto"/>
              </w:rPr>
            </w:pPr>
            <w:r>
              <w:rPr>
                <w:rFonts w:ascii="Arial" w:cs="Arial" w:eastAsia="Arial" w:hAnsi="Arial"/>
                <w:sz w:val="14"/>
                <w:szCs w:val="14"/>
                <w:color w:val="auto"/>
              </w:rPr>
              <w:t>321,024</w:t>
            </w:r>
          </w:p>
        </w:tc>
        <w:tc>
          <w:tcPr>
            <w:tcW w:w="940" w:type="dxa"/>
            <w:vAlign w:val="bottom"/>
            <w:vMerge w:val="restart"/>
            <w:shd w:val="clear" w:color="auto" w:fill="CBCEE0"/>
          </w:tcPr>
          <w:p>
            <w:pPr>
              <w:jc w:val="right"/>
              <w:ind w:right="211"/>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BCEE0"/>
          </w:tcPr>
          <w:p>
            <w:pPr>
              <w:jc w:val="center"/>
              <w:spacing w:after="0"/>
              <w:rPr>
                <w:sz w:val="20"/>
                <w:szCs w:val="20"/>
                <w:color w:val="auto"/>
              </w:rPr>
            </w:pPr>
            <w:r>
              <w:rPr>
                <w:rFonts w:ascii="Arial" w:cs="Arial" w:eastAsia="Arial" w:hAnsi="Arial"/>
                <w:sz w:val="14"/>
                <w:szCs w:val="14"/>
                <w:color w:val="auto"/>
              </w:rPr>
              <w:t>56,242</w:t>
            </w:r>
          </w:p>
        </w:tc>
        <w:tc>
          <w:tcPr>
            <w:tcW w:w="760" w:type="dxa"/>
            <w:vAlign w:val="bottom"/>
            <w:vMerge w:val="restart"/>
            <w:shd w:val="clear" w:color="auto" w:fill="CBCEE0"/>
          </w:tcPr>
          <w:p>
            <w:pPr>
              <w:jc w:val="center"/>
              <w:spacing w:after="0"/>
              <w:rPr>
                <w:sz w:val="20"/>
                <w:szCs w:val="20"/>
                <w:color w:val="auto"/>
              </w:rPr>
            </w:pPr>
            <w:r>
              <w:rPr>
                <w:rFonts w:ascii="Arial" w:cs="Arial" w:eastAsia="Arial" w:hAnsi="Arial"/>
                <w:sz w:val="14"/>
                <w:szCs w:val="14"/>
                <w:color w:val="auto"/>
              </w:rPr>
              <w:t>1,552,415</w:t>
            </w:r>
          </w:p>
        </w:tc>
        <w:tc>
          <w:tcPr>
            <w:tcW w:w="0" w:type="dxa"/>
            <w:vAlign w:val="bottom"/>
          </w:tcPr>
          <w:p>
            <w:pPr>
              <w:spacing w:after="0"/>
              <w:rPr>
                <w:sz w:val="1"/>
                <w:szCs w:val="1"/>
                <w:color w:val="auto"/>
              </w:rPr>
            </w:pPr>
          </w:p>
        </w:tc>
      </w:tr>
      <w:tr>
        <w:trPr>
          <w:trHeight w:val="135"/>
        </w:trPr>
        <w:tc>
          <w:tcPr>
            <w:tcW w:w="1820" w:type="dxa"/>
            <w:vAlign w:val="bottom"/>
            <w:tcBorders>
              <w:right w:val="single" w:sz="8" w:color="0072AF"/>
            </w:tcBorders>
          </w:tcPr>
          <w:p>
            <w:pPr>
              <w:spacing w:after="0"/>
              <w:rPr>
                <w:sz w:val="11"/>
                <w:szCs w:val="11"/>
                <w:color w:val="auto"/>
              </w:rPr>
            </w:pPr>
          </w:p>
        </w:tc>
        <w:tc>
          <w:tcPr>
            <w:tcW w:w="720" w:type="dxa"/>
            <w:vAlign w:val="bottom"/>
            <w:vMerge w:val="continue"/>
            <w:shd w:val="clear" w:color="auto" w:fill="CBCEE0"/>
          </w:tcPr>
          <w:p>
            <w:pPr>
              <w:spacing w:after="0"/>
              <w:rPr>
                <w:sz w:val="11"/>
                <w:szCs w:val="11"/>
                <w:color w:val="auto"/>
              </w:rPr>
            </w:pPr>
          </w:p>
        </w:tc>
        <w:tc>
          <w:tcPr>
            <w:tcW w:w="820" w:type="dxa"/>
            <w:vAlign w:val="bottom"/>
            <w:vMerge w:val="continue"/>
            <w:shd w:val="clear" w:color="auto" w:fill="CBCEE0"/>
          </w:tcPr>
          <w:p>
            <w:pPr>
              <w:spacing w:after="0"/>
              <w:rPr>
                <w:sz w:val="11"/>
                <w:szCs w:val="11"/>
                <w:color w:val="auto"/>
              </w:rPr>
            </w:pPr>
          </w:p>
        </w:tc>
        <w:tc>
          <w:tcPr>
            <w:tcW w:w="680" w:type="dxa"/>
            <w:vAlign w:val="bottom"/>
            <w:vMerge w:val="continue"/>
            <w:shd w:val="clear" w:color="auto" w:fill="CBCEE0"/>
          </w:tcPr>
          <w:p>
            <w:pPr>
              <w:spacing w:after="0"/>
              <w:rPr>
                <w:sz w:val="11"/>
                <w:szCs w:val="11"/>
                <w:color w:val="auto"/>
              </w:rPr>
            </w:pPr>
          </w:p>
        </w:tc>
        <w:tc>
          <w:tcPr>
            <w:tcW w:w="800" w:type="dxa"/>
            <w:vAlign w:val="bottom"/>
            <w:vMerge w:val="continue"/>
            <w:shd w:val="clear" w:color="auto" w:fill="CBCEE0"/>
          </w:tcPr>
          <w:p>
            <w:pPr>
              <w:spacing w:after="0"/>
              <w:rPr>
                <w:sz w:val="11"/>
                <w:szCs w:val="11"/>
                <w:color w:val="auto"/>
              </w:rPr>
            </w:pPr>
          </w:p>
        </w:tc>
        <w:tc>
          <w:tcPr>
            <w:tcW w:w="720" w:type="dxa"/>
            <w:vAlign w:val="bottom"/>
            <w:vMerge w:val="continue"/>
            <w:shd w:val="clear" w:color="auto" w:fill="CBCEE0"/>
          </w:tcPr>
          <w:p>
            <w:pPr>
              <w:spacing w:after="0"/>
              <w:rPr>
                <w:sz w:val="11"/>
                <w:szCs w:val="11"/>
                <w:color w:val="auto"/>
              </w:rPr>
            </w:pPr>
          </w:p>
        </w:tc>
        <w:tc>
          <w:tcPr>
            <w:tcW w:w="960" w:type="dxa"/>
            <w:vAlign w:val="bottom"/>
            <w:vMerge w:val="continue"/>
            <w:shd w:val="clear" w:color="auto" w:fill="CBCEE0"/>
          </w:tcPr>
          <w:p>
            <w:pPr>
              <w:spacing w:after="0"/>
              <w:rPr>
                <w:sz w:val="11"/>
                <w:szCs w:val="11"/>
                <w:color w:val="auto"/>
              </w:rPr>
            </w:pPr>
          </w:p>
        </w:tc>
        <w:tc>
          <w:tcPr>
            <w:tcW w:w="940" w:type="dxa"/>
            <w:vAlign w:val="bottom"/>
            <w:vMerge w:val="continue"/>
            <w:shd w:val="clear" w:color="auto" w:fill="CBCEE0"/>
          </w:tcPr>
          <w:p>
            <w:pPr>
              <w:spacing w:after="0"/>
              <w:rPr>
                <w:sz w:val="11"/>
                <w:szCs w:val="11"/>
                <w:color w:val="auto"/>
              </w:rPr>
            </w:pPr>
          </w:p>
        </w:tc>
        <w:tc>
          <w:tcPr>
            <w:tcW w:w="960" w:type="dxa"/>
            <w:vAlign w:val="bottom"/>
            <w:vMerge w:val="continue"/>
            <w:shd w:val="clear" w:color="auto" w:fill="CBCEE0"/>
          </w:tcPr>
          <w:p>
            <w:pPr>
              <w:spacing w:after="0"/>
              <w:rPr>
                <w:sz w:val="11"/>
                <w:szCs w:val="11"/>
                <w:color w:val="auto"/>
              </w:rPr>
            </w:pPr>
          </w:p>
        </w:tc>
        <w:tc>
          <w:tcPr>
            <w:tcW w:w="760" w:type="dxa"/>
            <w:vAlign w:val="bottom"/>
            <w:vMerge w:val="continue"/>
            <w:shd w:val="clear" w:color="auto" w:fill="CBCEE0"/>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1820" w:type="dxa"/>
            <w:vAlign w:val="bottom"/>
            <w:tcBorders>
              <w:bottom w:val="single" w:sz="8" w:color="0072AF"/>
              <w:right w:val="single" w:sz="8" w:color="0072AF"/>
            </w:tcBorders>
          </w:tcPr>
          <w:p>
            <w:pPr>
              <w:spacing w:after="0"/>
              <w:rPr>
                <w:sz w:val="5"/>
                <w:szCs w:val="5"/>
                <w:color w:val="auto"/>
              </w:rPr>
            </w:pPr>
          </w:p>
        </w:tc>
        <w:tc>
          <w:tcPr>
            <w:tcW w:w="720" w:type="dxa"/>
            <w:vAlign w:val="bottom"/>
            <w:tcBorders>
              <w:bottom w:val="single" w:sz="8" w:color="0072AF"/>
            </w:tcBorders>
            <w:shd w:val="clear" w:color="auto" w:fill="CBCEE0"/>
          </w:tcPr>
          <w:p>
            <w:pPr>
              <w:spacing w:after="0"/>
              <w:rPr>
                <w:sz w:val="5"/>
                <w:szCs w:val="5"/>
                <w:color w:val="auto"/>
              </w:rPr>
            </w:pPr>
          </w:p>
        </w:tc>
        <w:tc>
          <w:tcPr>
            <w:tcW w:w="820" w:type="dxa"/>
            <w:vAlign w:val="bottom"/>
            <w:tcBorders>
              <w:bottom w:val="single" w:sz="8" w:color="0072AF"/>
            </w:tcBorders>
            <w:shd w:val="clear" w:color="auto" w:fill="CBCEE0"/>
          </w:tcPr>
          <w:p>
            <w:pPr>
              <w:spacing w:after="0"/>
              <w:rPr>
                <w:sz w:val="5"/>
                <w:szCs w:val="5"/>
                <w:color w:val="auto"/>
              </w:rPr>
            </w:pPr>
          </w:p>
        </w:tc>
        <w:tc>
          <w:tcPr>
            <w:tcW w:w="680" w:type="dxa"/>
            <w:vAlign w:val="bottom"/>
            <w:tcBorders>
              <w:bottom w:val="single" w:sz="8" w:color="0072AF"/>
            </w:tcBorders>
            <w:shd w:val="clear" w:color="auto" w:fill="CBCEE0"/>
          </w:tcPr>
          <w:p>
            <w:pPr>
              <w:spacing w:after="0"/>
              <w:rPr>
                <w:sz w:val="5"/>
                <w:szCs w:val="5"/>
                <w:color w:val="auto"/>
              </w:rPr>
            </w:pPr>
          </w:p>
        </w:tc>
        <w:tc>
          <w:tcPr>
            <w:tcW w:w="800" w:type="dxa"/>
            <w:vAlign w:val="bottom"/>
            <w:tcBorders>
              <w:bottom w:val="single" w:sz="8" w:color="0072AF"/>
            </w:tcBorders>
            <w:shd w:val="clear" w:color="auto" w:fill="CBCEE0"/>
          </w:tcPr>
          <w:p>
            <w:pPr>
              <w:spacing w:after="0"/>
              <w:rPr>
                <w:sz w:val="5"/>
                <w:szCs w:val="5"/>
                <w:color w:val="auto"/>
              </w:rPr>
            </w:pPr>
          </w:p>
        </w:tc>
        <w:tc>
          <w:tcPr>
            <w:tcW w:w="720" w:type="dxa"/>
            <w:vAlign w:val="bottom"/>
            <w:tcBorders>
              <w:bottom w:val="single" w:sz="8" w:color="0072AF"/>
            </w:tcBorders>
            <w:shd w:val="clear" w:color="auto" w:fill="CBCEE0"/>
          </w:tcPr>
          <w:p>
            <w:pPr>
              <w:spacing w:after="0"/>
              <w:rPr>
                <w:sz w:val="5"/>
                <w:szCs w:val="5"/>
                <w:color w:val="auto"/>
              </w:rPr>
            </w:pPr>
          </w:p>
        </w:tc>
        <w:tc>
          <w:tcPr>
            <w:tcW w:w="960" w:type="dxa"/>
            <w:vAlign w:val="bottom"/>
            <w:tcBorders>
              <w:bottom w:val="single" w:sz="8" w:color="0072AF"/>
            </w:tcBorders>
            <w:shd w:val="clear" w:color="auto" w:fill="CBCEE0"/>
          </w:tcPr>
          <w:p>
            <w:pPr>
              <w:spacing w:after="0"/>
              <w:rPr>
                <w:sz w:val="5"/>
                <w:szCs w:val="5"/>
                <w:color w:val="auto"/>
              </w:rPr>
            </w:pPr>
          </w:p>
        </w:tc>
        <w:tc>
          <w:tcPr>
            <w:tcW w:w="940" w:type="dxa"/>
            <w:vAlign w:val="bottom"/>
            <w:tcBorders>
              <w:bottom w:val="single" w:sz="8" w:color="0072AF"/>
            </w:tcBorders>
            <w:shd w:val="clear" w:color="auto" w:fill="CBCEE0"/>
          </w:tcPr>
          <w:p>
            <w:pPr>
              <w:spacing w:after="0"/>
              <w:rPr>
                <w:sz w:val="5"/>
                <w:szCs w:val="5"/>
                <w:color w:val="auto"/>
              </w:rPr>
            </w:pPr>
          </w:p>
        </w:tc>
        <w:tc>
          <w:tcPr>
            <w:tcW w:w="960" w:type="dxa"/>
            <w:vAlign w:val="bottom"/>
            <w:tcBorders>
              <w:bottom w:val="single" w:sz="8" w:color="0072AF"/>
            </w:tcBorders>
            <w:shd w:val="clear" w:color="auto" w:fill="CBCEE0"/>
          </w:tcPr>
          <w:p>
            <w:pPr>
              <w:spacing w:after="0"/>
              <w:rPr>
                <w:sz w:val="5"/>
                <w:szCs w:val="5"/>
                <w:color w:val="auto"/>
              </w:rPr>
            </w:pPr>
          </w:p>
        </w:tc>
        <w:tc>
          <w:tcPr>
            <w:tcW w:w="760" w:type="dxa"/>
            <w:vAlign w:val="bottom"/>
            <w:tcBorders>
              <w:bottom w:val="single" w:sz="8" w:color="0072AF"/>
            </w:tcBorders>
            <w:shd w:val="clear" w:color="auto" w:fill="CBCEE0"/>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1820" w:type="dxa"/>
            <w:vAlign w:val="bottom"/>
            <w:tcBorders>
              <w:right w:val="single" w:sz="8" w:color="0072AF"/>
            </w:tcBorders>
          </w:tcPr>
          <w:p>
            <w:pPr>
              <w:spacing w:after="0"/>
              <w:rPr>
                <w:sz w:val="20"/>
                <w:szCs w:val="20"/>
                <w:color w:val="auto"/>
              </w:rPr>
            </w:pPr>
            <w:r>
              <w:rPr>
                <w:rFonts w:ascii="Arial" w:cs="Arial" w:eastAsia="Arial" w:hAnsi="Arial"/>
                <w:sz w:val="14"/>
                <w:szCs w:val="14"/>
                <w:b w:val="1"/>
                <w:bCs w:val="1"/>
                <w:color w:val="auto"/>
              </w:rPr>
              <w:t>Daniel J. Goldstein</w:t>
            </w:r>
          </w:p>
        </w:tc>
        <w:tc>
          <w:tcPr>
            <w:tcW w:w="720" w:type="dxa"/>
            <w:vAlign w:val="bottom"/>
          </w:tcPr>
          <w:p>
            <w:pPr>
              <w:jc w:val="center"/>
              <w:spacing w:after="0"/>
              <w:rPr>
                <w:sz w:val="20"/>
                <w:szCs w:val="20"/>
                <w:color w:val="auto"/>
              </w:rPr>
            </w:pPr>
            <w:r>
              <w:rPr>
                <w:rFonts w:ascii="Arial" w:cs="Arial" w:eastAsia="Arial" w:hAnsi="Arial"/>
                <w:sz w:val="14"/>
                <w:szCs w:val="14"/>
                <w:color w:val="auto"/>
              </w:rPr>
              <w:t>2023</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605,406</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457,762</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600,817</w:t>
            </w:r>
          </w:p>
        </w:tc>
        <w:tc>
          <w:tcPr>
            <w:tcW w:w="940" w:type="dxa"/>
            <w:vAlign w:val="bottom"/>
          </w:tcPr>
          <w:p>
            <w:pPr>
              <w:jc w:val="center"/>
              <w:spacing w:after="0"/>
              <w:rPr>
                <w:sz w:val="20"/>
                <w:szCs w:val="20"/>
                <w:color w:val="auto"/>
              </w:rPr>
            </w:pPr>
            <w:r>
              <w:rPr>
                <w:rFonts w:ascii="Arial" w:cs="Arial" w:eastAsia="Arial" w:hAnsi="Arial"/>
                <w:sz w:val="14"/>
                <w:szCs w:val="14"/>
                <w:color w:val="auto"/>
              </w:rPr>
              <w:t>21,424</w:t>
            </w:r>
          </w:p>
        </w:tc>
        <w:tc>
          <w:tcPr>
            <w:tcW w:w="960" w:type="dxa"/>
            <w:vAlign w:val="bottom"/>
          </w:tcPr>
          <w:p>
            <w:pPr>
              <w:jc w:val="center"/>
              <w:spacing w:after="0"/>
              <w:rPr>
                <w:sz w:val="20"/>
                <w:szCs w:val="20"/>
                <w:color w:val="auto"/>
              </w:rPr>
            </w:pPr>
            <w:r>
              <w:rPr>
                <w:rFonts w:ascii="Arial" w:cs="Arial" w:eastAsia="Arial" w:hAnsi="Arial"/>
                <w:sz w:val="14"/>
                <w:szCs w:val="14"/>
                <w:color w:val="auto"/>
              </w:rPr>
              <w:t>56,097</w:t>
            </w:r>
          </w:p>
        </w:tc>
        <w:tc>
          <w:tcPr>
            <w:tcW w:w="760" w:type="dxa"/>
            <w:vAlign w:val="bottom"/>
          </w:tcPr>
          <w:p>
            <w:pPr>
              <w:jc w:val="center"/>
              <w:spacing w:after="0"/>
              <w:rPr>
                <w:sz w:val="20"/>
                <w:szCs w:val="20"/>
                <w:color w:val="auto"/>
              </w:rPr>
            </w:pPr>
            <w:r>
              <w:rPr>
                <w:rFonts w:ascii="Arial" w:cs="Arial" w:eastAsia="Arial" w:hAnsi="Arial"/>
                <w:sz w:val="14"/>
                <w:szCs w:val="14"/>
                <w:color w:val="auto"/>
              </w:rPr>
              <w:t>1,741,506</w:t>
            </w:r>
          </w:p>
        </w:tc>
        <w:tc>
          <w:tcPr>
            <w:tcW w:w="0" w:type="dxa"/>
            <w:vAlign w:val="bottom"/>
          </w:tcPr>
          <w:p>
            <w:pPr>
              <w:spacing w:after="0"/>
              <w:rPr>
                <w:sz w:val="1"/>
                <w:szCs w:val="1"/>
                <w:color w:val="auto"/>
              </w:rPr>
            </w:pPr>
          </w:p>
        </w:tc>
      </w:tr>
      <w:tr>
        <w:trPr>
          <w:trHeight w:val="162"/>
        </w:trPr>
        <w:tc>
          <w:tcPr>
            <w:tcW w:w="18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Executive Vice President,</w:t>
            </w: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Chief Legal Officer and</w:t>
            </w:r>
          </w:p>
        </w:tc>
        <w:tc>
          <w:tcPr>
            <w:tcW w:w="720" w:type="dxa"/>
            <w:vAlign w:val="bottom"/>
          </w:tcPr>
          <w:p>
            <w:pPr>
              <w:jc w:val="center"/>
              <w:spacing w:after="0"/>
              <w:rPr>
                <w:sz w:val="20"/>
                <w:szCs w:val="20"/>
                <w:color w:val="auto"/>
              </w:rPr>
            </w:pPr>
            <w:r>
              <w:rPr>
                <w:rFonts w:ascii="Arial" w:cs="Arial" w:eastAsia="Arial" w:hAnsi="Arial"/>
                <w:sz w:val="14"/>
                <w:szCs w:val="14"/>
                <w:color w:val="auto"/>
              </w:rPr>
              <w:t>2022</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587,839</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460,285</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455,244</w:t>
            </w:r>
          </w:p>
        </w:tc>
        <w:tc>
          <w:tcPr>
            <w:tcW w:w="940" w:type="dxa"/>
            <w:vAlign w:val="bottom"/>
          </w:tcPr>
          <w:p>
            <w:pPr>
              <w:jc w:val="right"/>
              <w:ind w:right="211"/>
              <w:spacing w:after="0"/>
              <w:rPr>
                <w:sz w:val="20"/>
                <w:szCs w:val="20"/>
                <w:color w:val="auto"/>
              </w:rPr>
            </w:pPr>
            <w:r>
              <w:rPr>
                <w:rFonts w:ascii="Arial" w:cs="Arial" w:eastAsia="Arial" w:hAnsi="Arial"/>
                <w:sz w:val="14"/>
                <w:szCs w:val="14"/>
                <w:color w:val="auto"/>
              </w:rPr>
              <w:t>0</w:t>
            </w:r>
          </w:p>
        </w:tc>
        <w:tc>
          <w:tcPr>
            <w:tcW w:w="960" w:type="dxa"/>
            <w:vAlign w:val="bottom"/>
          </w:tcPr>
          <w:p>
            <w:pPr>
              <w:jc w:val="center"/>
              <w:spacing w:after="0"/>
              <w:rPr>
                <w:sz w:val="20"/>
                <w:szCs w:val="20"/>
                <w:color w:val="auto"/>
              </w:rPr>
            </w:pPr>
            <w:r>
              <w:rPr>
                <w:rFonts w:ascii="Arial" w:cs="Arial" w:eastAsia="Arial" w:hAnsi="Arial"/>
                <w:sz w:val="14"/>
                <w:szCs w:val="14"/>
                <w:color w:val="auto"/>
              </w:rPr>
              <w:t>53,542</w:t>
            </w:r>
          </w:p>
        </w:tc>
        <w:tc>
          <w:tcPr>
            <w:tcW w:w="760" w:type="dxa"/>
            <w:vAlign w:val="bottom"/>
          </w:tcPr>
          <w:p>
            <w:pPr>
              <w:jc w:val="center"/>
              <w:spacing w:after="0"/>
              <w:rPr>
                <w:sz w:val="20"/>
                <w:szCs w:val="20"/>
                <w:color w:val="auto"/>
              </w:rPr>
            </w:pPr>
            <w:r>
              <w:rPr>
                <w:rFonts w:ascii="Arial" w:cs="Arial" w:eastAsia="Arial" w:hAnsi="Arial"/>
                <w:sz w:val="14"/>
                <w:szCs w:val="14"/>
                <w:color w:val="auto"/>
              </w:rPr>
              <w:t>1,556,910</w:t>
            </w:r>
          </w:p>
        </w:tc>
        <w:tc>
          <w:tcPr>
            <w:tcW w:w="0" w:type="dxa"/>
            <w:vAlign w:val="bottom"/>
          </w:tcPr>
          <w:p>
            <w:pPr>
              <w:spacing w:after="0"/>
              <w:rPr>
                <w:sz w:val="1"/>
                <w:szCs w:val="1"/>
                <w:color w:val="auto"/>
              </w:rPr>
            </w:pPr>
          </w:p>
        </w:tc>
      </w:tr>
      <w:tr>
        <w:trPr>
          <w:trHeight w:val="190"/>
        </w:trPr>
        <w:tc>
          <w:tcPr>
            <w:tcW w:w="18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Corporate Secretary</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2021</w:t>
            </w: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573,783</w:t>
            </w: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9"/>
              <w:spacing w:after="0"/>
              <w:rPr>
                <w:sz w:val="20"/>
                <w:szCs w:val="20"/>
                <w:color w:val="auto"/>
              </w:rPr>
            </w:pPr>
            <w:r>
              <w:rPr>
                <w:rFonts w:ascii="Arial" w:cs="Arial" w:eastAsia="Arial" w:hAnsi="Arial"/>
                <w:sz w:val="14"/>
                <w:szCs w:val="14"/>
                <w:color w:val="auto"/>
              </w:rPr>
              <w:t>200,527</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210,002</w:t>
            </w:r>
          </w:p>
        </w:tc>
        <w:tc>
          <w:tcPr>
            <w:tcW w:w="960" w:type="dxa"/>
            <w:vAlign w:val="bottom"/>
            <w:vMerge w:val="restart"/>
          </w:tcPr>
          <w:p>
            <w:pPr>
              <w:jc w:val="right"/>
              <w:ind w:right="90"/>
              <w:spacing w:after="0"/>
              <w:rPr>
                <w:sz w:val="20"/>
                <w:szCs w:val="20"/>
                <w:color w:val="auto"/>
              </w:rPr>
            </w:pPr>
            <w:r>
              <w:rPr>
                <w:rFonts w:ascii="Arial" w:cs="Arial" w:eastAsia="Arial" w:hAnsi="Arial"/>
                <w:sz w:val="14"/>
                <w:szCs w:val="14"/>
                <w:color w:val="auto"/>
              </w:rPr>
              <w:t>208,126</w:t>
            </w:r>
          </w:p>
        </w:tc>
        <w:tc>
          <w:tcPr>
            <w:tcW w:w="940" w:type="dxa"/>
            <w:vAlign w:val="bottom"/>
            <w:vMerge w:val="restart"/>
          </w:tcPr>
          <w:p>
            <w:pPr>
              <w:jc w:val="right"/>
              <w:ind w:right="211"/>
              <w:spacing w:after="0"/>
              <w:rPr>
                <w:sz w:val="20"/>
                <w:szCs w:val="20"/>
                <w:color w:val="auto"/>
              </w:rPr>
            </w:pPr>
            <w:r>
              <w:rPr>
                <w:rFonts w:ascii="Arial" w:cs="Arial" w:eastAsia="Arial" w:hAnsi="Arial"/>
                <w:sz w:val="14"/>
                <w:szCs w:val="14"/>
                <w:color w:val="auto"/>
              </w:rPr>
              <w:t>0</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rPr>
              <w:t>53,576</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1,246,014</w:t>
            </w:r>
          </w:p>
        </w:tc>
        <w:tc>
          <w:tcPr>
            <w:tcW w:w="0" w:type="dxa"/>
            <w:vAlign w:val="bottom"/>
          </w:tcPr>
          <w:p>
            <w:pPr>
              <w:spacing w:after="0"/>
              <w:rPr>
                <w:sz w:val="1"/>
                <w:szCs w:val="1"/>
                <w:color w:val="auto"/>
              </w:rPr>
            </w:pPr>
          </w:p>
        </w:tc>
      </w:tr>
      <w:tr>
        <w:trPr>
          <w:trHeight w:val="135"/>
        </w:trPr>
        <w:tc>
          <w:tcPr>
            <w:tcW w:w="1820" w:type="dxa"/>
            <w:vAlign w:val="bottom"/>
            <w:tcBorders>
              <w:right w:val="single" w:sz="8" w:color="0072AF"/>
            </w:tcBorders>
          </w:tcPr>
          <w:p>
            <w:pPr>
              <w:spacing w:after="0"/>
              <w:rPr>
                <w:sz w:val="11"/>
                <w:szCs w:val="11"/>
                <w:color w:val="auto"/>
              </w:rPr>
            </w:pPr>
          </w:p>
        </w:tc>
        <w:tc>
          <w:tcPr>
            <w:tcW w:w="7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1820" w:type="dxa"/>
            <w:vAlign w:val="bottom"/>
            <w:tcBorders>
              <w:bottom w:val="single" w:sz="8" w:color="0072AF"/>
              <w:right w:val="single" w:sz="8" w:color="0072AF"/>
            </w:tcBorders>
          </w:tcPr>
          <w:p>
            <w:pPr>
              <w:spacing w:after="0"/>
              <w:rPr>
                <w:sz w:val="5"/>
                <w:szCs w:val="5"/>
                <w:color w:val="auto"/>
              </w:rPr>
            </w:pPr>
          </w:p>
        </w:tc>
        <w:tc>
          <w:tcPr>
            <w:tcW w:w="720" w:type="dxa"/>
            <w:vAlign w:val="bottom"/>
            <w:tcBorders>
              <w:bottom w:val="single" w:sz="8" w:color="0072AF"/>
            </w:tcBorders>
          </w:tcPr>
          <w:p>
            <w:pPr>
              <w:spacing w:after="0"/>
              <w:rPr>
                <w:sz w:val="5"/>
                <w:szCs w:val="5"/>
                <w:color w:val="auto"/>
              </w:rPr>
            </w:pPr>
          </w:p>
        </w:tc>
        <w:tc>
          <w:tcPr>
            <w:tcW w:w="820" w:type="dxa"/>
            <w:vAlign w:val="bottom"/>
            <w:tcBorders>
              <w:bottom w:val="single" w:sz="8" w:color="0072AF"/>
            </w:tcBorders>
          </w:tcPr>
          <w:p>
            <w:pPr>
              <w:spacing w:after="0"/>
              <w:rPr>
                <w:sz w:val="5"/>
                <w:szCs w:val="5"/>
                <w:color w:val="auto"/>
              </w:rPr>
            </w:pPr>
          </w:p>
        </w:tc>
        <w:tc>
          <w:tcPr>
            <w:tcW w:w="680" w:type="dxa"/>
            <w:vAlign w:val="bottom"/>
            <w:tcBorders>
              <w:bottom w:val="single" w:sz="8" w:color="0072AF"/>
            </w:tcBorders>
          </w:tcPr>
          <w:p>
            <w:pPr>
              <w:spacing w:after="0"/>
              <w:rPr>
                <w:sz w:val="5"/>
                <w:szCs w:val="5"/>
                <w:color w:val="auto"/>
              </w:rPr>
            </w:pPr>
          </w:p>
        </w:tc>
        <w:tc>
          <w:tcPr>
            <w:tcW w:w="800" w:type="dxa"/>
            <w:vAlign w:val="bottom"/>
            <w:tcBorders>
              <w:bottom w:val="single" w:sz="8" w:color="0072AF"/>
            </w:tcBorders>
          </w:tcPr>
          <w:p>
            <w:pPr>
              <w:spacing w:after="0"/>
              <w:rPr>
                <w:sz w:val="5"/>
                <w:szCs w:val="5"/>
                <w:color w:val="auto"/>
              </w:rPr>
            </w:pPr>
          </w:p>
        </w:tc>
        <w:tc>
          <w:tcPr>
            <w:tcW w:w="720" w:type="dxa"/>
            <w:vAlign w:val="bottom"/>
            <w:tcBorders>
              <w:bottom w:val="single" w:sz="8" w:color="0072AF"/>
            </w:tcBorders>
          </w:tcPr>
          <w:p>
            <w:pPr>
              <w:spacing w:after="0"/>
              <w:rPr>
                <w:sz w:val="5"/>
                <w:szCs w:val="5"/>
                <w:color w:val="auto"/>
              </w:rPr>
            </w:pPr>
          </w:p>
        </w:tc>
        <w:tc>
          <w:tcPr>
            <w:tcW w:w="960" w:type="dxa"/>
            <w:vAlign w:val="bottom"/>
            <w:tcBorders>
              <w:bottom w:val="single" w:sz="8" w:color="0072AF"/>
            </w:tcBorders>
          </w:tcPr>
          <w:p>
            <w:pPr>
              <w:spacing w:after="0"/>
              <w:rPr>
                <w:sz w:val="5"/>
                <w:szCs w:val="5"/>
                <w:color w:val="auto"/>
              </w:rPr>
            </w:pPr>
          </w:p>
        </w:tc>
        <w:tc>
          <w:tcPr>
            <w:tcW w:w="940" w:type="dxa"/>
            <w:vAlign w:val="bottom"/>
            <w:tcBorders>
              <w:bottom w:val="single" w:sz="8" w:color="0072AF"/>
            </w:tcBorders>
          </w:tcPr>
          <w:p>
            <w:pPr>
              <w:spacing w:after="0"/>
              <w:rPr>
                <w:sz w:val="5"/>
                <w:szCs w:val="5"/>
                <w:color w:val="auto"/>
              </w:rPr>
            </w:pPr>
          </w:p>
        </w:tc>
        <w:tc>
          <w:tcPr>
            <w:tcW w:w="960" w:type="dxa"/>
            <w:vAlign w:val="bottom"/>
            <w:tcBorders>
              <w:bottom w:val="single" w:sz="8" w:color="0072AF"/>
            </w:tcBorders>
          </w:tcPr>
          <w:p>
            <w:pPr>
              <w:spacing w:after="0"/>
              <w:rPr>
                <w:sz w:val="5"/>
                <w:szCs w:val="5"/>
                <w:color w:val="auto"/>
              </w:rPr>
            </w:pPr>
          </w:p>
        </w:tc>
        <w:tc>
          <w:tcPr>
            <w:tcW w:w="760" w:type="dxa"/>
            <w:vAlign w:val="bottom"/>
            <w:tcBorders>
              <w:bottom w:val="single" w:sz="8" w:color="0072AF"/>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1820" w:type="dxa"/>
            <w:vAlign w:val="bottom"/>
            <w:tcBorders>
              <w:right w:val="single" w:sz="8" w:color="0072AF"/>
            </w:tcBorders>
          </w:tcPr>
          <w:p>
            <w:pPr>
              <w:spacing w:after="0"/>
              <w:rPr>
                <w:sz w:val="20"/>
                <w:szCs w:val="20"/>
                <w:color w:val="auto"/>
              </w:rPr>
            </w:pPr>
            <w:r>
              <w:rPr>
                <w:rFonts w:ascii="Arial" w:cs="Arial" w:eastAsia="Arial" w:hAnsi="Arial"/>
                <w:sz w:val="14"/>
                <w:szCs w:val="14"/>
                <w:b w:val="1"/>
                <w:bCs w:val="1"/>
                <w:color w:val="auto"/>
              </w:rPr>
              <w:t>James Fairweather</w:t>
            </w:r>
          </w:p>
        </w:tc>
        <w:tc>
          <w:tcPr>
            <w:tcW w:w="72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2023</w:t>
            </w:r>
          </w:p>
        </w:tc>
        <w:tc>
          <w:tcPr>
            <w:tcW w:w="820" w:type="dxa"/>
            <w:vAlign w:val="bottom"/>
            <w:shd w:val="clear" w:color="auto" w:fill="CBCEE0"/>
          </w:tcPr>
          <w:p>
            <w:pPr>
              <w:jc w:val="right"/>
              <w:ind w:right="29"/>
              <w:spacing w:after="0"/>
              <w:rPr>
                <w:sz w:val="20"/>
                <w:szCs w:val="20"/>
                <w:color w:val="auto"/>
              </w:rPr>
            </w:pPr>
            <w:r>
              <w:rPr>
                <w:rFonts w:ascii="Arial" w:cs="Arial" w:eastAsia="Arial" w:hAnsi="Arial"/>
                <w:sz w:val="14"/>
                <w:szCs w:val="14"/>
                <w:color w:val="auto"/>
              </w:rPr>
              <w:t>585,281</w:t>
            </w:r>
          </w:p>
        </w:tc>
        <w:tc>
          <w:tcPr>
            <w:tcW w:w="680" w:type="dxa"/>
            <w:vAlign w:val="bottom"/>
            <w:shd w:val="clear" w:color="auto" w:fill="CBCEE0"/>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shd w:val="clear" w:color="auto" w:fill="CBCEE0"/>
          </w:tcPr>
          <w:p>
            <w:pPr>
              <w:jc w:val="right"/>
              <w:ind w:right="9"/>
              <w:spacing w:after="0"/>
              <w:rPr>
                <w:sz w:val="20"/>
                <w:szCs w:val="20"/>
                <w:color w:val="auto"/>
              </w:rPr>
            </w:pPr>
            <w:r>
              <w:rPr>
                <w:rFonts w:ascii="Arial" w:cs="Arial" w:eastAsia="Arial" w:hAnsi="Arial"/>
                <w:sz w:val="14"/>
                <w:szCs w:val="14"/>
                <w:color w:val="auto"/>
              </w:rPr>
              <w:t>585,937</w:t>
            </w:r>
          </w:p>
        </w:tc>
        <w:tc>
          <w:tcPr>
            <w:tcW w:w="720" w:type="dxa"/>
            <w:vAlign w:val="bottom"/>
            <w:shd w:val="clear" w:color="auto" w:fill="CBCEE0"/>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BCEE0"/>
          </w:tcPr>
          <w:p>
            <w:pPr>
              <w:jc w:val="right"/>
              <w:ind w:right="90"/>
              <w:spacing w:after="0"/>
              <w:rPr>
                <w:sz w:val="20"/>
                <w:szCs w:val="20"/>
                <w:color w:val="auto"/>
              </w:rPr>
            </w:pPr>
            <w:r>
              <w:rPr>
                <w:rFonts w:ascii="Arial" w:cs="Arial" w:eastAsia="Arial" w:hAnsi="Arial"/>
                <w:sz w:val="14"/>
                <w:szCs w:val="14"/>
                <w:color w:val="auto"/>
              </w:rPr>
              <w:t>366,322</w:t>
            </w:r>
          </w:p>
        </w:tc>
        <w:tc>
          <w:tcPr>
            <w:tcW w:w="940" w:type="dxa"/>
            <w:vAlign w:val="bottom"/>
            <w:shd w:val="clear" w:color="auto" w:fill="CBCEE0"/>
          </w:tcPr>
          <w:p>
            <w:pPr>
              <w:jc w:val="right"/>
              <w:ind w:right="191"/>
              <w:spacing w:after="0"/>
              <w:rPr>
                <w:sz w:val="20"/>
                <w:szCs w:val="20"/>
                <w:color w:val="auto"/>
              </w:rPr>
            </w:pPr>
            <w:r>
              <w:rPr>
                <w:rFonts w:ascii="Arial" w:cs="Arial" w:eastAsia="Arial" w:hAnsi="Arial"/>
                <w:sz w:val="14"/>
                <w:szCs w:val="14"/>
                <w:color w:val="auto"/>
              </w:rPr>
              <w:t>1,899</w:t>
            </w:r>
          </w:p>
        </w:tc>
        <w:tc>
          <w:tcPr>
            <w:tcW w:w="96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63,224</w:t>
            </w:r>
          </w:p>
        </w:tc>
        <w:tc>
          <w:tcPr>
            <w:tcW w:w="76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1,602,663</w:t>
            </w:r>
          </w:p>
        </w:tc>
        <w:tc>
          <w:tcPr>
            <w:tcW w:w="0" w:type="dxa"/>
            <w:vAlign w:val="bottom"/>
          </w:tcPr>
          <w:p>
            <w:pPr>
              <w:spacing w:after="0"/>
              <w:rPr>
                <w:sz w:val="1"/>
                <w:szCs w:val="1"/>
                <w:color w:val="auto"/>
              </w:rPr>
            </w:pPr>
          </w:p>
        </w:tc>
      </w:tr>
      <w:tr>
        <w:trPr>
          <w:trHeight w:val="162"/>
        </w:trPr>
        <w:tc>
          <w:tcPr>
            <w:tcW w:w="18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Executive Vice President</w:t>
            </w:r>
          </w:p>
        </w:tc>
        <w:tc>
          <w:tcPr>
            <w:tcW w:w="720" w:type="dxa"/>
            <w:vAlign w:val="bottom"/>
            <w:shd w:val="clear" w:color="auto" w:fill="CBCEE0"/>
          </w:tcPr>
          <w:p>
            <w:pPr>
              <w:spacing w:after="0"/>
              <w:rPr>
                <w:sz w:val="14"/>
                <w:szCs w:val="14"/>
                <w:color w:val="auto"/>
              </w:rPr>
            </w:pPr>
          </w:p>
        </w:tc>
        <w:tc>
          <w:tcPr>
            <w:tcW w:w="820" w:type="dxa"/>
            <w:vAlign w:val="bottom"/>
            <w:shd w:val="clear" w:color="auto" w:fill="CBCEE0"/>
          </w:tcPr>
          <w:p>
            <w:pPr>
              <w:spacing w:after="0"/>
              <w:rPr>
                <w:sz w:val="14"/>
                <w:szCs w:val="14"/>
                <w:color w:val="auto"/>
              </w:rPr>
            </w:pPr>
          </w:p>
        </w:tc>
        <w:tc>
          <w:tcPr>
            <w:tcW w:w="680" w:type="dxa"/>
            <w:vAlign w:val="bottom"/>
            <w:shd w:val="clear" w:color="auto" w:fill="CBCEE0"/>
          </w:tcPr>
          <w:p>
            <w:pPr>
              <w:spacing w:after="0"/>
              <w:rPr>
                <w:sz w:val="14"/>
                <w:szCs w:val="14"/>
                <w:color w:val="auto"/>
              </w:rPr>
            </w:pPr>
          </w:p>
        </w:tc>
        <w:tc>
          <w:tcPr>
            <w:tcW w:w="800" w:type="dxa"/>
            <w:vAlign w:val="bottom"/>
            <w:shd w:val="clear" w:color="auto" w:fill="CBCEE0"/>
          </w:tcPr>
          <w:p>
            <w:pPr>
              <w:spacing w:after="0"/>
              <w:rPr>
                <w:sz w:val="14"/>
                <w:szCs w:val="14"/>
                <w:color w:val="auto"/>
              </w:rPr>
            </w:pPr>
          </w:p>
        </w:tc>
        <w:tc>
          <w:tcPr>
            <w:tcW w:w="720" w:type="dxa"/>
            <w:vAlign w:val="bottom"/>
            <w:shd w:val="clear" w:color="auto" w:fill="CBCEE0"/>
          </w:tcPr>
          <w:p>
            <w:pPr>
              <w:spacing w:after="0"/>
              <w:rPr>
                <w:sz w:val="14"/>
                <w:szCs w:val="14"/>
                <w:color w:val="auto"/>
              </w:rPr>
            </w:pPr>
          </w:p>
        </w:tc>
        <w:tc>
          <w:tcPr>
            <w:tcW w:w="960" w:type="dxa"/>
            <w:vAlign w:val="bottom"/>
            <w:shd w:val="clear" w:color="auto" w:fill="CBCEE0"/>
          </w:tcPr>
          <w:p>
            <w:pPr>
              <w:spacing w:after="0"/>
              <w:rPr>
                <w:sz w:val="14"/>
                <w:szCs w:val="14"/>
                <w:color w:val="auto"/>
              </w:rPr>
            </w:pPr>
          </w:p>
        </w:tc>
        <w:tc>
          <w:tcPr>
            <w:tcW w:w="940" w:type="dxa"/>
            <w:vAlign w:val="bottom"/>
            <w:shd w:val="clear" w:color="auto" w:fill="CBCEE0"/>
          </w:tcPr>
          <w:p>
            <w:pPr>
              <w:spacing w:after="0"/>
              <w:rPr>
                <w:sz w:val="14"/>
                <w:szCs w:val="14"/>
                <w:color w:val="auto"/>
              </w:rPr>
            </w:pPr>
          </w:p>
        </w:tc>
        <w:tc>
          <w:tcPr>
            <w:tcW w:w="960" w:type="dxa"/>
            <w:vAlign w:val="bottom"/>
            <w:shd w:val="clear" w:color="auto" w:fill="CBCEE0"/>
          </w:tcPr>
          <w:p>
            <w:pPr>
              <w:spacing w:after="0"/>
              <w:rPr>
                <w:sz w:val="14"/>
                <w:szCs w:val="14"/>
                <w:color w:val="auto"/>
              </w:rPr>
            </w:pPr>
          </w:p>
        </w:tc>
        <w:tc>
          <w:tcPr>
            <w:tcW w:w="760" w:type="dxa"/>
            <w:vAlign w:val="bottom"/>
            <w:shd w:val="clear" w:color="auto" w:fill="CBCEE0"/>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and Chief Innovation Officer</w:t>
            </w:r>
          </w:p>
        </w:tc>
        <w:tc>
          <w:tcPr>
            <w:tcW w:w="72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2022</w:t>
            </w:r>
          </w:p>
        </w:tc>
        <w:tc>
          <w:tcPr>
            <w:tcW w:w="820" w:type="dxa"/>
            <w:vAlign w:val="bottom"/>
            <w:shd w:val="clear" w:color="auto" w:fill="CBCEE0"/>
          </w:tcPr>
          <w:p>
            <w:pPr>
              <w:jc w:val="right"/>
              <w:ind w:right="29"/>
              <w:spacing w:after="0"/>
              <w:rPr>
                <w:sz w:val="20"/>
                <w:szCs w:val="20"/>
                <w:color w:val="auto"/>
              </w:rPr>
            </w:pPr>
            <w:r>
              <w:rPr>
                <w:rFonts w:ascii="Arial" w:cs="Arial" w:eastAsia="Arial" w:hAnsi="Arial"/>
                <w:sz w:val="14"/>
                <w:szCs w:val="14"/>
                <w:color w:val="auto"/>
              </w:rPr>
              <w:t>562,922</w:t>
            </w:r>
          </w:p>
        </w:tc>
        <w:tc>
          <w:tcPr>
            <w:tcW w:w="680" w:type="dxa"/>
            <w:vAlign w:val="bottom"/>
            <w:shd w:val="clear" w:color="auto" w:fill="CBCEE0"/>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shd w:val="clear" w:color="auto" w:fill="CBCEE0"/>
          </w:tcPr>
          <w:p>
            <w:pPr>
              <w:jc w:val="right"/>
              <w:ind w:right="9"/>
              <w:spacing w:after="0"/>
              <w:rPr>
                <w:sz w:val="20"/>
                <w:szCs w:val="20"/>
                <w:color w:val="auto"/>
              </w:rPr>
            </w:pPr>
            <w:r>
              <w:rPr>
                <w:rFonts w:ascii="Arial" w:cs="Arial" w:eastAsia="Arial" w:hAnsi="Arial"/>
                <w:sz w:val="14"/>
                <w:szCs w:val="14"/>
                <w:color w:val="auto"/>
              </w:rPr>
              <w:t>478,695</w:t>
            </w:r>
          </w:p>
        </w:tc>
        <w:tc>
          <w:tcPr>
            <w:tcW w:w="720" w:type="dxa"/>
            <w:vAlign w:val="bottom"/>
            <w:shd w:val="clear" w:color="auto" w:fill="CBCEE0"/>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BCEE0"/>
          </w:tcPr>
          <w:p>
            <w:pPr>
              <w:jc w:val="right"/>
              <w:ind w:right="90"/>
              <w:spacing w:after="0"/>
              <w:rPr>
                <w:sz w:val="20"/>
                <w:szCs w:val="20"/>
                <w:color w:val="auto"/>
              </w:rPr>
            </w:pPr>
            <w:r>
              <w:rPr>
                <w:rFonts w:ascii="Arial" w:cs="Arial" w:eastAsia="Arial" w:hAnsi="Arial"/>
                <w:sz w:val="14"/>
                <w:szCs w:val="14"/>
                <w:color w:val="auto"/>
              </w:rPr>
              <w:t>315,285</w:t>
            </w:r>
          </w:p>
        </w:tc>
        <w:tc>
          <w:tcPr>
            <w:tcW w:w="940" w:type="dxa"/>
            <w:vAlign w:val="bottom"/>
            <w:shd w:val="clear" w:color="auto" w:fill="CBCEE0"/>
          </w:tcPr>
          <w:p>
            <w:pPr>
              <w:jc w:val="right"/>
              <w:ind w:right="211"/>
              <w:spacing w:after="0"/>
              <w:rPr>
                <w:sz w:val="20"/>
                <w:szCs w:val="20"/>
                <w:color w:val="auto"/>
              </w:rPr>
            </w:pPr>
            <w:r>
              <w:rPr>
                <w:rFonts w:ascii="Arial" w:cs="Arial" w:eastAsia="Arial" w:hAnsi="Arial"/>
                <w:sz w:val="14"/>
                <w:szCs w:val="14"/>
                <w:color w:val="auto"/>
              </w:rPr>
              <w:t>0</w:t>
            </w:r>
          </w:p>
        </w:tc>
        <w:tc>
          <w:tcPr>
            <w:tcW w:w="96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61,908</w:t>
            </w:r>
          </w:p>
        </w:tc>
        <w:tc>
          <w:tcPr>
            <w:tcW w:w="76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1,418,810</w:t>
            </w:r>
          </w:p>
        </w:tc>
        <w:tc>
          <w:tcPr>
            <w:tcW w:w="0" w:type="dxa"/>
            <w:vAlign w:val="bottom"/>
          </w:tcPr>
          <w:p>
            <w:pPr>
              <w:spacing w:after="0"/>
              <w:rPr>
                <w:sz w:val="1"/>
                <w:szCs w:val="1"/>
                <w:color w:val="auto"/>
              </w:rPr>
            </w:pPr>
          </w:p>
        </w:tc>
      </w:tr>
      <w:tr>
        <w:trPr>
          <w:trHeight w:val="297"/>
        </w:trPr>
        <w:tc>
          <w:tcPr>
            <w:tcW w:w="1820" w:type="dxa"/>
            <w:vAlign w:val="bottom"/>
            <w:tcBorders>
              <w:right w:val="single" w:sz="8" w:color="0072AF"/>
            </w:tcBorders>
          </w:tcPr>
          <w:p>
            <w:pPr>
              <w:spacing w:after="0"/>
              <w:rPr>
                <w:sz w:val="24"/>
                <w:szCs w:val="24"/>
                <w:color w:val="auto"/>
              </w:rPr>
            </w:pPr>
          </w:p>
        </w:tc>
        <w:tc>
          <w:tcPr>
            <w:tcW w:w="72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2021</w:t>
            </w:r>
          </w:p>
        </w:tc>
        <w:tc>
          <w:tcPr>
            <w:tcW w:w="820" w:type="dxa"/>
            <w:vAlign w:val="bottom"/>
            <w:shd w:val="clear" w:color="auto" w:fill="CBCEE0"/>
          </w:tcPr>
          <w:p>
            <w:pPr>
              <w:jc w:val="right"/>
              <w:ind w:right="29"/>
              <w:spacing w:after="0"/>
              <w:rPr>
                <w:sz w:val="20"/>
                <w:szCs w:val="20"/>
                <w:color w:val="auto"/>
              </w:rPr>
            </w:pPr>
            <w:r>
              <w:rPr>
                <w:rFonts w:ascii="Arial" w:cs="Arial" w:eastAsia="Arial" w:hAnsi="Arial"/>
                <w:sz w:val="14"/>
                <w:szCs w:val="14"/>
                <w:color w:val="auto"/>
              </w:rPr>
              <w:t>520,592</w:t>
            </w:r>
          </w:p>
        </w:tc>
        <w:tc>
          <w:tcPr>
            <w:tcW w:w="680" w:type="dxa"/>
            <w:vAlign w:val="bottom"/>
            <w:shd w:val="clear" w:color="auto" w:fill="CBCEE0"/>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shd w:val="clear" w:color="auto" w:fill="CBCEE0"/>
          </w:tcPr>
          <w:p>
            <w:pPr>
              <w:jc w:val="right"/>
              <w:ind w:right="9"/>
              <w:spacing w:after="0"/>
              <w:rPr>
                <w:sz w:val="20"/>
                <w:szCs w:val="20"/>
                <w:color w:val="auto"/>
              </w:rPr>
            </w:pPr>
            <w:r>
              <w:rPr>
                <w:rFonts w:ascii="Arial" w:cs="Arial" w:eastAsia="Arial" w:hAnsi="Arial"/>
                <w:sz w:val="14"/>
                <w:szCs w:val="14"/>
                <w:color w:val="auto"/>
              </w:rPr>
              <w:t>768,695</w:t>
            </w:r>
          </w:p>
        </w:tc>
        <w:tc>
          <w:tcPr>
            <w:tcW w:w="720" w:type="dxa"/>
            <w:vAlign w:val="bottom"/>
            <w:shd w:val="clear" w:color="auto" w:fill="CBCEE0"/>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BCEE0"/>
          </w:tcPr>
          <w:p>
            <w:pPr>
              <w:jc w:val="right"/>
              <w:ind w:right="90"/>
              <w:spacing w:after="0"/>
              <w:rPr>
                <w:sz w:val="20"/>
                <w:szCs w:val="20"/>
                <w:color w:val="auto"/>
              </w:rPr>
            </w:pPr>
            <w:r>
              <w:rPr>
                <w:rFonts w:ascii="Arial" w:cs="Arial" w:eastAsia="Arial" w:hAnsi="Arial"/>
                <w:sz w:val="14"/>
                <w:szCs w:val="14"/>
                <w:color w:val="auto"/>
              </w:rPr>
              <w:t>248,233</w:t>
            </w:r>
          </w:p>
        </w:tc>
        <w:tc>
          <w:tcPr>
            <w:tcW w:w="940" w:type="dxa"/>
            <w:vAlign w:val="bottom"/>
            <w:shd w:val="clear" w:color="auto" w:fill="CBCEE0"/>
          </w:tcPr>
          <w:p>
            <w:pPr>
              <w:jc w:val="right"/>
              <w:ind w:right="211"/>
              <w:spacing w:after="0"/>
              <w:rPr>
                <w:sz w:val="20"/>
                <w:szCs w:val="20"/>
                <w:color w:val="auto"/>
              </w:rPr>
            </w:pPr>
            <w:r>
              <w:rPr>
                <w:rFonts w:ascii="Arial" w:cs="Arial" w:eastAsia="Arial" w:hAnsi="Arial"/>
                <w:sz w:val="14"/>
                <w:szCs w:val="14"/>
                <w:color w:val="auto"/>
              </w:rPr>
              <w:t>0</w:t>
            </w:r>
          </w:p>
        </w:tc>
        <w:tc>
          <w:tcPr>
            <w:tcW w:w="96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58,387</w:t>
            </w:r>
          </w:p>
        </w:tc>
        <w:tc>
          <w:tcPr>
            <w:tcW w:w="76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1,595,907</w:t>
            </w:r>
          </w:p>
        </w:tc>
        <w:tc>
          <w:tcPr>
            <w:tcW w:w="0" w:type="dxa"/>
            <w:vAlign w:val="bottom"/>
          </w:tcPr>
          <w:p>
            <w:pPr>
              <w:spacing w:after="0"/>
              <w:rPr>
                <w:sz w:val="1"/>
                <w:szCs w:val="1"/>
                <w:color w:val="auto"/>
              </w:rPr>
            </w:pPr>
          </w:p>
        </w:tc>
      </w:tr>
      <w:tr>
        <w:trPr>
          <w:trHeight w:val="62"/>
        </w:trPr>
        <w:tc>
          <w:tcPr>
            <w:tcW w:w="1820" w:type="dxa"/>
            <w:vAlign w:val="bottom"/>
            <w:tcBorders>
              <w:bottom w:val="single" w:sz="8" w:color="0072AF"/>
              <w:right w:val="single" w:sz="8" w:color="0072AF"/>
            </w:tcBorders>
          </w:tcPr>
          <w:p>
            <w:pPr>
              <w:spacing w:after="0"/>
              <w:rPr>
                <w:sz w:val="5"/>
                <w:szCs w:val="5"/>
                <w:color w:val="auto"/>
              </w:rPr>
            </w:pPr>
          </w:p>
        </w:tc>
        <w:tc>
          <w:tcPr>
            <w:tcW w:w="720" w:type="dxa"/>
            <w:vAlign w:val="bottom"/>
            <w:tcBorders>
              <w:bottom w:val="single" w:sz="8" w:color="0072AF"/>
            </w:tcBorders>
            <w:shd w:val="clear" w:color="auto" w:fill="CBCEE0"/>
          </w:tcPr>
          <w:p>
            <w:pPr>
              <w:spacing w:after="0"/>
              <w:rPr>
                <w:sz w:val="5"/>
                <w:szCs w:val="5"/>
                <w:color w:val="auto"/>
              </w:rPr>
            </w:pPr>
          </w:p>
        </w:tc>
        <w:tc>
          <w:tcPr>
            <w:tcW w:w="820" w:type="dxa"/>
            <w:vAlign w:val="bottom"/>
            <w:tcBorders>
              <w:bottom w:val="single" w:sz="8" w:color="0072AF"/>
            </w:tcBorders>
            <w:shd w:val="clear" w:color="auto" w:fill="CBCEE0"/>
          </w:tcPr>
          <w:p>
            <w:pPr>
              <w:spacing w:after="0"/>
              <w:rPr>
                <w:sz w:val="5"/>
                <w:szCs w:val="5"/>
                <w:color w:val="auto"/>
              </w:rPr>
            </w:pPr>
          </w:p>
        </w:tc>
        <w:tc>
          <w:tcPr>
            <w:tcW w:w="680" w:type="dxa"/>
            <w:vAlign w:val="bottom"/>
            <w:tcBorders>
              <w:bottom w:val="single" w:sz="8" w:color="0072AF"/>
            </w:tcBorders>
            <w:shd w:val="clear" w:color="auto" w:fill="CBCEE0"/>
          </w:tcPr>
          <w:p>
            <w:pPr>
              <w:spacing w:after="0"/>
              <w:rPr>
                <w:sz w:val="5"/>
                <w:szCs w:val="5"/>
                <w:color w:val="auto"/>
              </w:rPr>
            </w:pPr>
          </w:p>
        </w:tc>
        <w:tc>
          <w:tcPr>
            <w:tcW w:w="800" w:type="dxa"/>
            <w:vAlign w:val="bottom"/>
            <w:tcBorders>
              <w:bottom w:val="single" w:sz="8" w:color="0072AF"/>
            </w:tcBorders>
            <w:shd w:val="clear" w:color="auto" w:fill="CBCEE0"/>
          </w:tcPr>
          <w:p>
            <w:pPr>
              <w:spacing w:after="0"/>
              <w:rPr>
                <w:sz w:val="5"/>
                <w:szCs w:val="5"/>
                <w:color w:val="auto"/>
              </w:rPr>
            </w:pPr>
          </w:p>
        </w:tc>
        <w:tc>
          <w:tcPr>
            <w:tcW w:w="720" w:type="dxa"/>
            <w:vAlign w:val="bottom"/>
            <w:tcBorders>
              <w:bottom w:val="single" w:sz="8" w:color="0072AF"/>
            </w:tcBorders>
            <w:shd w:val="clear" w:color="auto" w:fill="CBCEE0"/>
          </w:tcPr>
          <w:p>
            <w:pPr>
              <w:spacing w:after="0"/>
              <w:rPr>
                <w:sz w:val="5"/>
                <w:szCs w:val="5"/>
                <w:color w:val="auto"/>
              </w:rPr>
            </w:pPr>
          </w:p>
        </w:tc>
        <w:tc>
          <w:tcPr>
            <w:tcW w:w="960" w:type="dxa"/>
            <w:vAlign w:val="bottom"/>
            <w:tcBorders>
              <w:bottom w:val="single" w:sz="8" w:color="0072AF"/>
            </w:tcBorders>
            <w:shd w:val="clear" w:color="auto" w:fill="CBCEE0"/>
          </w:tcPr>
          <w:p>
            <w:pPr>
              <w:spacing w:after="0"/>
              <w:rPr>
                <w:sz w:val="5"/>
                <w:szCs w:val="5"/>
                <w:color w:val="auto"/>
              </w:rPr>
            </w:pPr>
          </w:p>
        </w:tc>
        <w:tc>
          <w:tcPr>
            <w:tcW w:w="940" w:type="dxa"/>
            <w:vAlign w:val="bottom"/>
            <w:tcBorders>
              <w:bottom w:val="single" w:sz="8" w:color="0072AF"/>
            </w:tcBorders>
            <w:shd w:val="clear" w:color="auto" w:fill="CBCEE0"/>
          </w:tcPr>
          <w:p>
            <w:pPr>
              <w:spacing w:after="0"/>
              <w:rPr>
                <w:sz w:val="5"/>
                <w:szCs w:val="5"/>
                <w:color w:val="auto"/>
              </w:rPr>
            </w:pPr>
          </w:p>
        </w:tc>
        <w:tc>
          <w:tcPr>
            <w:tcW w:w="960" w:type="dxa"/>
            <w:vAlign w:val="bottom"/>
            <w:tcBorders>
              <w:bottom w:val="single" w:sz="8" w:color="0072AF"/>
            </w:tcBorders>
            <w:shd w:val="clear" w:color="auto" w:fill="CBCEE0"/>
          </w:tcPr>
          <w:p>
            <w:pPr>
              <w:spacing w:after="0"/>
              <w:rPr>
                <w:sz w:val="5"/>
                <w:szCs w:val="5"/>
                <w:color w:val="auto"/>
              </w:rPr>
            </w:pPr>
          </w:p>
        </w:tc>
        <w:tc>
          <w:tcPr>
            <w:tcW w:w="760" w:type="dxa"/>
            <w:vAlign w:val="bottom"/>
            <w:tcBorders>
              <w:bottom w:val="single" w:sz="8" w:color="0072AF"/>
            </w:tcBorders>
            <w:shd w:val="clear" w:color="auto" w:fill="CBCEE0"/>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1820" w:type="dxa"/>
            <w:vAlign w:val="bottom"/>
            <w:tcBorders>
              <w:right w:val="single" w:sz="8" w:color="0072AF"/>
            </w:tcBorders>
          </w:tcPr>
          <w:p>
            <w:pPr>
              <w:spacing w:after="0"/>
              <w:rPr>
                <w:sz w:val="20"/>
                <w:szCs w:val="20"/>
                <w:color w:val="auto"/>
              </w:rPr>
            </w:pPr>
            <w:r>
              <w:rPr>
                <w:rFonts w:ascii="Arial" w:cs="Arial" w:eastAsia="Arial" w:hAnsi="Arial"/>
                <w:sz w:val="14"/>
                <w:szCs w:val="14"/>
                <w:b w:val="1"/>
                <w:bCs w:val="1"/>
                <w:color w:val="auto"/>
              </w:rPr>
              <w:t>Marc B. Lautenbach</w:t>
            </w:r>
          </w:p>
        </w:tc>
        <w:tc>
          <w:tcPr>
            <w:tcW w:w="720" w:type="dxa"/>
            <w:vAlign w:val="bottom"/>
          </w:tcPr>
          <w:p>
            <w:pPr>
              <w:jc w:val="center"/>
              <w:spacing w:after="0"/>
              <w:rPr>
                <w:sz w:val="20"/>
                <w:szCs w:val="20"/>
                <w:color w:val="auto"/>
              </w:rPr>
            </w:pPr>
            <w:r>
              <w:rPr>
                <w:rFonts w:ascii="Arial" w:cs="Arial" w:eastAsia="Arial" w:hAnsi="Arial"/>
                <w:sz w:val="14"/>
                <w:szCs w:val="14"/>
                <w:color w:val="auto"/>
              </w:rPr>
              <w:t>2023</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750,000</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2,581,782</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3,157,688</w:t>
            </w:r>
          </w:p>
        </w:tc>
        <w:tc>
          <w:tcPr>
            <w:tcW w:w="94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rPr>
              <w:t>776,768</w:t>
            </w:r>
          </w:p>
        </w:tc>
        <w:tc>
          <w:tcPr>
            <w:tcW w:w="760" w:type="dxa"/>
            <w:vAlign w:val="bottom"/>
          </w:tcPr>
          <w:p>
            <w:pPr>
              <w:jc w:val="center"/>
              <w:spacing w:after="0"/>
              <w:rPr>
                <w:sz w:val="20"/>
                <w:szCs w:val="20"/>
                <w:color w:val="auto"/>
              </w:rPr>
            </w:pPr>
            <w:r>
              <w:rPr>
                <w:rFonts w:ascii="Arial" w:cs="Arial" w:eastAsia="Arial" w:hAnsi="Arial"/>
                <w:sz w:val="14"/>
                <w:szCs w:val="14"/>
                <w:color w:val="auto"/>
              </w:rPr>
              <w:t>7,266,238</w:t>
            </w:r>
          </w:p>
        </w:tc>
        <w:tc>
          <w:tcPr>
            <w:tcW w:w="0" w:type="dxa"/>
            <w:vAlign w:val="bottom"/>
          </w:tcPr>
          <w:p>
            <w:pPr>
              <w:spacing w:after="0"/>
              <w:rPr>
                <w:sz w:val="1"/>
                <w:szCs w:val="1"/>
                <w:color w:val="auto"/>
              </w:rPr>
            </w:pPr>
          </w:p>
        </w:tc>
      </w:tr>
      <w:tr>
        <w:trPr>
          <w:trHeight w:val="162"/>
        </w:trPr>
        <w:tc>
          <w:tcPr>
            <w:tcW w:w="18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Former President and</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2022</w:t>
            </w: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1,000,000</w:t>
            </w: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2,596,008</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90"/>
              <w:spacing w:after="0"/>
              <w:rPr>
                <w:sz w:val="20"/>
                <w:szCs w:val="20"/>
                <w:color w:val="auto"/>
              </w:rPr>
            </w:pPr>
            <w:r>
              <w:rPr>
                <w:rFonts w:ascii="Arial" w:cs="Arial" w:eastAsia="Arial" w:hAnsi="Arial"/>
                <w:sz w:val="14"/>
                <w:szCs w:val="14"/>
                <w:color w:val="auto"/>
              </w:rPr>
              <w:t>3,274,800</w:t>
            </w:r>
          </w:p>
        </w:tc>
        <w:tc>
          <w:tcPr>
            <w:tcW w:w="940" w:type="dxa"/>
            <w:vAlign w:val="bottom"/>
            <w:vMerge w:val="restart"/>
          </w:tcPr>
          <w:p>
            <w:pPr>
              <w:jc w:val="right"/>
              <w:ind w:right="211"/>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rPr>
              <w:t>153,152</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7,023,960</w:t>
            </w:r>
          </w:p>
        </w:tc>
        <w:tc>
          <w:tcPr>
            <w:tcW w:w="0" w:type="dxa"/>
            <w:vAlign w:val="bottom"/>
          </w:tcPr>
          <w:p>
            <w:pPr>
              <w:spacing w:after="0"/>
              <w:rPr>
                <w:sz w:val="1"/>
                <w:szCs w:val="1"/>
                <w:color w:val="auto"/>
              </w:rPr>
            </w:pPr>
          </w:p>
        </w:tc>
      </w:tr>
      <w:tr>
        <w:trPr>
          <w:trHeight w:val="190"/>
        </w:trPr>
        <w:tc>
          <w:tcPr>
            <w:tcW w:w="18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Chief Executive Officer</w:t>
            </w:r>
          </w:p>
        </w:tc>
        <w:tc>
          <w:tcPr>
            <w:tcW w:w="7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820" w:type="dxa"/>
            <w:vAlign w:val="bottom"/>
            <w:tcBorders>
              <w:right w:val="single" w:sz="8" w:color="0072AF"/>
            </w:tcBorders>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2021</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1,003,846</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1,346,417</w:t>
            </w:r>
          </w:p>
        </w:tc>
        <w:tc>
          <w:tcPr>
            <w:tcW w:w="720" w:type="dxa"/>
            <w:vAlign w:val="bottom"/>
          </w:tcPr>
          <w:p>
            <w:pPr>
              <w:jc w:val="right"/>
              <w:spacing w:after="0"/>
              <w:rPr>
                <w:sz w:val="20"/>
                <w:szCs w:val="20"/>
                <w:color w:val="auto"/>
              </w:rPr>
            </w:pPr>
            <w:r>
              <w:rPr>
                <w:rFonts w:ascii="Arial" w:cs="Arial" w:eastAsia="Arial" w:hAnsi="Arial"/>
                <w:sz w:val="14"/>
                <w:szCs w:val="14"/>
                <w:color w:val="auto"/>
              </w:rPr>
              <w:t>1,409,999</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998,250</w:t>
            </w:r>
          </w:p>
        </w:tc>
        <w:tc>
          <w:tcPr>
            <w:tcW w:w="94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rPr>
              <w:t>155,427</w:t>
            </w:r>
          </w:p>
        </w:tc>
        <w:tc>
          <w:tcPr>
            <w:tcW w:w="760" w:type="dxa"/>
            <w:vAlign w:val="bottom"/>
          </w:tcPr>
          <w:p>
            <w:pPr>
              <w:jc w:val="center"/>
              <w:spacing w:after="0"/>
              <w:rPr>
                <w:sz w:val="20"/>
                <w:szCs w:val="20"/>
                <w:color w:val="auto"/>
              </w:rPr>
            </w:pPr>
            <w:r>
              <w:rPr>
                <w:rFonts w:ascii="Arial" w:cs="Arial" w:eastAsia="Arial" w:hAnsi="Arial"/>
                <w:sz w:val="14"/>
                <w:szCs w:val="14"/>
                <w:color w:val="auto"/>
              </w:rPr>
              <w:t>4,913,938</w:t>
            </w:r>
          </w:p>
        </w:tc>
        <w:tc>
          <w:tcPr>
            <w:tcW w:w="0" w:type="dxa"/>
            <w:vAlign w:val="bottom"/>
          </w:tcPr>
          <w:p>
            <w:pPr>
              <w:spacing w:after="0"/>
              <w:rPr>
                <w:sz w:val="1"/>
                <w:szCs w:val="1"/>
                <w:color w:val="auto"/>
              </w:rPr>
            </w:pPr>
          </w:p>
        </w:tc>
      </w:tr>
      <w:tr>
        <w:trPr>
          <w:trHeight w:val="89"/>
        </w:trPr>
        <w:tc>
          <w:tcPr>
            <w:tcW w:w="1820" w:type="dxa"/>
            <w:vAlign w:val="bottom"/>
            <w:tcBorders>
              <w:bottom w:val="single" w:sz="8" w:color="0072AF"/>
              <w:right w:val="single" w:sz="8" w:color="0072AF"/>
            </w:tcBorders>
          </w:tcPr>
          <w:p>
            <w:pPr>
              <w:spacing w:after="0"/>
              <w:rPr>
                <w:sz w:val="7"/>
                <w:szCs w:val="7"/>
                <w:color w:val="auto"/>
              </w:rPr>
            </w:pPr>
          </w:p>
        </w:tc>
        <w:tc>
          <w:tcPr>
            <w:tcW w:w="720" w:type="dxa"/>
            <w:vAlign w:val="bottom"/>
            <w:tcBorders>
              <w:bottom w:val="single" w:sz="8" w:color="0072AF"/>
            </w:tcBorders>
          </w:tcPr>
          <w:p>
            <w:pPr>
              <w:spacing w:after="0"/>
              <w:rPr>
                <w:sz w:val="7"/>
                <w:szCs w:val="7"/>
                <w:color w:val="auto"/>
              </w:rPr>
            </w:pPr>
          </w:p>
        </w:tc>
        <w:tc>
          <w:tcPr>
            <w:tcW w:w="820" w:type="dxa"/>
            <w:vAlign w:val="bottom"/>
            <w:tcBorders>
              <w:bottom w:val="single" w:sz="8" w:color="0072AF"/>
            </w:tcBorders>
          </w:tcPr>
          <w:p>
            <w:pPr>
              <w:spacing w:after="0"/>
              <w:rPr>
                <w:sz w:val="7"/>
                <w:szCs w:val="7"/>
                <w:color w:val="auto"/>
              </w:rPr>
            </w:pPr>
          </w:p>
        </w:tc>
        <w:tc>
          <w:tcPr>
            <w:tcW w:w="680" w:type="dxa"/>
            <w:vAlign w:val="bottom"/>
            <w:tcBorders>
              <w:bottom w:val="single" w:sz="8" w:color="0072AF"/>
            </w:tcBorders>
          </w:tcPr>
          <w:p>
            <w:pPr>
              <w:spacing w:after="0"/>
              <w:rPr>
                <w:sz w:val="7"/>
                <w:szCs w:val="7"/>
                <w:color w:val="auto"/>
              </w:rPr>
            </w:pPr>
          </w:p>
        </w:tc>
        <w:tc>
          <w:tcPr>
            <w:tcW w:w="800" w:type="dxa"/>
            <w:vAlign w:val="bottom"/>
            <w:tcBorders>
              <w:bottom w:val="single" w:sz="8" w:color="0072AF"/>
            </w:tcBorders>
          </w:tcPr>
          <w:p>
            <w:pPr>
              <w:spacing w:after="0"/>
              <w:rPr>
                <w:sz w:val="7"/>
                <w:szCs w:val="7"/>
                <w:color w:val="auto"/>
              </w:rPr>
            </w:pPr>
          </w:p>
        </w:tc>
        <w:tc>
          <w:tcPr>
            <w:tcW w:w="720" w:type="dxa"/>
            <w:vAlign w:val="bottom"/>
            <w:tcBorders>
              <w:bottom w:val="single" w:sz="8" w:color="0072AF"/>
            </w:tcBorders>
          </w:tcPr>
          <w:p>
            <w:pPr>
              <w:spacing w:after="0"/>
              <w:rPr>
                <w:sz w:val="7"/>
                <w:szCs w:val="7"/>
                <w:color w:val="auto"/>
              </w:rPr>
            </w:pPr>
          </w:p>
        </w:tc>
        <w:tc>
          <w:tcPr>
            <w:tcW w:w="960" w:type="dxa"/>
            <w:vAlign w:val="bottom"/>
            <w:tcBorders>
              <w:bottom w:val="single" w:sz="8" w:color="0072AF"/>
            </w:tcBorders>
          </w:tcPr>
          <w:p>
            <w:pPr>
              <w:spacing w:after="0"/>
              <w:rPr>
                <w:sz w:val="7"/>
                <w:szCs w:val="7"/>
                <w:color w:val="auto"/>
              </w:rPr>
            </w:pPr>
          </w:p>
        </w:tc>
        <w:tc>
          <w:tcPr>
            <w:tcW w:w="940" w:type="dxa"/>
            <w:vAlign w:val="bottom"/>
            <w:tcBorders>
              <w:bottom w:val="single" w:sz="8" w:color="0072AF"/>
            </w:tcBorders>
          </w:tcPr>
          <w:p>
            <w:pPr>
              <w:spacing w:after="0"/>
              <w:rPr>
                <w:sz w:val="7"/>
                <w:szCs w:val="7"/>
                <w:color w:val="auto"/>
              </w:rPr>
            </w:pPr>
          </w:p>
        </w:tc>
        <w:tc>
          <w:tcPr>
            <w:tcW w:w="960" w:type="dxa"/>
            <w:vAlign w:val="bottom"/>
            <w:tcBorders>
              <w:bottom w:val="single" w:sz="8" w:color="0072AF"/>
            </w:tcBorders>
          </w:tcPr>
          <w:p>
            <w:pPr>
              <w:spacing w:after="0"/>
              <w:rPr>
                <w:sz w:val="7"/>
                <w:szCs w:val="7"/>
                <w:color w:val="auto"/>
              </w:rPr>
            </w:pPr>
          </w:p>
        </w:tc>
        <w:tc>
          <w:tcPr>
            <w:tcW w:w="760" w:type="dxa"/>
            <w:vAlign w:val="bottom"/>
            <w:tcBorders>
              <w:bottom w:val="single" w:sz="8" w:color="0072A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6" w:right="20" w:hanging="346"/>
        <w:spacing w:after="0" w:line="204" w:lineRule="auto"/>
        <w:tabs>
          <w:tab w:leader="none" w:pos="346" w:val="left"/>
        </w:tabs>
        <w:numPr>
          <w:ilvl w:val="0"/>
          <w:numId w:val="46"/>
        </w:numPr>
        <w:rPr>
          <w:rFonts w:ascii="Arial" w:cs="Arial" w:eastAsia="Arial" w:hAnsi="Arial"/>
          <w:sz w:val="22"/>
          <w:szCs w:val="22"/>
          <w:color w:val="auto"/>
          <w:vertAlign w:val="superscript"/>
        </w:rPr>
      </w:pPr>
      <w:r>
        <w:rPr>
          <w:rFonts w:ascii="Arial" w:cs="Arial" w:eastAsia="Arial" w:hAnsi="Arial"/>
          <w:sz w:val="14"/>
          <w:szCs w:val="14"/>
          <w:color w:val="auto"/>
        </w:rPr>
        <w:t>Prior to his appointment as Interim Chief Executive Officer in October 2023, Mr. Dies was employed as the Executive Vice President and Group Executive.</w:t>
      </w:r>
    </w:p>
    <w:p>
      <w:pPr>
        <w:spacing w:after="0" w:line="26" w:lineRule="exact"/>
        <w:rPr>
          <w:rFonts w:ascii="Arial" w:cs="Arial" w:eastAsia="Arial" w:hAnsi="Arial"/>
          <w:sz w:val="22"/>
          <w:szCs w:val="22"/>
          <w:color w:val="auto"/>
          <w:vertAlign w:val="superscript"/>
        </w:rPr>
      </w:pPr>
    </w:p>
    <w:p>
      <w:pPr>
        <w:jc w:val="both"/>
        <w:ind w:left="346" w:hanging="346"/>
        <w:spacing w:after="0" w:line="231" w:lineRule="auto"/>
        <w:tabs>
          <w:tab w:leader="none" w:pos="346" w:val="left"/>
        </w:tabs>
        <w:numPr>
          <w:ilvl w:val="0"/>
          <w:numId w:val="46"/>
        </w:numPr>
        <w:rPr>
          <w:rFonts w:ascii="Arial" w:cs="Arial" w:eastAsia="Arial" w:hAnsi="Arial"/>
          <w:sz w:val="22"/>
          <w:szCs w:val="22"/>
          <w:color w:val="auto"/>
          <w:vertAlign w:val="superscript"/>
        </w:rPr>
      </w:pPr>
      <w:r>
        <w:rPr>
          <w:rFonts w:ascii="Arial" w:cs="Arial" w:eastAsia="Arial" w:hAnsi="Arial"/>
          <w:sz w:val="14"/>
          <w:szCs w:val="14"/>
          <w:color w:val="auto"/>
        </w:rPr>
        <w:t xml:space="preserve">This column includes the value of stock awards granted to NEOs during 2023, 2022, and 2021 based upon its grant date fair value, as determined under SEC guidance and assuming achievement of the applicable performance conditions on the grant date with respect to performance-based RSU awards. Performance-based RSUs were the only stock awards granted to the NEOs in 2023. Because the performance-based RSUs only have one pay-out level, there is no grant date fair value below or in excess of the amount reflected in the table above for the NEOs that could be calculated and disclosed based on achievement of the underlying performance condition. Details regarding the grants of performance-based RSUs can be found in the “Grants of Plan-Based Awards In 2023” table on page </w:t>
      </w:r>
      <w:r>
        <w:rPr>
          <w:rFonts w:ascii="Arial" w:cs="Arial" w:eastAsia="Arial" w:hAnsi="Arial"/>
          <w:sz w:val="14"/>
          <w:szCs w:val="14"/>
          <w:u w:val="single" w:color="auto"/>
          <w:color w:val="0000EE"/>
        </w:rPr>
        <w:t>77</w:t>
      </w:r>
      <w:r>
        <w:rPr>
          <w:rFonts w:ascii="Arial" w:cs="Arial" w:eastAsia="Arial" w:hAnsi="Arial"/>
          <w:sz w:val="14"/>
          <w:szCs w:val="14"/>
          <w:color w:val="auto"/>
        </w:rPr>
        <w:t xml:space="preserve"> of this Proxy Statement, and details regarding outstanding stock awards can be found in the “Outstanding Equity Awards at 2023 Fiscal Year-End” table on page </w:t>
      </w:r>
      <w:r>
        <w:rPr>
          <w:rFonts w:ascii="Arial" w:cs="Arial" w:eastAsia="Arial" w:hAnsi="Arial"/>
          <w:sz w:val="14"/>
          <w:szCs w:val="14"/>
          <w:u w:val="single" w:color="auto"/>
          <w:color w:val="0000EE"/>
        </w:rPr>
        <w:t>78</w:t>
      </w:r>
      <w:r>
        <w:rPr>
          <w:rFonts w:ascii="Arial" w:cs="Arial" w:eastAsia="Arial" w:hAnsi="Arial"/>
          <w:sz w:val="14"/>
          <w:szCs w:val="14"/>
          <w:color w:val="auto"/>
        </w:rPr>
        <w:t xml:space="preserve"> of this Proxy Statement. For additional information on performance-based and time-based Restricted Stock Units, please see “Compensation Discussion and Analysis” (CD&amp;A) starting on page </w:t>
      </w:r>
      <w:r>
        <w:rPr>
          <w:rFonts w:ascii="Arial" w:cs="Arial" w:eastAsia="Arial" w:hAnsi="Arial"/>
          <w:sz w:val="14"/>
          <w:szCs w:val="14"/>
          <w:u w:val="single" w:color="auto"/>
          <w:color w:val="0000EE"/>
        </w:rPr>
        <w:t>53</w:t>
      </w:r>
      <w:r>
        <w:rPr>
          <w:rFonts w:ascii="Arial" w:cs="Arial" w:eastAsia="Arial" w:hAnsi="Arial"/>
          <w:sz w:val="14"/>
          <w:szCs w:val="14"/>
          <w:color w:val="auto"/>
        </w:rPr>
        <w:t xml:space="preserve"> of this Proxy Statement.</w:t>
      </w:r>
    </w:p>
    <w:p>
      <w:pPr>
        <w:spacing w:after="0" w:line="29" w:lineRule="exact"/>
        <w:rPr>
          <w:sz w:val="20"/>
          <w:szCs w:val="20"/>
          <w:color w:val="auto"/>
        </w:rPr>
      </w:pPr>
    </w:p>
    <w:p>
      <w:pPr>
        <w:ind w:left="346" w:right="20" w:hanging="346"/>
        <w:spacing w:after="0" w:line="281" w:lineRule="auto"/>
        <w:tabs>
          <w:tab w:leader="none" w:pos="346" w:val="left"/>
        </w:tabs>
        <w:numPr>
          <w:ilvl w:val="0"/>
          <w:numId w:val="47"/>
        </w:numPr>
        <w:rPr>
          <w:rFonts w:ascii="Arial" w:cs="Arial" w:eastAsia="Arial" w:hAnsi="Arial"/>
          <w:sz w:val="14"/>
          <w:szCs w:val="14"/>
          <w:color w:val="auto"/>
        </w:rPr>
      </w:pPr>
      <w:r>
        <w:rPr>
          <w:rFonts w:ascii="Arial" w:cs="Arial" w:eastAsia="Arial" w:hAnsi="Arial"/>
          <w:sz w:val="14"/>
          <w:szCs w:val="14"/>
          <w:color w:val="auto"/>
        </w:rPr>
        <w:t>For Mr. Lautenbach, 2023 includes the grant date fair value of 643,836 performance-based RSUs granted in early 2023 that were subsequently forfeited at the time of his involuntary termination.</w:t>
      </w:r>
    </w:p>
    <w:p>
      <w:pPr>
        <w:spacing w:after="0" w:line="1" w:lineRule="exact"/>
        <w:rPr>
          <w:rFonts w:ascii="Arial" w:cs="Arial" w:eastAsia="Arial" w:hAnsi="Arial"/>
          <w:sz w:val="14"/>
          <w:szCs w:val="14"/>
          <w:color w:val="auto"/>
        </w:rPr>
      </w:pPr>
    </w:p>
    <w:p>
      <w:pPr>
        <w:ind w:left="346" w:right="20" w:hanging="346"/>
        <w:spacing w:after="0" w:line="285" w:lineRule="auto"/>
        <w:tabs>
          <w:tab w:leader="none" w:pos="346" w:val="left"/>
        </w:tabs>
        <w:numPr>
          <w:ilvl w:val="0"/>
          <w:numId w:val="47"/>
        </w:numPr>
        <w:rPr>
          <w:rFonts w:ascii="Arial" w:cs="Arial" w:eastAsia="Arial" w:hAnsi="Arial"/>
          <w:sz w:val="14"/>
          <w:szCs w:val="14"/>
          <w:color w:val="auto"/>
        </w:rPr>
      </w:pPr>
      <w:r>
        <w:rPr>
          <w:rFonts w:ascii="Arial" w:cs="Arial" w:eastAsia="Arial" w:hAnsi="Arial"/>
          <w:sz w:val="14"/>
          <w:szCs w:val="14"/>
          <w:color w:val="auto"/>
        </w:rPr>
        <w:t>Additionally, the Company did not attain the 2022 threshold objective for adjusted income from continuing operations resulting in the forfeiture of the performance-based Restricted Stock Units granted in 2022.</w:t>
      </w:r>
    </w:p>
    <w:p>
      <w:pPr>
        <w:spacing w:after="0" w:line="148"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128905</wp:posOffset>
            </wp:positionV>
            <wp:extent cx="699516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76" w:name="page77"/>
    <w:bookmarkEnd w:id="76"/>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EXECUTIVE COMPENSATION TABLES AND RELATED NARRATIVE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33" w:lineRule="exact"/>
        <w:rPr>
          <w:sz w:val="20"/>
          <w:szCs w:val="20"/>
          <w:color w:val="auto"/>
        </w:rPr>
      </w:pPr>
    </w:p>
    <w:p>
      <w:pPr>
        <w:jc w:val="both"/>
        <w:ind w:left="346" w:hanging="346"/>
        <w:spacing w:after="0" w:line="220" w:lineRule="auto"/>
        <w:tabs>
          <w:tab w:leader="none" w:pos="346"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This column includes the grant date fair value of stock options awarded to NEOs as computed in accordance with FASB ASC Topic 718. For accounting purposes, we use the Black-Scholes option pricing model to calculate the grant date fair value of stock options. Stock options were not granted to the NEOs in 2022 or 2023. Details regarding outstanding stock awards can be found in the “Outstanding Equity Awards at 2023 Fiscal Year-End” table.</w:t>
      </w:r>
    </w:p>
    <w:p>
      <w:pPr>
        <w:spacing w:after="0" w:line="27" w:lineRule="exact"/>
        <w:rPr>
          <w:rFonts w:ascii="Arial" w:cs="Arial" w:eastAsia="Arial" w:hAnsi="Arial"/>
          <w:sz w:val="22"/>
          <w:szCs w:val="22"/>
          <w:color w:val="auto"/>
          <w:vertAlign w:val="superscript"/>
        </w:rPr>
      </w:pPr>
    </w:p>
    <w:p>
      <w:pPr>
        <w:jc w:val="both"/>
        <w:ind w:left="346" w:hanging="346"/>
        <w:spacing w:after="0" w:line="220" w:lineRule="auto"/>
        <w:tabs>
          <w:tab w:leader="none" w:pos="346"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This column includes annual incentive compensation earned in the applicable year by the NEO. The 2023 awards for NEOs other than Mr. Lautenbach were based on the actual achievement of financial objectives and continued employment through December 31, 2023. The 2023 award for Mr. Lautenbach (as defined in the KEIP) was prorated based on his last day of employment and this prorated amount was based on actual achievement of financial objectives.</w:t>
      </w:r>
    </w:p>
    <w:p>
      <w:pPr>
        <w:spacing w:after="0" w:line="27" w:lineRule="exact"/>
        <w:rPr>
          <w:sz w:val="20"/>
          <w:szCs w:val="20"/>
          <w:color w:val="auto"/>
        </w:rPr>
      </w:pPr>
    </w:p>
    <w:p>
      <w:pPr>
        <w:ind w:left="346" w:hanging="346"/>
        <w:spacing w:after="0" w:line="281" w:lineRule="auto"/>
        <w:tabs>
          <w:tab w:leader="none" w:pos="346"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column also includes CIU pay-outs earned over the three-year performance cycle ending in each year for applicable NEOs. CIU pay-outs are subject to the maximum that may be awarded to a single participant in any one calendar year.</w:t>
      </w:r>
    </w:p>
    <w:p>
      <w:pPr>
        <w:spacing w:after="0" w:line="1" w:lineRule="exact"/>
        <w:rPr>
          <w:rFonts w:ascii="Arial" w:cs="Arial" w:eastAsia="Arial" w:hAnsi="Arial"/>
          <w:sz w:val="14"/>
          <w:szCs w:val="14"/>
          <w:color w:val="auto"/>
        </w:rPr>
      </w:pPr>
    </w:p>
    <w:p>
      <w:pPr>
        <w:jc w:val="both"/>
        <w:ind w:left="346" w:hanging="346"/>
        <w:spacing w:after="0" w:line="243" w:lineRule="auto"/>
        <w:tabs>
          <w:tab w:leader="none" w:pos="346"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2023 annual incentive and 2021-2023 CIU award pay-out amounts in this column are: annual incentive of $302,400 and CIU of $483,600 for Mr. Dies; annual incentive of $210,822 and CIU of $465,000 for Ms. Chadwick; annual incentive of $295,834 and CIU of $465,000 for Mr. Zegras; annual incentive of $210,217 and CIU of $390,600 for Mr. Goldstein; annual incentive of $152,422 and CIU of $213,900 for Mr. Fairweather; annual incentive of $535,088 and CIU of $2,622,600 for Mr. Lautenbach.</w:t>
      </w:r>
    </w:p>
    <w:p>
      <w:pPr>
        <w:spacing w:after="0" w:line="50" w:lineRule="exact"/>
        <w:rPr>
          <w:sz w:val="20"/>
          <w:szCs w:val="20"/>
          <w:color w:val="auto"/>
        </w:rPr>
      </w:pPr>
    </w:p>
    <w:p>
      <w:pPr>
        <w:jc w:val="both"/>
        <w:ind w:left="346" w:hanging="346"/>
        <w:spacing w:after="0" w:line="220" w:lineRule="auto"/>
        <w:tabs>
          <w:tab w:leader="none" w:pos="346" w:val="left"/>
        </w:tabs>
        <w:numPr>
          <w:ilvl w:val="0"/>
          <w:numId w:val="50"/>
        </w:numPr>
        <w:rPr>
          <w:rFonts w:ascii="Arial" w:cs="Arial" w:eastAsia="Arial" w:hAnsi="Arial"/>
          <w:sz w:val="22"/>
          <w:szCs w:val="22"/>
          <w:color w:val="auto"/>
          <w:vertAlign w:val="superscript"/>
        </w:rPr>
      </w:pPr>
      <w:r>
        <w:rPr>
          <w:rFonts w:ascii="Arial" w:cs="Arial" w:eastAsia="Arial" w:hAnsi="Arial"/>
          <w:sz w:val="14"/>
          <w:szCs w:val="14"/>
          <w:color w:val="auto"/>
        </w:rPr>
        <w:t>This column shows the change in the actuarial present value of the accumulated pension benefit for the participating NEOs in the applicable year. Mr. Goldstein and Mr. Fairweather are the only pension eligible NEOs and are fully vested in their pension benefit. Both the qualified Pension Plan and nonqualified Pension Restoration Plan were frozen to all participants on December 31, 2014. For purposes of computing the amounts in the table above, negative values were reflected at $0 for 2021 and 2022.</w:t>
      </w:r>
    </w:p>
    <w:p>
      <w:pPr>
        <w:spacing w:after="0" w:line="27" w:lineRule="exact"/>
        <w:rPr>
          <w:rFonts w:ascii="Arial" w:cs="Arial" w:eastAsia="Arial" w:hAnsi="Arial"/>
          <w:sz w:val="22"/>
          <w:szCs w:val="22"/>
          <w:color w:val="auto"/>
          <w:vertAlign w:val="superscript"/>
        </w:rPr>
      </w:pPr>
    </w:p>
    <w:p>
      <w:pPr>
        <w:jc w:val="both"/>
        <w:ind w:left="346" w:right="20" w:hanging="346"/>
        <w:spacing w:after="0" w:line="214" w:lineRule="auto"/>
        <w:tabs>
          <w:tab w:leader="none" w:pos="346" w:val="left"/>
        </w:tabs>
        <w:numPr>
          <w:ilvl w:val="0"/>
          <w:numId w:val="50"/>
        </w:numPr>
        <w:rPr>
          <w:rFonts w:ascii="Arial" w:cs="Arial" w:eastAsia="Arial" w:hAnsi="Arial"/>
          <w:sz w:val="22"/>
          <w:szCs w:val="22"/>
          <w:color w:val="auto"/>
          <w:vertAlign w:val="superscript"/>
        </w:rPr>
      </w:pPr>
      <w:r>
        <w:rPr>
          <w:rFonts w:ascii="Arial" w:cs="Arial" w:eastAsia="Arial" w:hAnsi="Arial"/>
          <w:sz w:val="14"/>
          <w:szCs w:val="14"/>
          <w:color w:val="auto"/>
        </w:rPr>
        <w:t>Amounts shown for 2023 include all other compensation received by the NEOs that is not reported elsewhere. Our executives are eligible to receive an executive physical with reimbursement up to $2,400. Due to healthcare privacy reasons, we’ve assigned the same value to each of the NEOs regardless of whether the NEO used the benefit.</w:t>
      </w:r>
    </w:p>
    <w:p>
      <w:pPr>
        <w:spacing w:after="0" w:line="27" w:lineRule="exact"/>
        <w:rPr>
          <w:rFonts w:ascii="Arial" w:cs="Arial" w:eastAsia="Arial" w:hAnsi="Arial"/>
          <w:sz w:val="22"/>
          <w:szCs w:val="22"/>
          <w:color w:val="auto"/>
          <w:vertAlign w:val="superscript"/>
        </w:rPr>
      </w:pPr>
    </w:p>
    <w:p>
      <w:pPr>
        <w:jc w:val="both"/>
        <w:ind w:left="706" w:right="20" w:hanging="346"/>
        <w:spacing w:after="0" w:line="256" w:lineRule="auto"/>
        <w:tabs>
          <w:tab w:leader="none" w:pos="706" w:val="left"/>
        </w:tabs>
        <w:numPr>
          <w:ilvl w:val="1"/>
          <w:numId w:val="50"/>
        </w:numPr>
        <w:rPr>
          <w:rFonts w:ascii="Arial" w:cs="Arial" w:eastAsia="Arial" w:hAnsi="Arial"/>
          <w:sz w:val="14"/>
          <w:szCs w:val="14"/>
          <w:color w:val="auto"/>
        </w:rPr>
      </w:pPr>
      <w:r>
        <w:rPr>
          <w:rFonts w:ascii="Arial" w:cs="Arial" w:eastAsia="Arial" w:hAnsi="Arial"/>
          <w:sz w:val="14"/>
          <w:szCs w:val="14"/>
          <w:color w:val="auto"/>
        </w:rPr>
        <w:t>For Mr. Dies, this includes a Company match of $13,200 and 2% core contribution of $6,600 to the Pitney Bowes 401(k) Plan; Company match of $37,985 and 2% core contribution of $18,993 to the Pitney Bowes 401(k) Restoration Plan earned in 2023; financial counseling in the amount of $14,795; the Company’s actual cost of spousal travel, $6,834; and group basic life insurance premiums for coverage provided by the Company.</w:t>
      </w:r>
    </w:p>
    <w:p>
      <w:pPr>
        <w:spacing w:after="0" w:line="15" w:lineRule="exact"/>
        <w:rPr>
          <w:rFonts w:ascii="Arial" w:cs="Arial" w:eastAsia="Arial" w:hAnsi="Arial"/>
          <w:sz w:val="14"/>
          <w:szCs w:val="14"/>
          <w:color w:val="auto"/>
        </w:rPr>
      </w:pPr>
    </w:p>
    <w:p>
      <w:pPr>
        <w:jc w:val="both"/>
        <w:ind w:left="706" w:right="20" w:hanging="346"/>
        <w:spacing w:after="0" w:line="263" w:lineRule="auto"/>
        <w:tabs>
          <w:tab w:leader="none" w:pos="706" w:val="left"/>
        </w:tabs>
        <w:numPr>
          <w:ilvl w:val="1"/>
          <w:numId w:val="50"/>
        </w:numPr>
        <w:rPr>
          <w:rFonts w:ascii="Arial" w:cs="Arial" w:eastAsia="Arial" w:hAnsi="Arial"/>
          <w:sz w:val="14"/>
          <w:szCs w:val="14"/>
          <w:color w:val="auto"/>
        </w:rPr>
      </w:pPr>
      <w:r>
        <w:rPr>
          <w:rFonts w:ascii="Arial" w:cs="Arial" w:eastAsia="Arial" w:hAnsi="Arial"/>
          <w:sz w:val="14"/>
          <w:szCs w:val="14"/>
          <w:color w:val="auto"/>
        </w:rPr>
        <w:t>For Ms. Chadwick, this includes a Company match of $13,200 and 2% core contribution of $6,600 to the Pitney Bowes 401(k) Plan; Company match of $20,004 and 2% core contribution of $10,002 to the Pitney Bowes 401(k) Restoration Plan earned in 2023; financial counseling in the amount of $14,795; and group basic life insurance premiums for coverage provided by the Company.</w:t>
      </w:r>
    </w:p>
    <w:p>
      <w:pPr>
        <w:spacing w:after="0" w:line="10" w:lineRule="exact"/>
        <w:rPr>
          <w:rFonts w:ascii="Arial" w:cs="Arial" w:eastAsia="Arial" w:hAnsi="Arial"/>
          <w:sz w:val="14"/>
          <w:szCs w:val="14"/>
          <w:color w:val="auto"/>
        </w:rPr>
      </w:pPr>
    </w:p>
    <w:p>
      <w:pPr>
        <w:jc w:val="both"/>
        <w:ind w:left="706" w:right="20" w:hanging="346"/>
        <w:spacing w:after="0" w:line="263" w:lineRule="auto"/>
        <w:tabs>
          <w:tab w:leader="none" w:pos="706" w:val="left"/>
        </w:tabs>
        <w:numPr>
          <w:ilvl w:val="1"/>
          <w:numId w:val="50"/>
        </w:numPr>
        <w:rPr>
          <w:rFonts w:ascii="Arial" w:cs="Arial" w:eastAsia="Arial" w:hAnsi="Arial"/>
          <w:sz w:val="14"/>
          <w:szCs w:val="14"/>
          <w:color w:val="auto"/>
        </w:rPr>
      </w:pPr>
      <w:r>
        <w:rPr>
          <w:rFonts w:ascii="Arial" w:cs="Arial" w:eastAsia="Arial" w:hAnsi="Arial"/>
          <w:sz w:val="14"/>
          <w:szCs w:val="14"/>
          <w:color w:val="auto"/>
        </w:rPr>
        <w:t>For Mr. Zegras, this includes a Company match of $13,200 and 2% core contribution of $6,600 to the Pitney Bowes 401(k) Plan; Company match of $26,558 and 2% core contribution of $13,279 to the Pitney Bowes 401(k) Restoration Plan earned in 2023; financial counseling in the amount of $14,795; and group basic life insurance premiums for coverage provided by the Company.</w:t>
      </w:r>
    </w:p>
    <w:p>
      <w:pPr>
        <w:spacing w:after="0" w:line="10" w:lineRule="exact"/>
        <w:rPr>
          <w:rFonts w:ascii="Arial" w:cs="Arial" w:eastAsia="Arial" w:hAnsi="Arial"/>
          <w:sz w:val="14"/>
          <w:szCs w:val="14"/>
          <w:color w:val="auto"/>
        </w:rPr>
      </w:pPr>
    </w:p>
    <w:p>
      <w:pPr>
        <w:jc w:val="both"/>
        <w:ind w:left="706" w:right="20" w:hanging="346"/>
        <w:spacing w:after="0" w:line="263" w:lineRule="auto"/>
        <w:tabs>
          <w:tab w:leader="none" w:pos="706" w:val="left"/>
        </w:tabs>
        <w:numPr>
          <w:ilvl w:val="1"/>
          <w:numId w:val="50"/>
        </w:numPr>
        <w:rPr>
          <w:rFonts w:ascii="Arial" w:cs="Arial" w:eastAsia="Arial" w:hAnsi="Arial"/>
          <w:sz w:val="14"/>
          <w:szCs w:val="14"/>
          <w:color w:val="auto"/>
        </w:rPr>
      </w:pPr>
      <w:r>
        <w:rPr>
          <w:rFonts w:ascii="Arial" w:cs="Arial" w:eastAsia="Arial" w:hAnsi="Arial"/>
          <w:sz w:val="14"/>
          <w:szCs w:val="14"/>
          <w:color w:val="auto"/>
        </w:rPr>
        <w:t>For Mr. Goldstein, this includes a Company match of $13,200 and 2% core contribution of $6,600 to the Pitney Bowes 401(k) Plan; Company match of $16,800 and 2% core contribution of $8,839 to the Pitney Bowes 401(k) Restoration Plan earned in 2023; financial counseling in the amount of $7,500; and group basic life insurance premiums for coverage provided by the Company.</w:t>
      </w:r>
    </w:p>
    <w:p>
      <w:pPr>
        <w:spacing w:after="0" w:line="10" w:lineRule="exact"/>
        <w:rPr>
          <w:rFonts w:ascii="Arial" w:cs="Arial" w:eastAsia="Arial" w:hAnsi="Arial"/>
          <w:sz w:val="14"/>
          <w:szCs w:val="14"/>
          <w:color w:val="auto"/>
        </w:rPr>
      </w:pPr>
    </w:p>
    <w:p>
      <w:pPr>
        <w:jc w:val="both"/>
        <w:ind w:left="706" w:right="20" w:hanging="346"/>
        <w:spacing w:after="0" w:line="256" w:lineRule="auto"/>
        <w:tabs>
          <w:tab w:leader="none" w:pos="706" w:val="left"/>
        </w:tabs>
        <w:numPr>
          <w:ilvl w:val="1"/>
          <w:numId w:val="50"/>
        </w:numPr>
        <w:rPr>
          <w:rFonts w:ascii="Arial" w:cs="Arial" w:eastAsia="Arial" w:hAnsi="Arial"/>
          <w:sz w:val="14"/>
          <w:szCs w:val="14"/>
          <w:color w:val="auto"/>
        </w:rPr>
      </w:pPr>
      <w:r>
        <w:rPr>
          <w:rFonts w:ascii="Arial" w:cs="Arial" w:eastAsia="Arial" w:hAnsi="Arial"/>
          <w:sz w:val="14"/>
          <w:szCs w:val="14"/>
          <w:color w:val="auto"/>
        </w:rPr>
        <w:t>For Mr. Fairweather, this includes a Company match of $13,200 and 2% core contribution of $6,600 to the Pitney Bowes 401(k) Plan; Company match of $16,652 and 2% core contribution of $8,326 to the Pitney Bowes 401(k) Restoration Plan earned in 2023; financial counseling in the amount of $14,795; the Company’s actual cost of spousal travel, $517; and group basic life insurance premiums for coverage provided by the Company.</w:t>
      </w:r>
    </w:p>
    <w:p>
      <w:pPr>
        <w:spacing w:after="0" w:line="15" w:lineRule="exact"/>
        <w:rPr>
          <w:rFonts w:ascii="Arial" w:cs="Arial" w:eastAsia="Arial" w:hAnsi="Arial"/>
          <w:sz w:val="14"/>
          <w:szCs w:val="14"/>
          <w:color w:val="auto"/>
        </w:rPr>
      </w:pPr>
    </w:p>
    <w:p>
      <w:pPr>
        <w:jc w:val="both"/>
        <w:ind w:left="706" w:right="20" w:hanging="346"/>
        <w:spacing w:after="0" w:line="252" w:lineRule="auto"/>
        <w:tabs>
          <w:tab w:leader="none" w:pos="706" w:val="left"/>
        </w:tabs>
        <w:numPr>
          <w:ilvl w:val="1"/>
          <w:numId w:val="50"/>
        </w:numPr>
        <w:rPr>
          <w:rFonts w:ascii="Arial" w:cs="Arial" w:eastAsia="Arial" w:hAnsi="Arial"/>
          <w:sz w:val="14"/>
          <w:szCs w:val="14"/>
          <w:color w:val="auto"/>
        </w:rPr>
      </w:pPr>
      <w:r>
        <w:rPr>
          <w:rFonts w:ascii="Arial" w:cs="Arial" w:eastAsia="Arial" w:hAnsi="Arial"/>
          <w:sz w:val="14"/>
          <w:szCs w:val="14"/>
          <w:color w:val="auto"/>
        </w:rPr>
        <w:t>For Mr. Lautenbach, this includes a Severance pay of $662,500; Company match of $13,200 and 2% core contribution of $6,600 to the Pitney Bowes 401(k) Plan; Company match of $48,038 and 2% core contribution of $24,019 to the Pitney Bowes 401(k) Restoration Plan earned in 2023; financial counseling in the amount of $14,795; the Company’s actual cost of spousal travel, $3,969; and group basic life insurance premiums for coverage provided by the Company.</w:t>
      </w:r>
    </w:p>
    <w:p>
      <w:pPr>
        <w:spacing w:after="0" w:line="25" w:lineRule="exact"/>
        <w:rPr>
          <w:rFonts w:ascii="Arial" w:cs="Arial" w:eastAsia="Arial" w:hAnsi="Arial"/>
          <w:sz w:val="14"/>
          <w:szCs w:val="14"/>
          <w:color w:val="auto"/>
        </w:rPr>
      </w:pPr>
    </w:p>
    <w:p>
      <w:pPr>
        <w:jc w:val="both"/>
        <w:ind w:left="346" w:hanging="346"/>
        <w:spacing w:after="0" w:line="228" w:lineRule="auto"/>
        <w:tabs>
          <w:tab w:leader="none" w:pos="346" w:val="left"/>
        </w:tabs>
        <w:numPr>
          <w:ilvl w:val="0"/>
          <w:numId w:val="50"/>
        </w:numPr>
        <w:rPr>
          <w:rFonts w:ascii="Arial" w:cs="Arial" w:eastAsia="Arial" w:hAnsi="Arial"/>
          <w:sz w:val="22"/>
          <w:szCs w:val="22"/>
          <w:color w:val="auto"/>
          <w:vertAlign w:val="superscript"/>
        </w:rPr>
      </w:pPr>
      <w:r>
        <w:rPr>
          <w:rFonts w:ascii="Arial" w:cs="Arial" w:eastAsia="Arial" w:hAnsi="Arial"/>
          <w:sz w:val="14"/>
          <w:szCs w:val="14"/>
          <w:color w:val="auto"/>
        </w:rPr>
        <w:t>When the 2020 long term compensation awards were issued, we replaced PSUs with cash settled CIUs. Under SEC disclosure rules, stock awards are required to be included in the Summary Compensation Table in the year granted, while CIU awards are included at the end of the performance period when actually earned. This means Stock Awards and Total Compensation appear significantly higher for 2023 and 2022 when compared to 2021 because CIU awards are not included in the Summary Compensation Table until actually earned, and 2022 represented the first year that CIU pay-outs were included in the Summary Compensation Table for NEOs other than Mr. Zegras and Mr. Fairweather, who had a CIU pay-out in 2021. This difference results from different disclosure rules on timing for different kinds of awards, and not on their value, and should normalize over time.</w:t>
      </w:r>
    </w:p>
    <w:p>
      <w:pPr>
        <w:spacing w:after="0" w:line="182"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128905</wp:posOffset>
            </wp:positionV>
            <wp:extent cx="699516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77" w:name="page78"/>
    <w:bookmarkEnd w:id="77"/>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EXECUTIVE COMPENSATION TABLES AND RELATED NARRATIVE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8" w:lineRule="exact"/>
        <w:rPr>
          <w:sz w:val="20"/>
          <w:szCs w:val="20"/>
          <w:color w:val="auto"/>
        </w:rPr>
      </w:pPr>
    </w:p>
    <w:p>
      <w:pPr>
        <w:jc w:val="center"/>
        <w:ind w:right="74"/>
        <w:spacing w:after="0"/>
        <w:rPr>
          <w:sz w:val="20"/>
          <w:szCs w:val="20"/>
          <w:color w:val="auto"/>
        </w:rPr>
      </w:pPr>
      <w:r>
        <w:rPr>
          <w:rFonts w:ascii="Arial" w:cs="Arial" w:eastAsia="Arial" w:hAnsi="Arial"/>
          <w:sz w:val="29"/>
          <w:szCs w:val="29"/>
          <w:b w:val="1"/>
          <w:bCs w:val="1"/>
          <w:color w:val="0072AF"/>
        </w:rPr>
        <w:t>GRANTS OF PLAN-BASED AWARDS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58293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14" w:lineRule="exact"/>
        <w:rPr>
          <w:sz w:val="20"/>
          <w:szCs w:val="20"/>
          <w:color w:val="auto"/>
        </w:rPr>
      </w:pPr>
    </w:p>
    <w:tbl>
      <w:tblPr>
        <w:tblLayout w:type="fixed"/>
        <w:tblInd w:w="6" w:type="dxa"/>
        <w:tblCellMar>
          <w:top w:w="0" w:type="dxa"/>
          <w:left w:w="0" w:type="dxa"/>
          <w:bottom w:w="0" w:type="dxa"/>
          <w:right w:w="0" w:type="dxa"/>
        </w:tblCellMar>
      </w:tblPr>
      <w:tr>
        <w:trPr>
          <w:trHeight w:val="239"/>
        </w:trPr>
        <w:tc>
          <w:tcPr>
            <w:tcW w:w="1900" w:type="dxa"/>
            <w:vAlign w:val="bottom"/>
            <w:tcBorders>
              <w:top w:val="single" w:sz="8" w:color="0072AF"/>
            </w:tcBorders>
          </w:tcPr>
          <w:p>
            <w:pPr>
              <w:spacing w:after="0"/>
              <w:rPr>
                <w:sz w:val="20"/>
                <w:szCs w:val="20"/>
                <w:color w:val="auto"/>
              </w:rPr>
            </w:pPr>
          </w:p>
        </w:tc>
        <w:tc>
          <w:tcPr>
            <w:tcW w:w="840" w:type="dxa"/>
            <w:vAlign w:val="bottom"/>
            <w:tcBorders>
              <w:top w:val="single" w:sz="8" w:color="0072AF"/>
              <w:right w:val="single" w:sz="8" w:color="0072AF"/>
            </w:tcBorders>
          </w:tcPr>
          <w:p>
            <w:pPr>
              <w:spacing w:after="0"/>
              <w:rPr>
                <w:sz w:val="20"/>
                <w:szCs w:val="20"/>
                <w:color w:val="auto"/>
              </w:rPr>
            </w:pPr>
          </w:p>
        </w:tc>
        <w:tc>
          <w:tcPr>
            <w:tcW w:w="620" w:type="dxa"/>
            <w:vAlign w:val="bottom"/>
            <w:tcBorders>
              <w:top w:val="single" w:sz="8" w:color="0072AF"/>
            </w:tcBorders>
          </w:tcPr>
          <w:p>
            <w:pPr>
              <w:spacing w:after="0"/>
              <w:rPr>
                <w:sz w:val="20"/>
                <w:szCs w:val="20"/>
                <w:color w:val="auto"/>
              </w:rPr>
            </w:pPr>
          </w:p>
        </w:tc>
        <w:tc>
          <w:tcPr>
            <w:tcW w:w="60" w:type="dxa"/>
            <w:vAlign w:val="bottom"/>
            <w:tcBorders>
              <w:top w:val="single" w:sz="8" w:color="0072AF"/>
            </w:tcBorders>
          </w:tcPr>
          <w:p>
            <w:pPr>
              <w:spacing w:after="0"/>
              <w:rPr>
                <w:sz w:val="20"/>
                <w:szCs w:val="20"/>
                <w:color w:val="auto"/>
              </w:rPr>
            </w:pPr>
          </w:p>
        </w:tc>
        <w:tc>
          <w:tcPr>
            <w:tcW w:w="600" w:type="dxa"/>
            <w:vAlign w:val="bottom"/>
            <w:tcBorders>
              <w:top w:val="single" w:sz="8" w:color="0072AF"/>
            </w:tcBorders>
          </w:tcPr>
          <w:p>
            <w:pPr>
              <w:spacing w:after="0"/>
              <w:rPr>
                <w:sz w:val="20"/>
                <w:szCs w:val="20"/>
                <w:color w:val="auto"/>
              </w:rPr>
            </w:pPr>
          </w:p>
        </w:tc>
        <w:tc>
          <w:tcPr>
            <w:tcW w:w="620" w:type="dxa"/>
            <w:vAlign w:val="bottom"/>
            <w:tcBorders>
              <w:top w:val="single" w:sz="8" w:color="0072AF"/>
            </w:tcBorders>
          </w:tcPr>
          <w:p>
            <w:pPr>
              <w:spacing w:after="0"/>
              <w:rPr>
                <w:sz w:val="20"/>
                <w:szCs w:val="20"/>
                <w:color w:val="auto"/>
              </w:rPr>
            </w:pPr>
          </w:p>
        </w:tc>
        <w:tc>
          <w:tcPr>
            <w:tcW w:w="60" w:type="dxa"/>
            <w:vAlign w:val="bottom"/>
            <w:tcBorders>
              <w:top w:val="single" w:sz="8" w:color="0072AF"/>
            </w:tcBorders>
          </w:tcPr>
          <w:p>
            <w:pPr>
              <w:spacing w:after="0"/>
              <w:rPr>
                <w:sz w:val="20"/>
                <w:szCs w:val="20"/>
                <w:color w:val="auto"/>
              </w:rPr>
            </w:pPr>
          </w:p>
        </w:tc>
        <w:tc>
          <w:tcPr>
            <w:tcW w:w="640" w:type="dxa"/>
            <w:vAlign w:val="bottom"/>
            <w:tcBorders>
              <w:top w:val="single" w:sz="8" w:color="0072AF"/>
            </w:tcBorders>
          </w:tcPr>
          <w:p>
            <w:pPr>
              <w:spacing w:after="0"/>
              <w:rPr>
                <w:sz w:val="20"/>
                <w:szCs w:val="20"/>
                <w:color w:val="auto"/>
              </w:rPr>
            </w:pPr>
          </w:p>
        </w:tc>
        <w:tc>
          <w:tcPr>
            <w:tcW w:w="520" w:type="dxa"/>
            <w:vAlign w:val="bottom"/>
            <w:tcBorders>
              <w:top w:val="single" w:sz="8" w:color="0072AF"/>
            </w:tcBorders>
          </w:tcPr>
          <w:p>
            <w:pPr>
              <w:spacing w:after="0"/>
              <w:rPr>
                <w:sz w:val="20"/>
                <w:szCs w:val="20"/>
                <w:color w:val="auto"/>
              </w:rPr>
            </w:pPr>
          </w:p>
        </w:tc>
        <w:tc>
          <w:tcPr>
            <w:tcW w:w="620" w:type="dxa"/>
            <w:vAlign w:val="bottom"/>
            <w:tcBorders>
              <w:top w:val="single" w:sz="8" w:color="0072AF"/>
            </w:tcBorders>
          </w:tcPr>
          <w:p>
            <w:pPr>
              <w:spacing w:after="0"/>
              <w:rPr>
                <w:sz w:val="20"/>
                <w:szCs w:val="20"/>
                <w:color w:val="auto"/>
              </w:rPr>
            </w:pPr>
          </w:p>
        </w:tc>
        <w:tc>
          <w:tcPr>
            <w:tcW w:w="740" w:type="dxa"/>
            <w:vAlign w:val="bottom"/>
            <w:tcBorders>
              <w:top w:val="single" w:sz="8" w:color="0072AF"/>
            </w:tcBorders>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720" w:type="dxa"/>
            <w:vAlign w:val="bottom"/>
            <w:tcBorders>
              <w:top w:val="single" w:sz="8" w:color="0072AF"/>
            </w:tcBorders>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580" w:type="dxa"/>
            <w:vAlign w:val="bottom"/>
            <w:tcBorders>
              <w:top w:val="single" w:sz="8" w:color="0072AF"/>
            </w:tcBorders>
          </w:tcPr>
          <w:p>
            <w:pPr>
              <w:spacing w:after="0"/>
              <w:rPr>
                <w:sz w:val="20"/>
                <w:szCs w:val="20"/>
                <w:color w:val="auto"/>
              </w:rPr>
            </w:pPr>
          </w:p>
        </w:tc>
        <w:tc>
          <w:tcPr>
            <w:tcW w:w="660" w:type="dxa"/>
            <w:vAlign w:val="bottom"/>
            <w:tcBorders>
              <w:top w:val="single" w:sz="8" w:color="0072AF"/>
            </w:tcBorders>
            <w:vMerge w:val="restart"/>
          </w:tcPr>
          <w:p>
            <w:pPr>
              <w:jc w:val="center"/>
              <w:spacing w:after="0"/>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139"/>
        </w:trPr>
        <w:tc>
          <w:tcPr>
            <w:tcW w:w="1900" w:type="dxa"/>
            <w:vAlign w:val="bottom"/>
          </w:tcPr>
          <w:p>
            <w:pPr>
              <w:spacing w:after="0"/>
              <w:rPr>
                <w:sz w:val="12"/>
                <w:szCs w:val="12"/>
                <w:color w:val="auto"/>
              </w:rPr>
            </w:pPr>
          </w:p>
        </w:tc>
        <w:tc>
          <w:tcPr>
            <w:tcW w:w="840" w:type="dxa"/>
            <w:vAlign w:val="bottom"/>
            <w:tcBorders>
              <w:right w:val="single" w:sz="8" w:color="0072AF"/>
            </w:tcBorders>
          </w:tcPr>
          <w:p>
            <w:pPr>
              <w:spacing w:after="0"/>
              <w:rPr>
                <w:sz w:val="12"/>
                <w:szCs w:val="12"/>
                <w:color w:val="auto"/>
              </w:rPr>
            </w:pPr>
          </w:p>
        </w:tc>
        <w:tc>
          <w:tcPr>
            <w:tcW w:w="1960" w:type="dxa"/>
            <w:vAlign w:val="bottom"/>
            <w:gridSpan w:val="5"/>
          </w:tcPr>
          <w:p>
            <w:pPr>
              <w:jc w:val="center"/>
              <w:ind w:right="100"/>
              <w:spacing w:after="0" w:line="139" w:lineRule="exact"/>
              <w:rPr>
                <w:sz w:val="20"/>
                <w:szCs w:val="20"/>
                <w:color w:val="auto"/>
              </w:rPr>
            </w:pPr>
            <w:r>
              <w:rPr>
                <w:rFonts w:ascii="Arial" w:cs="Arial" w:eastAsia="Arial" w:hAnsi="Arial"/>
                <w:sz w:val="13"/>
                <w:szCs w:val="13"/>
                <w:b w:val="1"/>
                <w:bCs w:val="1"/>
                <w:color w:val="auto"/>
                <w:w w:val="96"/>
              </w:rPr>
              <w:t>Estimated Future</w:t>
            </w:r>
          </w:p>
        </w:tc>
        <w:tc>
          <w:tcPr>
            <w:tcW w:w="1780" w:type="dxa"/>
            <w:vAlign w:val="bottom"/>
            <w:gridSpan w:val="3"/>
          </w:tcPr>
          <w:p>
            <w:pPr>
              <w:jc w:val="center"/>
              <w:spacing w:after="0" w:line="139" w:lineRule="exact"/>
              <w:rPr>
                <w:sz w:val="20"/>
                <w:szCs w:val="20"/>
                <w:color w:val="auto"/>
              </w:rPr>
            </w:pPr>
            <w:r>
              <w:rPr>
                <w:rFonts w:ascii="Arial" w:cs="Arial" w:eastAsia="Arial" w:hAnsi="Arial"/>
                <w:sz w:val="13"/>
                <w:szCs w:val="13"/>
                <w:b w:val="1"/>
                <w:bCs w:val="1"/>
                <w:color w:val="auto"/>
                <w:w w:val="96"/>
              </w:rPr>
              <w:t>Estimated Future</w:t>
            </w:r>
          </w:p>
        </w:tc>
        <w:tc>
          <w:tcPr>
            <w:tcW w:w="74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5"/>
              </w:rPr>
              <w:t>Stock</w:t>
            </w:r>
          </w:p>
        </w:tc>
        <w:tc>
          <w:tcPr>
            <w:tcW w:w="72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rPr>
              <w:t>Option</w:t>
            </w:r>
          </w:p>
        </w:tc>
        <w:tc>
          <w:tcPr>
            <w:tcW w:w="5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Exercise</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840" w:type="dxa"/>
            <w:vAlign w:val="bottom"/>
            <w:tcBorders>
              <w:right w:val="single" w:sz="8" w:color="0072AF"/>
            </w:tcBorders>
          </w:tcPr>
          <w:p>
            <w:pPr>
              <w:spacing w:after="0"/>
              <w:rPr>
                <w:sz w:val="11"/>
                <w:szCs w:val="11"/>
                <w:color w:val="auto"/>
              </w:rPr>
            </w:pPr>
          </w:p>
        </w:tc>
        <w:tc>
          <w:tcPr>
            <w:tcW w:w="1960" w:type="dxa"/>
            <w:vAlign w:val="bottom"/>
            <w:gridSpan w:val="5"/>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Pay-outs Under Non-Equity</w:t>
            </w:r>
          </w:p>
        </w:tc>
        <w:tc>
          <w:tcPr>
            <w:tcW w:w="17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6"/>
              </w:rPr>
              <w:t>Pay-outs Under Equity</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580" w:type="dxa"/>
            <w:vAlign w:val="bottom"/>
            <w:vMerge w:val="continue"/>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Date Fair</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840" w:type="dxa"/>
            <w:vAlign w:val="bottom"/>
            <w:tcBorders>
              <w:right w:val="single" w:sz="8" w:color="0072AF"/>
            </w:tcBorders>
          </w:tcPr>
          <w:p>
            <w:pPr>
              <w:spacing w:after="0"/>
              <w:rPr>
                <w:sz w:val="11"/>
                <w:szCs w:val="11"/>
                <w:color w:val="auto"/>
              </w:rPr>
            </w:pPr>
          </w:p>
        </w:tc>
        <w:tc>
          <w:tcPr>
            <w:tcW w:w="1960" w:type="dxa"/>
            <w:vAlign w:val="bottom"/>
            <w:gridSpan w:val="5"/>
          </w:tcPr>
          <w:p>
            <w:pPr>
              <w:jc w:val="center"/>
              <w:ind w:right="60"/>
              <w:spacing w:after="0" w:line="135" w:lineRule="exact"/>
              <w:rPr>
                <w:sz w:val="20"/>
                <w:szCs w:val="20"/>
                <w:color w:val="auto"/>
              </w:rPr>
            </w:pPr>
            <w:r>
              <w:rPr>
                <w:rFonts w:ascii="Arial" w:cs="Arial" w:eastAsia="Arial" w:hAnsi="Arial"/>
                <w:sz w:val="13"/>
                <w:szCs w:val="13"/>
                <w:b w:val="1"/>
                <w:bCs w:val="1"/>
                <w:color w:val="auto"/>
                <w:w w:val="97"/>
              </w:rPr>
              <w:t>Incentive Plan Awards</w:t>
            </w:r>
          </w:p>
        </w:tc>
        <w:tc>
          <w:tcPr>
            <w:tcW w:w="17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7"/>
              </w:rPr>
              <w:t>Incentive Plan Awards</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Number of</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Number of</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or Base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102"/>
        </w:trPr>
        <w:tc>
          <w:tcPr>
            <w:tcW w:w="1900" w:type="dxa"/>
            <w:vAlign w:val="bottom"/>
          </w:tcPr>
          <w:p>
            <w:pPr>
              <w:spacing w:after="0"/>
              <w:rPr>
                <w:sz w:val="8"/>
                <w:szCs w:val="8"/>
                <w:color w:val="auto"/>
              </w:rPr>
            </w:pPr>
          </w:p>
        </w:tc>
        <w:tc>
          <w:tcPr>
            <w:tcW w:w="840" w:type="dxa"/>
            <w:vAlign w:val="bottom"/>
            <w:tcBorders>
              <w:right w:val="single" w:sz="8" w:color="0072AF"/>
            </w:tcBorders>
          </w:tcPr>
          <w:p>
            <w:pPr>
              <w:spacing w:after="0"/>
              <w:rPr>
                <w:sz w:val="8"/>
                <w:szCs w:val="8"/>
                <w:color w:val="auto"/>
              </w:rPr>
            </w:pPr>
          </w:p>
        </w:tc>
        <w:tc>
          <w:tcPr>
            <w:tcW w:w="620" w:type="dxa"/>
            <w:vAlign w:val="bottom"/>
            <w:tcBorders>
              <w:bottom w:val="single" w:sz="8" w:color="0072AF"/>
            </w:tcBorders>
          </w:tcPr>
          <w:p>
            <w:pPr>
              <w:spacing w:after="0"/>
              <w:rPr>
                <w:sz w:val="8"/>
                <w:szCs w:val="8"/>
                <w:color w:val="auto"/>
              </w:rPr>
            </w:pPr>
          </w:p>
        </w:tc>
        <w:tc>
          <w:tcPr>
            <w:tcW w:w="60" w:type="dxa"/>
            <w:vAlign w:val="bottom"/>
            <w:tcBorders>
              <w:bottom w:val="single" w:sz="8" w:color="0072AF"/>
            </w:tcBorders>
          </w:tcPr>
          <w:p>
            <w:pPr>
              <w:spacing w:after="0"/>
              <w:rPr>
                <w:sz w:val="8"/>
                <w:szCs w:val="8"/>
                <w:color w:val="auto"/>
              </w:rPr>
            </w:pPr>
          </w:p>
        </w:tc>
        <w:tc>
          <w:tcPr>
            <w:tcW w:w="600" w:type="dxa"/>
            <w:vAlign w:val="bottom"/>
            <w:tcBorders>
              <w:bottom w:val="single" w:sz="8" w:color="0072AF"/>
            </w:tcBorders>
          </w:tcPr>
          <w:p>
            <w:pPr>
              <w:spacing w:after="0"/>
              <w:rPr>
                <w:sz w:val="8"/>
                <w:szCs w:val="8"/>
                <w:color w:val="auto"/>
              </w:rPr>
            </w:pPr>
          </w:p>
        </w:tc>
        <w:tc>
          <w:tcPr>
            <w:tcW w:w="620" w:type="dxa"/>
            <w:vAlign w:val="bottom"/>
            <w:tcBorders>
              <w:bottom w:val="single" w:sz="8" w:color="0072AF"/>
            </w:tcBorders>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Borders>
              <w:bottom w:val="single" w:sz="8" w:color="0072AF"/>
            </w:tcBorders>
          </w:tcPr>
          <w:p>
            <w:pPr>
              <w:spacing w:after="0"/>
              <w:rPr>
                <w:sz w:val="8"/>
                <w:szCs w:val="8"/>
                <w:color w:val="auto"/>
              </w:rPr>
            </w:pPr>
          </w:p>
        </w:tc>
        <w:tc>
          <w:tcPr>
            <w:tcW w:w="520" w:type="dxa"/>
            <w:vAlign w:val="bottom"/>
            <w:tcBorders>
              <w:bottom w:val="single" w:sz="8" w:color="0072AF"/>
            </w:tcBorders>
          </w:tcPr>
          <w:p>
            <w:pPr>
              <w:spacing w:after="0"/>
              <w:rPr>
                <w:sz w:val="8"/>
                <w:szCs w:val="8"/>
                <w:color w:val="auto"/>
              </w:rPr>
            </w:pPr>
          </w:p>
        </w:tc>
        <w:tc>
          <w:tcPr>
            <w:tcW w:w="620" w:type="dxa"/>
            <w:vAlign w:val="bottom"/>
            <w:tcBorders>
              <w:bottom w:val="single" w:sz="8" w:color="0072AF"/>
            </w:tcBorders>
          </w:tcPr>
          <w:p>
            <w:pPr>
              <w:spacing w:after="0"/>
              <w:rPr>
                <w:sz w:val="8"/>
                <w:szCs w:val="8"/>
                <w:color w:val="auto"/>
              </w:rPr>
            </w:pPr>
          </w:p>
        </w:tc>
        <w:tc>
          <w:tcPr>
            <w:tcW w:w="74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rPr>
              <w:t>Shares of</w:t>
            </w:r>
          </w:p>
        </w:tc>
        <w:tc>
          <w:tcPr>
            <w:tcW w:w="72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rPr>
              <w:t>Securities</w:t>
            </w:r>
          </w:p>
        </w:tc>
        <w:tc>
          <w:tcPr>
            <w:tcW w:w="58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rPr>
              <w:t>Price of</w:t>
            </w:r>
          </w:p>
        </w:tc>
        <w:tc>
          <w:tcPr>
            <w:tcW w:w="66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rPr>
              <w:t>Stock and</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840" w:type="dxa"/>
            <w:vAlign w:val="bottom"/>
            <w:tcBorders>
              <w:right w:val="single" w:sz="8" w:color="0072AF"/>
            </w:tcBorders>
            <w:vMerge w:val="restart"/>
          </w:tcPr>
          <w:p>
            <w:pPr>
              <w:jc w:val="center"/>
              <w:spacing w:after="0"/>
              <w:rPr>
                <w:sz w:val="20"/>
                <w:szCs w:val="20"/>
                <w:color w:val="auto"/>
              </w:rPr>
            </w:pPr>
            <w:r>
              <w:rPr>
                <w:rFonts w:ascii="Arial" w:cs="Arial" w:eastAsia="Arial" w:hAnsi="Arial"/>
                <w:sz w:val="13"/>
                <w:szCs w:val="13"/>
                <w:b w:val="1"/>
                <w:bCs w:val="1"/>
                <w:color w:val="auto"/>
                <w:w w:val="97"/>
              </w:rPr>
              <w:t>Grant</w:t>
            </w:r>
          </w:p>
        </w:tc>
        <w:tc>
          <w:tcPr>
            <w:tcW w:w="6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Threshold</w:t>
            </w:r>
          </w:p>
        </w:tc>
        <w:tc>
          <w:tcPr>
            <w:tcW w:w="60" w:type="dxa"/>
            <w:vAlign w:val="bottom"/>
          </w:tcPr>
          <w:p>
            <w:pPr>
              <w:spacing w:after="0"/>
              <w:rPr>
                <w:sz w:val="11"/>
                <w:szCs w:val="11"/>
                <w:color w:val="auto"/>
              </w:rPr>
            </w:pPr>
          </w:p>
        </w:tc>
        <w:tc>
          <w:tcPr>
            <w:tcW w:w="60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Target</w:t>
            </w:r>
          </w:p>
        </w:tc>
        <w:tc>
          <w:tcPr>
            <w:tcW w:w="13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99"/>
              </w:rPr>
              <w:t>Maximum Threshold</w:t>
            </w:r>
          </w:p>
        </w:tc>
        <w:tc>
          <w:tcPr>
            <w:tcW w:w="52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Target</w:t>
            </w:r>
          </w:p>
        </w:tc>
        <w:tc>
          <w:tcPr>
            <w:tcW w:w="6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Maximum</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 or</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Option</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144"/>
        </w:trPr>
        <w:tc>
          <w:tcPr>
            <w:tcW w:w="190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840" w:type="dxa"/>
            <w:vAlign w:val="bottom"/>
            <w:tcBorders>
              <w:right w:val="single" w:sz="8" w:color="0072AF"/>
            </w:tcBorders>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Units</w:t>
            </w:r>
          </w:p>
        </w:tc>
        <w:tc>
          <w:tcPr>
            <w:tcW w:w="7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Options</w:t>
            </w:r>
          </w:p>
        </w:tc>
        <w:tc>
          <w:tcPr>
            <w:tcW w:w="5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Awards</w:t>
            </w:r>
          </w:p>
        </w:tc>
        <w:tc>
          <w:tcPr>
            <w:tcW w:w="660" w:type="dxa"/>
            <w:vAlign w:val="bottom"/>
          </w:tcPr>
          <w:p>
            <w:pPr>
              <w:jc w:val="center"/>
              <w:spacing w:after="0" w:line="144"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172"/>
        </w:trPr>
        <w:tc>
          <w:tcPr>
            <w:tcW w:w="1900" w:type="dxa"/>
            <w:vAlign w:val="bottom"/>
            <w:vMerge w:val="continue"/>
          </w:tcPr>
          <w:p>
            <w:pPr>
              <w:spacing w:after="0"/>
              <w:rPr>
                <w:sz w:val="14"/>
                <w:szCs w:val="14"/>
                <w:color w:val="auto"/>
              </w:rPr>
            </w:pPr>
          </w:p>
        </w:tc>
        <w:tc>
          <w:tcPr>
            <w:tcW w:w="840" w:type="dxa"/>
            <w:vAlign w:val="bottom"/>
            <w:tcBorders>
              <w:right w:val="single" w:sz="8" w:color="0072AF"/>
            </w:tcBorders>
          </w:tcPr>
          <w:p>
            <w:pPr>
              <w:jc w:val="center"/>
              <w:ind w:left="17"/>
              <w:spacing w:after="0"/>
              <w:rPr>
                <w:sz w:val="20"/>
                <w:szCs w:val="20"/>
                <w:color w:val="auto"/>
              </w:rPr>
            </w:pPr>
            <w:r>
              <w:rPr>
                <w:rFonts w:ascii="Arial" w:cs="Arial" w:eastAsia="Arial" w:hAnsi="Arial"/>
                <w:sz w:val="13"/>
                <w:szCs w:val="13"/>
                <w:b w:val="1"/>
                <w:bCs w:val="1"/>
                <w:color w:val="auto"/>
                <w:w w:val="99"/>
              </w:rPr>
              <w:t>Date</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4"/>
                <w:szCs w:val="14"/>
                <w:color w:val="auto"/>
              </w:rPr>
            </w:pPr>
          </w:p>
        </w:tc>
        <w:tc>
          <w:tcPr>
            <w:tcW w:w="640" w:type="dxa"/>
            <w:vAlign w:val="bottom"/>
          </w:tcPr>
          <w:p>
            <w:pPr>
              <w:jc w:val="right"/>
              <w:ind w:right="197"/>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jc w:val="right"/>
              <w:ind w:right="117"/>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ind w:right="157"/>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48"/>
        </w:trPr>
        <w:tc>
          <w:tcPr>
            <w:tcW w:w="1900" w:type="dxa"/>
            <w:vAlign w:val="bottom"/>
            <w:tcBorders>
              <w:bottom w:val="single" w:sz="8" w:color="0072AF"/>
            </w:tcBorders>
          </w:tcPr>
          <w:p>
            <w:pPr>
              <w:spacing w:after="0"/>
              <w:rPr>
                <w:sz w:val="4"/>
                <w:szCs w:val="4"/>
                <w:color w:val="auto"/>
              </w:rPr>
            </w:pPr>
          </w:p>
        </w:tc>
        <w:tc>
          <w:tcPr>
            <w:tcW w:w="840" w:type="dxa"/>
            <w:vAlign w:val="bottom"/>
            <w:tcBorders>
              <w:bottom w:val="single" w:sz="8" w:color="0072AF"/>
              <w:right w:val="single" w:sz="8" w:color="0072AF"/>
            </w:tcBorders>
          </w:tcPr>
          <w:p>
            <w:pPr>
              <w:spacing w:after="0"/>
              <w:rPr>
                <w:sz w:val="4"/>
                <w:szCs w:val="4"/>
                <w:color w:val="auto"/>
              </w:rPr>
            </w:pPr>
          </w:p>
        </w:tc>
        <w:tc>
          <w:tcPr>
            <w:tcW w:w="620" w:type="dxa"/>
            <w:vAlign w:val="bottom"/>
            <w:tcBorders>
              <w:bottom w:val="single" w:sz="8" w:color="0072AF"/>
            </w:tcBorders>
          </w:tcPr>
          <w:p>
            <w:pPr>
              <w:spacing w:after="0"/>
              <w:rPr>
                <w:sz w:val="4"/>
                <w:szCs w:val="4"/>
                <w:color w:val="auto"/>
              </w:rPr>
            </w:pPr>
          </w:p>
        </w:tc>
        <w:tc>
          <w:tcPr>
            <w:tcW w:w="60" w:type="dxa"/>
            <w:vAlign w:val="bottom"/>
            <w:tcBorders>
              <w:bottom w:val="single" w:sz="8" w:color="0072AF"/>
            </w:tcBorders>
          </w:tcPr>
          <w:p>
            <w:pPr>
              <w:spacing w:after="0"/>
              <w:rPr>
                <w:sz w:val="4"/>
                <w:szCs w:val="4"/>
                <w:color w:val="auto"/>
              </w:rPr>
            </w:pPr>
          </w:p>
        </w:tc>
        <w:tc>
          <w:tcPr>
            <w:tcW w:w="600" w:type="dxa"/>
            <w:vAlign w:val="bottom"/>
            <w:tcBorders>
              <w:bottom w:val="single" w:sz="8" w:color="0072AF"/>
            </w:tcBorders>
          </w:tcPr>
          <w:p>
            <w:pPr>
              <w:spacing w:after="0"/>
              <w:rPr>
                <w:sz w:val="4"/>
                <w:szCs w:val="4"/>
                <w:color w:val="auto"/>
              </w:rPr>
            </w:pPr>
          </w:p>
        </w:tc>
        <w:tc>
          <w:tcPr>
            <w:tcW w:w="620" w:type="dxa"/>
            <w:vAlign w:val="bottom"/>
            <w:tcBorders>
              <w:bottom w:val="single" w:sz="8" w:color="0072AF"/>
            </w:tcBorders>
          </w:tcPr>
          <w:p>
            <w:pPr>
              <w:spacing w:after="0"/>
              <w:rPr>
                <w:sz w:val="4"/>
                <w:szCs w:val="4"/>
                <w:color w:val="auto"/>
              </w:rPr>
            </w:pPr>
          </w:p>
        </w:tc>
        <w:tc>
          <w:tcPr>
            <w:tcW w:w="60" w:type="dxa"/>
            <w:vAlign w:val="bottom"/>
            <w:tcBorders>
              <w:bottom w:val="single" w:sz="8" w:color="0072AF"/>
            </w:tcBorders>
          </w:tcPr>
          <w:p>
            <w:pPr>
              <w:spacing w:after="0"/>
              <w:rPr>
                <w:sz w:val="4"/>
                <w:szCs w:val="4"/>
                <w:color w:val="auto"/>
              </w:rPr>
            </w:pPr>
          </w:p>
        </w:tc>
        <w:tc>
          <w:tcPr>
            <w:tcW w:w="640" w:type="dxa"/>
            <w:vAlign w:val="bottom"/>
            <w:tcBorders>
              <w:bottom w:val="single" w:sz="8" w:color="0072AF"/>
            </w:tcBorders>
          </w:tcPr>
          <w:p>
            <w:pPr>
              <w:spacing w:after="0"/>
              <w:rPr>
                <w:sz w:val="4"/>
                <w:szCs w:val="4"/>
                <w:color w:val="auto"/>
              </w:rPr>
            </w:pPr>
          </w:p>
        </w:tc>
        <w:tc>
          <w:tcPr>
            <w:tcW w:w="520" w:type="dxa"/>
            <w:vAlign w:val="bottom"/>
            <w:tcBorders>
              <w:bottom w:val="single" w:sz="8" w:color="0072AF"/>
            </w:tcBorders>
          </w:tcPr>
          <w:p>
            <w:pPr>
              <w:spacing w:after="0"/>
              <w:rPr>
                <w:sz w:val="4"/>
                <w:szCs w:val="4"/>
                <w:color w:val="auto"/>
              </w:rPr>
            </w:pPr>
          </w:p>
        </w:tc>
        <w:tc>
          <w:tcPr>
            <w:tcW w:w="620" w:type="dxa"/>
            <w:vAlign w:val="bottom"/>
            <w:tcBorders>
              <w:bottom w:val="single" w:sz="8" w:color="0072AF"/>
            </w:tcBorders>
          </w:tcPr>
          <w:p>
            <w:pPr>
              <w:spacing w:after="0"/>
              <w:rPr>
                <w:sz w:val="4"/>
                <w:szCs w:val="4"/>
                <w:color w:val="auto"/>
              </w:rPr>
            </w:pPr>
          </w:p>
        </w:tc>
        <w:tc>
          <w:tcPr>
            <w:tcW w:w="740" w:type="dxa"/>
            <w:vAlign w:val="bottom"/>
            <w:tcBorders>
              <w:bottom w:val="single" w:sz="8" w:color="0072AF"/>
            </w:tcBorders>
          </w:tcPr>
          <w:p>
            <w:pPr>
              <w:spacing w:after="0"/>
              <w:rPr>
                <w:sz w:val="4"/>
                <w:szCs w:val="4"/>
                <w:color w:val="auto"/>
              </w:rPr>
            </w:pPr>
          </w:p>
        </w:tc>
        <w:tc>
          <w:tcPr>
            <w:tcW w:w="720" w:type="dxa"/>
            <w:vAlign w:val="bottom"/>
            <w:tcBorders>
              <w:bottom w:val="single" w:sz="8" w:color="0072AF"/>
            </w:tcBorders>
          </w:tcPr>
          <w:p>
            <w:pPr>
              <w:spacing w:after="0"/>
              <w:rPr>
                <w:sz w:val="4"/>
                <w:szCs w:val="4"/>
                <w:color w:val="auto"/>
              </w:rPr>
            </w:pPr>
          </w:p>
        </w:tc>
        <w:tc>
          <w:tcPr>
            <w:tcW w:w="580" w:type="dxa"/>
            <w:vAlign w:val="bottom"/>
            <w:tcBorders>
              <w:bottom w:val="single" w:sz="8" w:color="0072AF"/>
            </w:tcBorders>
          </w:tcPr>
          <w:p>
            <w:pPr>
              <w:spacing w:after="0"/>
              <w:rPr>
                <w:sz w:val="4"/>
                <w:szCs w:val="4"/>
                <w:color w:val="auto"/>
              </w:rPr>
            </w:pPr>
          </w:p>
        </w:tc>
        <w:tc>
          <w:tcPr>
            <w:tcW w:w="660" w:type="dxa"/>
            <w:vAlign w:val="bottom"/>
            <w:tcBorders>
              <w:bottom w:val="single" w:sz="8" w:color="0072AF"/>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1900" w:type="dxa"/>
            <w:vAlign w:val="bottom"/>
          </w:tcPr>
          <w:p>
            <w:pPr>
              <w:ind w:left="100"/>
              <w:spacing w:after="0"/>
              <w:rPr>
                <w:sz w:val="20"/>
                <w:szCs w:val="20"/>
                <w:color w:val="auto"/>
              </w:rPr>
            </w:pPr>
            <w:r>
              <w:rPr>
                <w:rFonts w:ascii="Arial" w:cs="Arial" w:eastAsia="Arial" w:hAnsi="Arial"/>
                <w:sz w:val="13"/>
                <w:szCs w:val="13"/>
                <w:b w:val="1"/>
                <w:bCs w:val="1"/>
                <w:color w:val="auto"/>
              </w:rPr>
              <w:t>Jason Dies</w:t>
            </w:r>
          </w:p>
        </w:tc>
        <w:tc>
          <w:tcPr>
            <w:tcW w:w="840" w:type="dxa"/>
            <w:vAlign w:val="bottom"/>
            <w:tcBorders>
              <w:right w:val="single" w:sz="8" w:color="0072AF"/>
            </w:tcBorders>
          </w:tcPr>
          <w:p>
            <w:pPr>
              <w:spacing w:after="0"/>
              <w:rPr>
                <w:sz w:val="18"/>
                <w:szCs w:val="18"/>
                <w:color w:val="auto"/>
              </w:rPr>
            </w:pPr>
          </w:p>
        </w:tc>
        <w:tc>
          <w:tcPr>
            <w:tcW w:w="620" w:type="dxa"/>
            <w:vAlign w:val="bottom"/>
            <w:shd w:val="clear" w:color="auto" w:fill="CBCEE0"/>
          </w:tcPr>
          <w:p>
            <w:pPr>
              <w:spacing w:after="0"/>
              <w:rPr>
                <w:sz w:val="18"/>
                <w:szCs w:val="18"/>
                <w:color w:val="auto"/>
              </w:rPr>
            </w:pPr>
          </w:p>
        </w:tc>
        <w:tc>
          <w:tcPr>
            <w:tcW w:w="60" w:type="dxa"/>
            <w:vAlign w:val="bottom"/>
            <w:shd w:val="clear" w:color="auto" w:fill="CBCEE0"/>
          </w:tcPr>
          <w:p>
            <w:pPr>
              <w:spacing w:after="0"/>
              <w:rPr>
                <w:sz w:val="18"/>
                <w:szCs w:val="18"/>
                <w:color w:val="auto"/>
              </w:rPr>
            </w:pPr>
          </w:p>
        </w:tc>
        <w:tc>
          <w:tcPr>
            <w:tcW w:w="600" w:type="dxa"/>
            <w:vAlign w:val="bottom"/>
            <w:shd w:val="clear" w:color="auto" w:fill="CBCEE0"/>
          </w:tcPr>
          <w:p>
            <w:pPr>
              <w:spacing w:after="0"/>
              <w:rPr>
                <w:sz w:val="18"/>
                <w:szCs w:val="18"/>
                <w:color w:val="auto"/>
              </w:rPr>
            </w:pPr>
          </w:p>
        </w:tc>
        <w:tc>
          <w:tcPr>
            <w:tcW w:w="620" w:type="dxa"/>
            <w:vAlign w:val="bottom"/>
            <w:shd w:val="clear" w:color="auto" w:fill="CBCEE0"/>
          </w:tcPr>
          <w:p>
            <w:pPr>
              <w:spacing w:after="0"/>
              <w:rPr>
                <w:sz w:val="18"/>
                <w:szCs w:val="18"/>
                <w:color w:val="auto"/>
              </w:rPr>
            </w:pPr>
          </w:p>
        </w:tc>
        <w:tc>
          <w:tcPr>
            <w:tcW w:w="60" w:type="dxa"/>
            <w:vAlign w:val="bottom"/>
            <w:shd w:val="clear" w:color="auto" w:fill="CBCEE0"/>
          </w:tcPr>
          <w:p>
            <w:pPr>
              <w:spacing w:after="0"/>
              <w:rPr>
                <w:sz w:val="18"/>
                <w:szCs w:val="18"/>
                <w:color w:val="auto"/>
              </w:rPr>
            </w:pPr>
          </w:p>
        </w:tc>
        <w:tc>
          <w:tcPr>
            <w:tcW w:w="640" w:type="dxa"/>
            <w:vAlign w:val="bottom"/>
            <w:shd w:val="clear" w:color="auto" w:fill="CBCEE0"/>
          </w:tcPr>
          <w:p>
            <w:pPr>
              <w:spacing w:after="0"/>
              <w:rPr>
                <w:sz w:val="18"/>
                <w:szCs w:val="18"/>
                <w:color w:val="auto"/>
              </w:rPr>
            </w:pPr>
          </w:p>
        </w:tc>
        <w:tc>
          <w:tcPr>
            <w:tcW w:w="520" w:type="dxa"/>
            <w:vAlign w:val="bottom"/>
            <w:shd w:val="clear" w:color="auto" w:fill="CBCEE0"/>
          </w:tcPr>
          <w:p>
            <w:pPr>
              <w:spacing w:after="0"/>
              <w:rPr>
                <w:sz w:val="18"/>
                <w:szCs w:val="18"/>
                <w:color w:val="auto"/>
              </w:rPr>
            </w:pPr>
          </w:p>
        </w:tc>
        <w:tc>
          <w:tcPr>
            <w:tcW w:w="620" w:type="dxa"/>
            <w:vAlign w:val="bottom"/>
            <w:shd w:val="clear" w:color="auto" w:fill="CBCEE0"/>
          </w:tcPr>
          <w:p>
            <w:pPr>
              <w:spacing w:after="0"/>
              <w:rPr>
                <w:sz w:val="18"/>
                <w:szCs w:val="18"/>
                <w:color w:val="auto"/>
              </w:rPr>
            </w:pPr>
          </w:p>
        </w:tc>
        <w:tc>
          <w:tcPr>
            <w:tcW w:w="740" w:type="dxa"/>
            <w:vAlign w:val="bottom"/>
            <w:shd w:val="clear" w:color="auto" w:fill="CBCEE0"/>
          </w:tcPr>
          <w:p>
            <w:pPr>
              <w:spacing w:after="0"/>
              <w:rPr>
                <w:sz w:val="18"/>
                <w:szCs w:val="18"/>
                <w:color w:val="auto"/>
              </w:rPr>
            </w:pPr>
          </w:p>
        </w:tc>
        <w:tc>
          <w:tcPr>
            <w:tcW w:w="720" w:type="dxa"/>
            <w:vAlign w:val="bottom"/>
            <w:shd w:val="clear" w:color="auto" w:fill="CBCEE0"/>
          </w:tcPr>
          <w:p>
            <w:pPr>
              <w:spacing w:after="0"/>
              <w:rPr>
                <w:sz w:val="18"/>
                <w:szCs w:val="18"/>
                <w:color w:val="auto"/>
              </w:rPr>
            </w:pPr>
          </w:p>
        </w:tc>
        <w:tc>
          <w:tcPr>
            <w:tcW w:w="580" w:type="dxa"/>
            <w:vAlign w:val="bottom"/>
            <w:shd w:val="clear" w:color="auto" w:fill="CBCEE0"/>
          </w:tcPr>
          <w:p>
            <w:pPr>
              <w:spacing w:after="0"/>
              <w:rPr>
                <w:sz w:val="18"/>
                <w:szCs w:val="18"/>
                <w:color w:val="auto"/>
              </w:rPr>
            </w:pPr>
          </w:p>
        </w:tc>
        <w:tc>
          <w:tcPr>
            <w:tcW w:w="660" w:type="dxa"/>
            <w:vAlign w:val="bottom"/>
            <w:shd w:val="clear" w:color="auto" w:fill="CBCEE0"/>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1900" w:type="dxa"/>
            <w:vAlign w:val="bottom"/>
          </w:tcPr>
          <w:p>
            <w:pPr>
              <w:ind w:left="100"/>
              <w:spacing w:after="0"/>
              <w:rPr>
                <w:sz w:val="20"/>
                <w:szCs w:val="20"/>
                <w:color w:val="auto"/>
              </w:rPr>
            </w:pPr>
            <w:r>
              <w:rPr>
                <w:rFonts w:ascii="Arial" w:cs="Arial" w:eastAsia="Arial" w:hAnsi="Arial"/>
                <w:sz w:val="13"/>
                <w:szCs w:val="13"/>
                <w:color w:val="auto"/>
              </w:rPr>
              <w:t>Annual Incentive</w:t>
            </w:r>
            <w:r>
              <w:rPr>
                <w:rFonts w:ascii="Arial" w:cs="Arial" w:eastAsia="Arial" w:hAnsi="Arial"/>
                <w:sz w:val="20"/>
                <w:szCs w:val="20"/>
                <w:color w:val="auto"/>
                <w:vertAlign w:val="superscript"/>
              </w:rPr>
              <w:t>(2)</w:t>
            </w:r>
          </w:p>
        </w:tc>
        <w:tc>
          <w:tcPr>
            <w:tcW w:w="840" w:type="dxa"/>
            <w:vAlign w:val="bottom"/>
            <w:tcBorders>
              <w:right w:val="single" w:sz="8" w:color="0072AF"/>
            </w:tcBorders>
          </w:tcPr>
          <w:p>
            <w:pPr>
              <w:spacing w:after="0"/>
              <w:rPr>
                <w:sz w:val="24"/>
                <w:szCs w:val="24"/>
                <w:color w:val="auto"/>
              </w:rPr>
            </w:pPr>
          </w:p>
        </w:tc>
        <w:tc>
          <w:tcPr>
            <w:tcW w:w="620" w:type="dxa"/>
            <w:vAlign w:val="bottom"/>
            <w:shd w:val="clear" w:color="auto" w:fill="CBCEE0"/>
          </w:tcPr>
          <w:p>
            <w:pPr>
              <w:jc w:val="center"/>
              <w:spacing w:after="0"/>
              <w:rPr>
                <w:sz w:val="20"/>
                <w:szCs w:val="20"/>
                <w:color w:val="auto"/>
              </w:rPr>
            </w:pPr>
            <w:r>
              <w:rPr>
                <w:rFonts w:ascii="Arial" w:cs="Arial" w:eastAsia="Arial" w:hAnsi="Arial"/>
                <w:sz w:val="13"/>
                <w:szCs w:val="13"/>
                <w:color w:val="auto"/>
                <w:w w:val="97"/>
              </w:rPr>
              <w:t>105,000</w:t>
            </w:r>
          </w:p>
        </w:tc>
        <w:tc>
          <w:tcPr>
            <w:tcW w:w="660" w:type="dxa"/>
            <w:vAlign w:val="bottom"/>
            <w:gridSpan w:val="2"/>
            <w:shd w:val="clear" w:color="auto" w:fill="CBCEE0"/>
          </w:tcPr>
          <w:p>
            <w:pPr>
              <w:ind w:left="160"/>
              <w:spacing w:after="0"/>
              <w:rPr>
                <w:sz w:val="20"/>
                <w:szCs w:val="20"/>
                <w:color w:val="auto"/>
              </w:rPr>
            </w:pPr>
            <w:r>
              <w:rPr>
                <w:rFonts w:ascii="Arial" w:cs="Arial" w:eastAsia="Arial" w:hAnsi="Arial"/>
                <w:sz w:val="13"/>
                <w:szCs w:val="13"/>
                <w:color w:val="auto"/>
              </w:rPr>
              <w:t>700,000</w:t>
            </w:r>
          </w:p>
        </w:tc>
        <w:tc>
          <w:tcPr>
            <w:tcW w:w="620" w:type="dxa"/>
            <w:vAlign w:val="bottom"/>
            <w:shd w:val="clear" w:color="auto" w:fill="CBCEE0"/>
          </w:tcPr>
          <w:p>
            <w:pPr>
              <w:jc w:val="center"/>
              <w:spacing w:after="0"/>
              <w:rPr>
                <w:sz w:val="20"/>
                <w:szCs w:val="20"/>
                <w:color w:val="auto"/>
              </w:rPr>
            </w:pPr>
            <w:r>
              <w:rPr>
                <w:rFonts w:ascii="Arial" w:cs="Arial" w:eastAsia="Arial" w:hAnsi="Arial"/>
                <w:sz w:val="13"/>
                <w:szCs w:val="13"/>
                <w:color w:val="auto"/>
                <w:w w:val="96"/>
              </w:rPr>
              <w:t>1,120,000</w:t>
            </w:r>
          </w:p>
        </w:tc>
        <w:tc>
          <w:tcPr>
            <w:tcW w:w="60" w:type="dxa"/>
            <w:vAlign w:val="bottom"/>
            <w:shd w:val="clear" w:color="auto" w:fill="CBCEE0"/>
          </w:tcPr>
          <w:p>
            <w:pPr>
              <w:spacing w:after="0"/>
              <w:rPr>
                <w:sz w:val="24"/>
                <w:szCs w:val="24"/>
                <w:color w:val="auto"/>
              </w:rPr>
            </w:pPr>
          </w:p>
        </w:tc>
        <w:tc>
          <w:tcPr>
            <w:tcW w:w="640" w:type="dxa"/>
            <w:vAlign w:val="bottom"/>
            <w:shd w:val="clear" w:color="auto" w:fill="CBCEE0"/>
          </w:tcPr>
          <w:p>
            <w:pPr>
              <w:spacing w:after="0"/>
              <w:rPr>
                <w:sz w:val="24"/>
                <w:szCs w:val="24"/>
                <w:color w:val="auto"/>
              </w:rPr>
            </w:pPr>
          </w:p>
        </w:tc>
        <w:tc>
          <w:tcPr>
            <w:tcW w:w="520" w:type="dxa"/>
            <w:vAlign w:val="bottom"/>
            <w:shd w:val="clear" w:color="auto" w:fill="CBCEE0"/>
          </w:tcPr>
          <w:p>
            <w:pPr>
              <w:spacing w:after="0"/>
              <w:rPr>
                <w:sz w:val="24"/>
                <w:szCs w:val="24"/>
                <w:color w:val="auto"/>
              </w:rPr>
            </w:pPr>
          </w:p>
        </w:tc>
        <w:tc>
          <w:tcPr>
            <w:tcW w:w="620" w:type="dxa"/>
            <w:vAlign w:val="bottom"/>
            <w:shd w:val="clear" w:color="auto" w:fill="CBCEE0"/>
          </w:tcPr>
          <w:p>
            <w:pPr>
              <w:spacing w:after="0"/>
              <w:rPr>
                <w:sz w:val="24"/>
                <w:szCs w:val="24"/>
                <w:color w:val="auto"/>
              </w:rPr>
            </w:pPr>
          </w:p>
        </w:tc>
        <w:tc>
          <w:tcPr>
            <w:tcW w:w="740" w:type="dxa"/>
            <w:vAlign w:val="bottom"/>
            <w:shd w:val="clear" w:color="auto" w:fill="CBCEE0"/>
          </w:tcPr>
          <w:p>
            <w:pPr>
              <w:spacing w:after="0"/>
              <w:rPr>
                <w:sz w:val="24"/>
                <w:szCs w:val="24"/>
                <w:color w:val="auto"/>
              </w:rPr>
            </w:pPr>
          </w:p>
        </w:tc>
        <w:tc>
          <w:tcPr>
            <w:tcW w:w="720" w:type="dxa"/>
            <w:vAlign w:val="bottom"/>
            <w:shd w:val="clear" w:color="auto" w:fill="CBCEE0"/>
          </w:tcPr>
          <w:p>
            <w:pPr>
              <w:spacing w:after="0"/>
              <w:rPr>
                <w:sz w:val="24"/>
                <w:szCs w:val="24"/>
                <w:color w:val="auto"/>
              </w:rPr>
            </w:pPr>
          </w:p>
        </w:tc>
        <w:tc>
          <w:tcPr>
            <w:tcW w:w="580" w:type="dxa"/>
            <w:vAlign w:val="bottom"/>
            <w:shd w:val="clear" w:color="auto" w:fill="CBCEE0"/>
          </w:tcPr>
          <w:p>
            <w:pPr>
              <w:spacing w:after="0"/>
              <w:rPr>
                <w:sz w:val="24"/>
                <w:szCs w:val="24"/>
                <w:color w:val="auto"/>
              </w:rPr>
            </w:pPr>
          </w:p>
        </w:tc>
        <w:tc>
          <w:tcPr>
            <w:tcW w:w="660" w:type="dxa"/>
            <w:vAlign w:val="bottom"/>
            <w:shd w:val="clear" w:color="auto" w:fill="CBCEE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tcPr>
          <w:p>
            <w:pPr>
              <w:ind w:left="100"/>
              <w:spacing w:after="0"/>
              <w:rPr>
                <w:sz w:val="20"/>
                <w:szCs w:val="20"/>
                <w:color w:val="auto"/>
              </w:rPr>
            </w:pPr>
            <w:r>
              <w:rPr>
                <w:rFonts w:ascii="Arial" w:cs="Arial" w:eastAsia="Arial" w:hAnsi="Arial"/>
                <w:sz w:val="13"/>
                <w:szCs w:val="13"/>
                <w:color w:val="auto"/>
              </w:rPr>
              <w:t>Cash Incentive Units</w:t>
            </w:r>
            <w:r>
              <w:rPr>
                <w:rFonts w:ascii="Arial" w:cs="Arial" w:eastAsia="Arial" w:hAnsi="Arial"/>
                <w:sz w:val="20"/>
                <w:szCs w:val="20"/>
                <w:color w:val="auto"/>
                <w:vertAlign w:val="superscript"/>
              </w:rPr>
              <w:t>(3)</w:t>
            </w:r>
          </w:p>
        </w:tc>
        <w:tc>
          <w:tcPr>
            <w:tcW w:w="840" w:type="dxa"/>
            <w:vAlign w:val="bottom"/>
            <w:tcBorders>
              <w:right w:val="single" w:sz="8" w:color="0072AF"/>
            </w:tcBorders>
          </w:tcPr>
          <w:p>
            <w:pPr>
              <w:jc w:val="center"/>
              <w:ind w:left="17"/>
              <w:spacing w:after="0"/>
              <w:rPr>
                <w:sz w:val="20"/>
                <w:szCs w:val="20"/>
                <w:color w:val="auto"/>
              </w:rPr>
            </w:pPr>
            <w:r>
              <w:rPr>
                <w:rFonts w:ascii="Arial" w:cs="Arial" w:eastAsia="Arial" w:hAnsi="Arial"/>
                <w:sz w:val="13"/>
                <w:szCs w:val="13"/>
                <w:color w:val="auto"/>
                <w:w w:val="96"/>
              </w:rPr>
              <w:t>2/14/2023​</w:t>
            </w:r>
          </w:p>
        </w:tc>
        <w:tc>
          <w:tcPr>
            <w:tcW w:w="620" w:type="dxa"/>
            <w:vAlign w:val="bottom"/>
            <w:shd w:val="clear" w:color="auto" w:fill="CBCEE0"/>
          </w:tcPr>
          <w:p>
            <w:pPr>
              <w:jc w:val="center"/>
              <w:spacing w:after="0"/>
              <w:rPr>
                <w:sz w:val="20"/>
                <w:szCs w:val="20"/>
                <w:color w:val="auto"/>
              </w:rPr>
            </w:pPr>
            <w:r>
              <w:rPr>
                <w:rFonts w:ascii="Arial" w:cs="Arial" w:eastAsia="Arial" w:hAnsi="Arial"/>
                <w:sz w:val="13"/>
                <w:szCs w:val="13"/>
                <w:color w:val="auto"/>
                <w:w w:val="95"/>
              </w:rPr>
              <w:t>47,520</w:t>
            </w:r>
          </w:p>
        </w:tc>
        <w:tc>
          <w:tcPr>
            <w:tcW w:w="660" w:type="dxa"/>
            <w:vAlign w:val="bottom"/>
            <w:gridSpan w:val="2"/>
            <w:shd w:val="clear" w:color="auto" w:fill="CBCEE0"/>
          </w:tcPr>
          <w:p>
            <w:pPr>
              <w:ind w:left="160"/>
              <w:spacing w:after="0"/>
              <w:rPr>
                <w:sz w:val="20"/>
                <w:szCs w:val="20"/>
                <w:color w:val="auto"/>
              </w:rPr>
            </w:pPr>
            <w:r>
              <w:rPr>
                <w:rFonts w:ascii="Arial" w:cs="Arial" w:eastAsia="Arial" w:hAnsi="Arial"/>
                <w:sz w:val="13"/>
                <w:szCs w:val="13"/>
                <w:color w:val="auto"/>
              </w:rPr>
              <w:t>960,000</w:t>
            </w:r>
          </w:p>
        </w:tc>
        <w:tc>
          <w:tcPr>
            <w:tcW w:w="620" w:type="dxa"/>
            <w:vAlign w:val="bottom"/>
            <w:shd w:val="clear" w:color="auto" w:fill="CBCEE0"/>
          </w:tcPr>
          <w:p>
            <w:pPr>
              <w:jc w:val="center"/>
              <w:spacing w:after="0"/>
              <w:rPr>
                <w:sz w:val="20"/>
                <w:szCs w:val="20"/>
                <w:color w:val="auto"/>
              </w:rPr>
            </w:pPr>
            <w:r>
              <w:rPr>
                <w:rFonts w:ascii="Arial" w:cs="Arial" w:eastAsia="Arial" w:hAnsi="Arial"/>
                <w:sz w:val="13"/>
                <w:szCs w:val="13"/>
                <w:color w:val="auto"/>
                <w:w w:val="96"/>
              </w:rPr>
              <w:t>1,920,000</w:t>
            </w:r>
          </w:p>
        </w:tc>
        <w:tc>
          <w:tcPr>
            <w:tcW w:w="60" w:type="dxa"/>
            <w:vAlign w:val="bottom"/>
            <w:shd w:val="clear" w:color="auto" w:fill="CBCEE0"/>
          </w:tcPr>
          <w:p>
            <w:pPr>
              <w:spacing w:after="0"/>
              <w:rPr>
                <w:sz w:val="24"/>
                <w:szCs w:val="24"/>
                <w:color w:val="auto"/>
              </w:rPr>
            </w:pPr>
          </w:p>
        </w:tc>
        <w:tc>
          <w:tcPr>
            <w:tcW w:w="640" w:type="dxa"/>
            <w:vAlign w:val="bottom"/>
            <w:shd w:val="clear" w:color="auto" w:fill="CBCEE0"/>
          </w:tcPr>
          <w:p>
            <w:pPr>
              <w:spacing w:after="0"/>
              <w:rPr>
                <w:sz w:val="24"/>
                <w:szCs w:val="24"/>
                <w:color w:val="auto"/>
              </w:rPr>
            </w:pPr>
          </w:p>
        </w:tc>
        <w:tc>
          <w:tcPr>
            <w:tcW w:w="520" w:type="dxa"/>
            <w:vAlign w:val="bottom"/>
            <w:shd w:val="clear" w:color="auto" w:fill="CBCEE0"/>
          </w:tcPr>
          <w:p>
            <w:pPr>
              <w:spacing w:after="0"/>
              <w:rPr>
                <w:sz w:val="24"/>
                <w:szCs w:val="24"/>
                <w:color w:val="auto"/>
              </w:rPr>
            </w:pPr>
          </w:p>
        </w:tc>
        <w:tc>
          <w:tcPr>
            <w:tcW w:w="620" w:type="dxa"/>
            <w:vAlign w:val="bottom"/>
            <w:shd w:val="clear" w:color="auto" w:fill="CBCEE0"/>
          </w:tcPr>
          <w:p>
            <w:pPr>
              <w:spacing w:after="0"/>
              <w:rPr>
                <w:sz w:val="24"/>
                <w:szCs w:val="24"/>
                <w:color w:val="auto"/>
              </w:rPr>
            </w:pPr>
          </w:p>
        </w:tc>
        <w:tc>
          <w:tcPr>
            <w:tcW w:w="740" w:type="dxa"/>
            <w:vAlign w:val="bottom"/>
            <w:shd w:val="clear" w:color="auto" w:fill="CBCEE0"/>
          </w:tcPr>
          <w:p>
            <w:pPr>
              <w:spacing w:after="0"/>
              <w:rPr>
                <w:sz w:val="24"/>
                <w:szCs w:val="24"/>
                <w:color w:val="auto"/>
              </w:rPr>
            </w:pPr>
          </w:p>
        </w:tc>
        <w:tc>
          <w:tcPr>
            <w:tcW w:w="720" w:type="dxa"/>
            <w:vAlign w:val="bottom"/>
            <w:shd w:val="clear" w:color="auto" w:fill="CBCEE0"/>
          </w:tcPr>
          <w:p>
            <w:pPr>
              <w:spacing w:after="0"/>
              <w:rPr>
                <w:sz w:val="24"/>
                <w:szCs w:val="24"/>
                <w:color w:val="auto"/>
              </w:rPr>
            </w:pPr>
          </w:p>
        </w:tc>
        <w:tc>
          <w:tcPr>
            <w:tcW w:w="580" w:type="dxa"/>
            <w:vAlign w:val="bottom"/>
            <w:shd w:val="clear" w:color="auto" w:fill="CBCEE0"/>
          </w:tcPr>
          <w:p>
            <w:pPr>
              <w:spacing w:after="0"/>
              <w:rPr>
                <w:sz w:val="24"/>
                <w:szCs w:val="24"/>
                <w:color w:val="auto"/>
              </w:rPr>
            </w:pPr>
          </w:p>
        </w:tc>
        <w:tc>
          <w:tcPr>
            <w:tcW w:w="660" w:type="dxa"/>
            <w:vAlign w:val="bottom"/>
            <w:shd w:val="clear" w:color="auto" w:fill="CBCEE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tcPr>
          <w:p>
            <w:pPr>
              <w:ind w:left="100"/>
              <w:spacing w:after="0"/>
              <w:rPr>
                <w:sz w:val="20"/>
                <w:szCs w:val="20"/>
                <w:color w:val="auto"/>
              </w:rPr>
            </w:pPr>
            <w:r>
              <w:rPr>
                <w:rFonts w:ascii="Arial" w:cs="Arial" w:eastAsia="Arial" w:hAnsi="Arial"/>
                <w:sz w:val="13"/>
                <w:szCs w:val="13"/>
                <w:color w:val="auto"/>
              </w:rPr>
              <w:t>Performance-Based RSUs</w:t>
            </w:r>
            <w:r>
              <w:rPr>
                <w:rFonts w:ascii="Arial" w:cs="Arial" w:eastAsia="Arial" w:hAnsi="Arial"/>
                <w:sz w:val="20"/>
                <w:szCs w:val="20"/>
                <w:color w:val="auto"/>
                <w:vertAlign w:val="superscript"/>
              </w:rPr>
              <w:t>(4)</w:t>
            </w:r>
          </w:p>
        </w:tc>
        <w:tc>
          <w:tcPr>
            <w:tcW w:w="840" w:type="dxa"/>
            <w:vAlign w:val="bottom"/>
            <w:tcBorders>
              <w:right w:val="single" w:sz="8" w:color="0072AF"/>
            </w:tcBorders>
          </w:tcPr>
          <w:p>
            <w:pPr>
              <w:jc w:val="center"/>
              <w:ind w:left="17"/>
              <w:spacing w:after="0"/>
              <w:rPr>
                <w:sz w:val="20"/>
                <w:szCs w:val="20"/>
                <w:color w:val="auto"/>
              </w:rPr>
            </w:pPr>
            <w:r>
              <w:rPr>
                <w:rFonts w:ascii="Arial" w:cs="Arial" w:eastAsia="Arial" w:hAnsi="Arial"/>
                <w:sz w:val="13"/>
                <w:szCs w:val="13"/>
                <w:color w:val="auto"/>
                <w:w w:val="96"/>
              </w:rPr>
              <w:t>2/14/2023​</w:t>
            </w:r>
          </w:p>
        </w:tc>
        <w:tc>
          <w:tcPr>
            <w:tcW w:w="620" w:type="dxa"/>
            <w:vAlign w:val="bottom"/>
            <w:shd w:val="clear" w:color="auto" w:fill="CBCEE0"/>
          </w:tcPr>
          <w:p>
            <w:pPr>
              <w:spacing w:after="0"/>
              <w:rPr>
                <w:sz w:val="24"/>
                <w:szCs w:val="24"/>
                <w:color w:val="auto"/>
              </w:rPr>
            </w:pPr>
          </w:p>
        </w:tc>
        <w:tc>
          <w:tcPr>
            <w:tcW w:w="60" w:type="dxa"/>
            <w:vAlign w:val="bottom"/>
            <w:shd w:val="clear" w:color="auto" w:fill="CBCEE0"/>
          </w:tcPr>
          <w:p>
            <w:pPr>
              <w:spacing w:after="0"/>
              <w:rPr>
                <w:sz w:val="24"/>
                <w:szCs w:val="24"/>
                <w:color w:val="auto"/>
              </w:rPr>
            </w:pPr>
          </w:p>
        </w:tc>
        <w:tc>
          <w:tcPr>
            <w:tcW w:w="600" w:type="dxa"/>
            <w:vAlign w:val="bottom"/>
            <w:shd w:val="clear" w:color="auto" w:fill="CBCEE0"/>
          </w:tcPr>
          <w:p>
            <w:pPr>
              <w:spacing w:after="0"/>
              <w:rPr>
                <w:sz w:val="24"/>
                <w:szCs w:val="24"/>
                <w:color w:val="auto"/>
              </w:rPr>
            </w:pPr>
          </w:p>
        </w:tc>
        <w:tc>
          <w:tcPr>
            <w:tcW w:w="620" w:type="dxa"/>
            <w:vAlign w:val="bottom"/>
            <w:shd w:val="clear" w:color="auto" w:fill="CBCEE0"/>
          </w:tcPr>
          <w:p>
            <w:pPr>
              <w:spacing w:after="0"/>
              <w:rPr>
                <w:sz w:val="24"/>
                <w:szCs w:val="24"/>
                <w:color w:val="auto"/>
              </w:rPr>
            </w:pPr>
          </w:p>
        </w:tc>
        <w:tc>
          <w:tcPr>
            <w:tcW w:w="60" w:type="dxa"/>
            <w:vAlign w:val="bottom"/>
            <w:shd w:val="clear" w:color="auto" w:fill="CBCEE0"/>
          </w:tcPr>
          <w:p>
            <w:pPr>
              <w:spacing w:after="0"/>
              <w:rPr>
                <w:sz w:val="24"/>
                <w:szCs w:val="24"/>
                <w:color w:val="auto"/>
              </w:rPr>
            </w:pPr>
          </w:p>
        </w:tc>
        <w:tc>
          <w:tcPr>
            <w:tcW w:w="640" w:type="dxa"/>
            <w:vAlign w:val="bottom"/>
            <w:shd w:val="clear" w:color="auto" w:fill="CBCEE0"/>
          </w:tcPr>
          <w:p>
            <w:pPr>
              <w:spacing w:after="0"/>
              <w:rPr>
                <w:sz w:val="24"/>
                <w:szCs w:val="24"/>
                <w:color w:val="auto"/>
              </w:rPr>
            </w:pPr>
          </w:p>
        </w:tc>
        <w:tc>
          <w:tcPr>
            <w:tcW w:w="520" w:type="dxa"/>
            <w:vAlign w:val="bottom"/>
            <w:shd w:val="clear" w:color="auto" w:fill="CBCEE0"/>
          </w:tcPr>
          <w:p>
            <w:pPr>
              <w:jc w:val="right"/>
              <w:spacing w:after="0"/>
              <w:rPr>
                <w:sz w:val="20"/>
                <w:szCs w:val="20"/>
                <w:color w:val="auto"/>
              </w:rPr>
            </w:pPr>
            <w:r>
              <w:rPr>
                <w:rFonts w:ascii="Arial" w:cs="Arial" w:eastAsia="Arial" w:hAnsi="Arial"/>
                <w:sz w:val="13"/>
                <w:szCs w:val="13"/>
                <w:color w:val="auto"/>
                <w:w w:val="97"/>
              </w:rPr>
              <w:t>146,119</w:t>
            </w:r>
          </w:p>
        </w:tc>
        <w:tc>
          <w:tcPr>
            <w:tcW w:w="620" w:type="dxa"/>
            <w:vAlign w:val="bottom"/>
            <w:shd w:val="clear" w:color="auto" w:fill="CBCEE0"/>
          </w:tcPr>
          <w:p>
            <w:pPr>
              <w:spacing w:after="0"/>
              <w:rPr>
                <w:sz w:val="24"/>
                <w:szCs w:val="24"/>
                <w:color w:val="auto"/>
              </w:rPr>
            </w:pPr>
          </w:p>
        </w:tc>
        <w:tc>
          <w:tcPr>
            <w:tcW w:w="740" w:type="dxa"/>
            <w:vAlign w:val="bottom"/>
            <w:shd w:val="clear" w:color="auto" w:fill="CBCEE0"/>
          </w:tcPr>
          <w:p>
            <w:pPr>
              <w:spacing w:after="0"/>
              <w:rPr>
                <w:sz w:val="24"/>
                <w:szCs w:val="24"/>
                <w:color w:val="auto"/>
              </w:rPr>
            </w:pPr>
          </w:p>
        </w:tc>
        <w:tc>
          <w:tcPr>
            <w:tcW w:w="720" w:type="dxa"/>
            <w:vAlign w:val="bottom"/>
            <w:shd w:val="clear" w:color="auto" w:fill="CBCEE0"/>
          </w:tcPr>
          <w:p>
            <w:pPr>
              <w:spacing w:after="0"/>
              <w:rPr>
                <w:sz w:val="24"/>
                <w:szCs w:val="24"/>
                <w:color w:val="auto"/>
              </w:rPr>
            </w:pPr>
          </w:p>
        </w:tc>
        <w:tc>
          <w:tcPr>
            <w:tcW w:w="580" w:type="dxa"/>
            <w:vAlign w:val="bottom"/>
            <w:shd w:val="clear" w:color="auto" w:fill="CBCEE0"/>
          </w:tcPr>
          <w:p>
            <w:pPr>
              <w:spacing w:after="0"/>
              <w:rPr>
                <w:sz w:val="24"/>
                <w:szCs w:val="24"/>
                <w:color w:val="auto"/>
              </w:rPr>
            </w:pPr>
          </w:p>
        </w:tc>
        <w:tc>
          <w:tcPr>
            <w:tcW w:w="660" w:type="dxa"/>
            <w:vAlign w:val="bottom"/>
            <w:shd w:val="clear" w:color="auto" w:fill="CBCEE0"/>
          </w:tcPr>
          <w:p>
            <w:pPr>
              <w:jc w:val="right"/>
              <w:spacing w:after="0"/>
              <w:rPr>
                <w:sz w:val="20"/>
                <w:szCs w:val="20"/>
                <w:color w:val="auto"/>
              </w:rPr>
            </w:pPr>
            <w:r>
              <w:rPr>
                <w:rFonts w:ascii="Arial" w:cs="Arial" w:eastAsia="Arial" w:hAnsi="Arial"/>
                <w:sz w:val="13"/>
                <w:szCs w:val="13"/>
                <w:color w:val="auto"/>
              </w:rPr>
              <w:t>585,937</w:t>
            </w:r>
          </w:p>
        </w:tc>
        <w:tc>
          <w:tcPr>
            <w:tcW w:w="0" w:type="dxa"/>
            <w:vAlign w:val="bottom"/>
          </w:tcPr>
          <w:p>
            <w:pPr>
              <w:spacing w:after="0"/>
              <w:rPr>
                <w:sz w:val="1"/>
                <w:szCs w:val="1"/>
                <w:color w:val="auto"/>
              </w:rPr>
            </w:pPr>
          </w:p>
        </w:tc>
      </w:tr>
      <w:tr>
        <w:trPr>
          <w:trHeight w:val="179"/>
        </w:trPr>
        <w:tc>
          <w:tcPr>
            <w:tcW w:w="1900" w:type="dxa"/>
            <w:vAlign w:val="bottom"/>
          </w:tcPr>
          <w:p>
            <w:pPr>
              <w:ind w:left="100"/>
              <w:spacing w:after="0"/>
              <w:rPr>
                <w:sz w:val="20"/>
                <w:szCs w:val="20"/>
                <w:color w:val="auto"/>
              </w:rPr>
            </w:pPr>
            <w:r>
              <w:rPr>
                <w:rFonts w:ascii="Arial" w:cs="Arial" w:eastAsia="Arial" w:hAnsi="Arial"/>
                <w:sz w:val="13"/>
                <w:szCs w:val="13"/>
                <w:color w:val="auto"/>
              </w:rPr>
              <w:t>Special Performance-Based</w:t>
            </w:r>
          </w:p>
        </w:tc>
        <w:tc>
          <w:tcPr>
            <w:tcW w:w="840" w:type="dxa"/>
            <w:vAlign w:val="bottom"/>
            <w:tcBorders>
              <w:right w:val="single" w:sz="8" w:color="0072AF"/>
            </w:tcBorders>
          </w:tcPr>
          <w:p>
            <w:pPr>
              <w:spacing w:after="0"/>
              <w:rPr>
                <w:sz w:val="15"/>
                <w:szCs w:val="15"/>
                <w:color w:val="auto"/>
              </w:rPr>
            </w:pPr>
          </w:p>
        </w:tc>
        <w:tc>
          <w:tcPr>
            <w:tcW w:w="620" w:type="dxa"/>
            <w:vAlign w:val="bottom"/>
            <w:shd w:val="clear" w:color="auto" w:fill="CBCEE0"/>
          </w:tcPr>
          <w:p>
            <w:pPr>
              <w:spacing w:after="0"/>
              <w:rPr>
                <w:sz w:val="15"/>
                <w:szCs w:val="15"/>
                <w:color w:val="auto"/>
              </w:rPr>
            </w:pPr>
          </w:p>
        </w:tc>
        <w:tc>
          <w:tcPr>
            <w:tcW w:w="60" w:type="dxa"/>
            <w:vAlign w:val="bottom"/>
            <w:shd w:val="clear" w:color="auto" w:fill="CBCEE0"/>
          </w:tcPr>
          <w:p>
            <w:pPr>
              <w:spacing w:after="0"/>
              <w:rPr>
                <w:sz w:val="15"/>
                <w:szCs w:val="15"/>
                <w:color w:val="auto"/>
              </w:rPr>
            </w:pPr>
          </w:p>
        </w:tc>
        <w:tc>
          <w:tcPr>
            <w:tcW w:w="600" w:type="dxa"/>
            <w:vAlign w:val="bottom"/>
            <w:shd w:val="clear" w:color="auto" w:fill="CBCEE0"/>
          </w:tcPr>
          <w:p>
            <w:pPr>
              <w:spacing w:after="0"/>
              <w:rPr>
                <w:sz w:val="15"/>
                <w:szCs w:val="15"/>
                <w:color w:val="auto"/>
              </w:rPr>
            </w:pPr>
          </w:p>
        </w:tc>
        <w:tc>
          <w:tcPr>
            <w:tcW w:w="620" w:type="dxa"/>
            <w:vAlign w:val="bottom"/>
            <w:shd w:val="clear" w:color="auto" w:fill="CBCEE0"/>
          </w:tcPr>
          <w:p>
            <w:pPr>
              <w:spacing w:after="0"/>
              <w:rPr>
                <w:sz w:val="15"/>
                <w:szCs w:val="15"/>
                <w:color w:val="auto"/>
              </w:rPr>
            </w:pPr>
          </w:p>
        </w:tc>
        <w:tc>
          <w:tcPr>
            <w:tcW w:w="60" w:type="dxa"/>
            <w:vAlign w:val="bottom"/>
            <w:shd w:val="clear" w:color="auto" w:fill="CBCEE0"/>
          </w:tcPr>
          <w:p>
            <w:pPr>
              <w:spacing w:after="0"/>
              <w:rPr>
                <w:sz w:val="15"/>
                <w:szCs w:val="15"/>
                <w:color w:val="auto"/>
              </w:rPr>
            </w:pPr>
          </w:p>
        </w:tc>
        <w:tc>
          <w:tcPr>
            <w:tcW w:w="640" w:type="dxa"/>
            <w:vAlign w:val="bottom"/>
            <w:shd w:val="clear" w:color="auto" w:fill="CBCEE0"/>
          </w:tcPr>
          <w:p>
            <w:pPr>
              <w:spacing w:after="0"/>
              <w:rPr>
                <w:sz w:val="15"/>
                <w:szCs w:val="15"/>
                <w:color w:val="auto"/>
              </w:rPr>
            </w:pPr>
          </w:p>
        </w:tc>
        <w:tc>
          <w:tcPr>
            <w:tcW w:w="520" w:type="dxa"/>
            <w:vAlign w:val="bottom"/>
            <w:shd w:val="clear" w:color="auto" w:fill="CBCEE0"/>
          </w:tcPr>
          <w:p>
            <w:pPr>
              <w:spacing w:after="0"/>
              <w:rPr>
                <w:sz w:val="15"/>
                <w:szCs w:val="15"/>
                <w:color w:val="auto"/>
              </w:rPr>
            </w:pPr>
          </w:p>
        </w:tc>
        <w:tc>
          <w:tcPr>
            <w:tcW w:w="620" w:type="dxa"/>
            <w:vAlign w:val="bottom"/>
            <w:shd w:val="clear" w:color="auto" w:fill="CBCEE0"/>
          </w:tcPr>
          <w:p>
            <w:pPr>
              <w:spacing w:after="0"/>
              <w:rPr>
                <w:sz w:val="15"/>
                <w:szCs w:val="15"/>
                <w:color w:val="auto"/>
              </w:rPr>
            </w:pPr>
          </w:p>
        </w:tc>
        <w:tc>
          <w:tcPr>
            <w:tcW w:w="740" w:type="dxa"/>
            <w:vAlign w:val="bottom"/>
            <w:shd w:val="clear" w:color="auto" w:fill="CBCEE0"/>
          </w:tcPr>
          <w:p>
            <w:pPr>
              <w:spacing w:after="0"/>
              <w:rPr>
                <w:sz w:val="15"/>
                <w:szCs w:val="15"/>
                <w:color w:val="auto"/>
              </w:rPr>
            </w:pPr>
          </w:p>
        </w:tc>
        <w:tc>
          <w:tcPr>
            <w:tcW w:w="720" w:type="dxa"/>
            <w:vAlign w:val="bottom"/>
            <w:shd w:val="clear" w:color="auto" w:fill="CBCEE0"/>
          </w:tcPr>
          <w:p>
            <w:pPr>
              <w:spacing w:after="0"/>
              <w:rPr>
                <w:sz w:val="15"/>
                <w:szCs w:val="15"/>
                <w:color w:val="auto"/>
              </w:rPr>
            </w:pPr>
          </w:p>
        </w:tc>
        <w:tc>
          <w:tcPr>
            <w:tcW w:w="580" w:type="dxa"/>
            <w:vAlign w:val="bottom"/>
            <w:shd w:val="clear" w:color="auto" w:fill="CBCEE0"/>
          </w:tcPr>
          <w:p>
            <w:pPr>
              <w:spacing w:after="0"/>
              <w:rPr>
                <w:sz w:val="15"/>
                <w:szCs w:val="15"/>
                <w:color w:val="auto"/>
              </w:rPr>
            </w:pPr>
          </w:p>
        </w:tc>
        <w:tc>
          <w:tcPr>
            <w:tcW w:w="660" w:type="dxa"/>
            <w:vAlign w:val="bottom"/>
            <w:shd w:val="clear" w:color="auto" w:fill="CBCEE0"/>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1900" w:type="dxa"/>
            <w:vAlign w:val="bottom"/>
            <w:tcBorders>
              <w:bottom w:val="single" w:sz="8" w:color="0072AF"/>
            </w:tcBorders>
          </w:tcPr>
          <w:p>
            <w:pPr>
              <w:ind w:left="100"/>
              <w:spacing w:after="0"/>
              <w:rPr>
                <w:sz w:val="20"/>
                <w:szCs w:val="20"/>
                <w:color w:val="auto"/>
              </w:rPr>
            </w:pPr>
            <w:r>
              <w:rPr>
                <w:rFonts w:ascii="Arial" w:cs="Arial" w:eastAsia="Arial" w:hAnsi="Arial"/>
                <w:sz w:val="13"/>
                <w:szCs w:val="13"/>
                <w:color w:val="auto"/>
              </w:rPr>
              <w:t>RSUs</w:t>
            </w:r>
            <w:r>
              <w:rPr>
                <w:rFonts w:ascii="Arial" w:cs="Arial" w:eastAsia="Arial" w:hAnsi="Arial"/>
                <w:sz w:val="20"/>
                <w:szCs w:val="20"/>
                <w:color w:val="auto"/>
                <w:vertAlign w:val="superscript"/>
              </w:rPr>
              <w:t>(5)</w:t>
            </w:r>
          </w:p>
        </w:tc>
        <w:tc>
          <w:tcPr>
            <w:tcW w:w="840" w:type="dxa"/>
            <w:vAlign w:val="bottom"/>
            <w:tcBorders>
              <w:bottom w:val="single" w:sz="8" w:color="0072AF"/>
              <w:right w:val="single" w:sz="8" w:color="0072AF"/>
            </w:tcBorders>
          </w:tcPr>
          <w:p>
            <w:pPr>
              <w:jc w:val="center"/>
              <w:ind w:left="17"/>
              <w:spacing w:after="0"/>
              <w:rPr>
                <w:sz w:val="20"/>
                <w:szCs w:val="20"/>
                <w:color w:val="auto"/>
              </w:rPr>
            </w:pPr>
            <w:r>
              <w:rPr>
                <w:rFonts w:ascii="Arial" w:cs="Arial" w:eastAsia="Arial" w:hAnsi="Arial"/>
                <w:sz w:val="13"/>
                <w:szCs w:val="13"/>
                <w:color w:val="auto"/>
                <w:w w:val="96"/>
              </w:rPr>
              <w:t>10/2/2023​</w:t>
            </w:r>
          </w:p>
        </w:tc>
        <w:tc>
          <w:tcPr>
            <w:tcW w:w="620" w:type="dxa"/>
            <w:vAlign w:val="bottom"/>
            <w:tcBorders>
              <w:bottom w:val="single" w:sz="8" w:color="0072AF"/>
            </w:tcBorders>
            <w:shd w:val="clear" w:color="auto" w:fill="CBCEE0"/>
          </w:tcPr>
          <w:p>
            <w:pPr>
              <w:spacing w:after="0"/>
              <w:rPr>
                <w:sz w:val="22"/>
                <w:szCs w:val="22"/>
                <w:color w:val="auto"/>
              </w:rPr>
            </w:pPr>
          </w:p>
        </w:tc>
        <w:tc>
          <w:tcPr>
            <w:tcW w:w="60" w:type="dxa"/>
            <w:vAlign w:val="bottom"/>
            <w:tcBorders>
              <w:bottom w:val="single" w:sz="8" w:color="0072AF"/>
            </w:tcBorders>
            <w:shd w:val="clear" w:color="auto" w:fill="CBCEE0"/>
          </w:tcPr>
          <w:p>
            <w:pPr>
              <w:spacing w:after="0"/>
              <w:rPr>
                <w:sz w:val="22"/>
                <w:szCs w:val="22"/>
                <w:color w:val="auto"/>
              </w:rPr>
            </w:pPr>
          </w:p>
        </w:tc>
        <w:tc>
          <w:tcPr>
            <w:tcW w:w="600" w:type="dxa"/>
            <w:vAlign w:val="bottom"/>
            <w:tcBorders>
              <w:bottom w:val="single" w:sz="8" w:color="0072AF"/>
            </w:tcBorders>
            <w:shd w:val="clear" w:color="auto" w:fill="CBCEE0"/>
          </w:tcPr>
          <w:p>
            <w:pPr>
              <w:spacing w:after="0"/>
              <w:rPr>
                <w:sz w:val="22"/>
                <w:szCs w:val="22"/>
                <w:color w:val="auto"/>
              </w:rPr>
            </w:pPr>
          </w:p>
        </w:tc>
        <w:tc>
          <w:tcPr>
            <w:tcW w:w="620" w:type="dxa"/>
            <w:vAlign w:val="bottom"/>
            <w:tcBorders>
              <w:bottom w:val="single" w:sz="8" w:color="0072AF"/>
            </w:tcBorders>
            <w:shd w:val="clear" w:color="auto" w:fill="CBCEE0"/>
          </w:tcPr>
          <w:p>
            <w:pPr>
              <w:spacing w:after="0"/>
              <w:rPr>
                <w:sz w:val="22"/>
                <w:szCs w:val="22"/>
                <w:color w:val="auto"/>
              </w:rPr>
            </w:pPr>
          </w:p>
        </w:tc>
        <w:tc>
          <w:tcPr>
            <w:tcW w:w="60" w:type="dxa"/>
            <w:vAlign w:val="bottom"/>
            <w:tcBorders>
              <w:bottom w:val="single" w:sz="8" w:color="0072AF"/>
            </w:tcBorders>
            <w:shd w:val="clear" w:color="auto" w:fill="CBCEE0"/>
          </w:tcPr>
          <w:p>
            <w:pPr>
              <w:spacing w:after="0"/>
              <w:rPr>
                <w:sz w:val="22"/>
                <w:szCs w:val="22"/>
                <w:color w:val="auto"/>
              </w:rPr>
            </w:pPr>
          </w:p>
        </w:tc>
        <w:tc>
          <w:tcPr>
            <w:tcW w:w="640" w:type="dxa"/>
            <w:vAlign w:val="bottom"/>
            <w:tcBorders>
              <w:bottom w:val="single" w:sz="8" w:color="0072AF"/>
            </w:tcBorders>
            <w:shd w:val="clear" w:color="auto" w:fill="CBCEE0"/>
          </w:tcPr>
          <w:p>
            <w:pPr>
              <w:spacing w:after="0"/>
              <w:rPr>
                <w:sz w:val="22"/>
                <w:szCs w:val="22"/>
                <w:color w:val="auto"/>
              </w:rPr>
            </w:pPr>
          </w:p>
        </w:tc>
        <w:tc>
          <w:tcPr>
            <w:tcW w:w="520" w:type="dxa"/>
            <w:vAlign w:val="bottom"/>
            <w:tcBorders>
              <w:bottom w:val="single" w:sz="8" w:color="0072AF"/>
            </w:tcBorders>
            <w:shd w:val="clear" w:color="auto" w:fill="CBCEE0"/>
          </w:tcPr>
          <w:p>
            <w:pPr>
              <w:jc w:val="right"/>
              <w:spacing w:after="0"/>
              <w:rPr>
                <w:sz w:val="20"/>
                <w:szCs w:val="20"/>
                <w:color w:val="auto"/>
              </w:rPr>
            </w:pPr>
            <w:r>
              <w:rPr>
                <w:rFonts w:ascii="Arial" w:cs="Arial" w:eastAsia="Arial" w:hAnsi="Arial"/>
                <w:sz w:val="13"/>
                <w:szCs w:val="13"/>
                <w:color w:val="auto"/>
              </w:rPr>
              <w:t>57,307</w:t>
            </w:r>
          </w:p>
        </w:tc>
        <w:tc>
          <w:tcPr>
            <w:tcW w:w="620" w:type="dxa"/>
            <w:vAlign w:val="bottom"/>
            <w:tcBorders>
              <w:bottom w:val="single" w:sz="8" w:color="0072AF"/>
            </w:tcBorders>
            <w:shd w:val="clear" w:color="auto" w:fill="CBCEE0"/>
          </w:tcPr>
          <w:p>
            <w:pPr>
              <w:spacing w:after="0"/>
              <w:rPr>
                <w:sz w:val="22"/>
                <w:szCs w:val="22"/>
                <w:color w:val="auto"/>
              </w:rPr>
            </w:pPr>
          </w:p>
        </w:tc>
        <w:tc>
          <w:tcPr>
            <w:tcW w:w="740" w:type="dxa"/>
            <w:vAlign w:val="bottom"/>
            <w:tcBorders>
              <w:bottom w:val="single" w:sz="8" w:color="0072AF"/>
            </w:tcBorders>
            <w:shd w:val="clear" w:color="auto" w:fill="CBCEE0"/>
          </w:tcPr>
          <w:p>
            <w:pPr>
              <w:spacing w:after="0"/>
              <w:rPr>
                <w:sz w:val="22"/>
                <w:szCs w:val="22"/>
                <w:color w:val="auto"/>
              </w:rPr>
            </w:pPr>
          </w:p>
        </w:tc>
        <w:tc>
          <w:tcPr>
            <w:tcW w:w="720" w:type="dxa"/>
            <w:vAlign w:val="bottom"/>
            <w:tcBorders>
              <w:bottom w:val="single" w:sz="8" w:color="0072AF"/>
            </w:tcBorders>
            <w:shd w:val="clear" w:color="auto" w:fill="CBCEE0"/>
          </w:tcPr>
          <w:p>
            <w:pPr>
              <w:spacing w:after="0"/>
              <w:rPr>
                <w:sz w:val="22"/>
                <w:szCs w:val="22"/>
                <w:color w:val="auto"/>
              </w:rPr>
            </w:pPr>
          </w:p>
        </w:tc>
        <w:tc>
          <w:tcPr>
            <w:tcW w:w="580" w:type="dxa"/>
            <w:vAlign w:val="bottom"/>
            <w:tcBorders>
              <w:bottom w:val="single" w:sz="8" w:color="0072AF"/>
            </w:tcBorders>
            <w:shd w:val="clear" w:color="auto" w:fill="CBCEE0"/>
          </w:tcPr>
          <w:p>
            <w:pPr>
              <w:spacing w:after="0"/>
              <w:rPr>
                <w:sz w:val="22"/>
                <w:szCs w:val="22"/>
                <w:color w:val="auto"/>
              </w:rPr>
            </w:pPr>
          </w:p>
        </w:tc>
        <w:tc>
          <w:tcPr>
            <w:tcW w:w="660" w:type="dxa"/>
            <w:vAlign w:val="bottom"/>
            <w:tcBorders>
              <w:bottom w:val="single" w:sz="8" w:color="0072AF"/>
            </w:tcBorders>
            <w:shd w:val="clear" w:color="auto" w:fill="CBCEE0"/>
          </w:tcPr>
          <w:p>
            <w:pPr>
              <w:jc w:val="right"/>
              <w:spacing w:after="0"/>
              <w:rPr>
                <w:sz w:val="20"/>
                <w:szCs w:val="20"/>
                <w:color w:val="auto"/>
              </w:rPr>
            </w:pPr>
            <w:r>
              <w:rPr>
                <w:rFonts w:ascii="Arial" w:cs="Arial" w:eastAsia="Arial" w:hAnsi="Arial"/>
                <w:sz w:val="13"/>
                <w:szCs w:val="13"/>
                <w:color w:val="auto"/>
              </w:rPr>
              <w:t>183,955</w:t>
            </w:r>
          </w:p>
        </w:tc>
        <w:tc>
          <w:tcPr>
            <w:tcW w:w="0" w:type="dxa"/>
            <w:vAlign w:val="bottom"/>
          </w:tcPr>
          <w:p>
            <w:pPr>
              <w:spacing w:after="0"/>
              <w:rPr>
                <w:sz w:val="1"/>
                <w:szCs w:val="1"/>
                <w:color w:val="auto"/>
              </w:rPr>
            </w:pPr>
          </w:p>
        </w:tc>
      </w:tr>
      <w:tr>
        <w:trPr>
          <w:trHeight w:val="215"/>
        </w:trPr>
        <w:tc>
          <w:tcPr>
            <w:tcW w:w="1900" w:type="dxa"/>
            <w:vAlign w:val="bottom"/>
          </w:tcPr>
          <w:p>
            <w:pPr>
              <w:ind w:left="100"/>
              <w:spacing w:after="0"/>
              <w:rPr>
                <w:sz w:val="20"/>
                <w:szCs w:val="20"/>
                <w:color w:val="auto"/>
              </w:rPr>
            </w:pPr>
            <w:r>
              <w:rPr>
                <w:rFonts w:ascii="Arial" w:cs="Arial" w:eastAsia="Arial" w:hAnsi="Arial"/>
                <w:sz w:val="13"/>
                <w:szCs w:val="13"/>
                <w:b w:val="1"/>
                <w:bCs w:val="1"/>
                <w:color w:val="auto"/>
              </w:rPr>
              <w:t>Ana Chadwick</w:t>
            </w:r>
          </w:p>
        </w:tc>
        <w:tc>
          <w:tcPr>
            <w:tcW w:w="840" w:type="dxa"/>
            <w:vAlign w:val="bottom"/>
            <w:tcBorders>
              <w:right w:val="single" w:sz="8" w:color="0072AF"/>
            </w:tcBorders>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1900" w:type="dxa"/>
            <w:vAlign w:val="bottom"/>
          </w:tcPr>
          <w:p>
            <w:pPr>
              <w:ind w:left="100"/>
              <w:spacing w:after="0"/>
              <w:rPr>
                <w:sz w:val="20"/>
                <w:szCs w:val="20"/>
                <w:color w:val="auto"/>
              </w:rPr>
            </w:pPr>
            <w:r>
              <w:rPr>
                <w:rFonts w:ascii="Arial" w:cs="Arial" w:eastAsia="Arial" w:hAnsi="Arial"/>
                <w:sz w:val="13"/>
                <w:szCs w:val="13"/>
                <w:color w:val="auto"/>
              </w:rPr>
              <w:t>Annual Incentive</w:t>
            </w:r>
            <w:r>
              <w:rPr>
                <w:rFonts w:ascii="Arial" w:cs="Arial" w:eastAsia="Arial" w:hAnsi="Arial"/>
                <w:sz w:val="20"/>
                <w:szCs w:val="20"/>
                <w:color w:val="auto"/>
                <w:vertAlign w:val="superscript"/>
              </w:rPr>
              <w:t>(2)</w:t>
            </w:r>
          </w:p>
        </w:tc>
        <w:tc>
          <w:tcPr>
            <w:tcW w:w="840" w:type="dxa"/>
            <w:vAlign w:val="bottom"/>
            <w:tcBorders>
              <w:right w:val="single" w:sz="8" w:color="0072AF"/>
            </w:tcBorders>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73,202</w:t>
            </w:r>
          </w:p>
        </w:tc>
        <w:tc>
          <w:tcPr>
            <w:tcW w:w="660" w:type="dxa"/>
            <w:vAlign w:val="bottom"/>
            <w:gridSpan w:val="2"/>
          </w:tcPr>
          <w:p>
            <w:pPr>
              <w:ind w:left="160"/>
              <w:spacing w:after="0"/>
              <w:rPr>
                <w:sz w:val="20"/>
                <w:szCs w:val="20"/>
                <w:color w:val="auto"/>
              </w:rPr>
            </w:pPr>
            <w:r>
              <w:rPr>
                <w:rFonts w:ascii="Arial" w:cs="Arial" w:eastAsia="Arial" w:hAnsi="Arial"/>
                <w:sz w:val="13"/>
                <w:szCs w:val="13"/>
                <w:color w:val="auto"/>
              </w:rPr>
              <w:t>488,014</w:t>
            </w:r>
          </w:p>
        </w:tc>
        <w:tc>
          <w:tcPr>
            <w:tcW w:w="620" w:type="dxa"/>
            <w:vAlign w:val="bottom"/>
          </w:tcPr>
          <w:p>
            <w:pPr>
              <w:jc w:val="right"/>
              <w:spacing w:after="0"/>
              <w:rPr>
                <w:sz w:val="20"/>
                <w:szCs w:val="20"/>
                <w:color w:val="auto"/>
              </w:rPr>
            </w:pPr>
            <w:r>
              <w:rPr>
                <w:rFonts w:ascii="Arial" w:cs="Arial" w:eastAsia="Arial" w:hAnsi="Arial"/>
                <w:sz w:val="13"/>
                <w:szCs w:val="13"/>
                <w:color w:val="auto"/>
              </w:rPr>
              <w:t>780,823</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tcPr>
          <w:p>
            <w:pPr>
              <w:ind w:left="100"/>
              <w:spacing w:after="0"/>
              <w:rPr>
                <w:sz w:val="20"/>
                <w:szCs w:val="20"/>
                <w:color w:val="auto"/>
              </w:rPr>
            </w:pPr>
            <w:r>
              <w:rPr>
                <w:rFonts w:ascii="Arial" w:cs="Arial" w:eastAsia="Arial" w:hAnsi="Arial"/>
                <w:sz w:val="13"/>
                <w:szCs w:val="13"/>
                <w:color w:val="auto"/>
              </w:rPr>
              <w:t>Cash Incentive Units</w:t>
            </w:r>
            <w:r>
              <w:rPr>
                <w:rFonts w:ascii="Arial" w:cs="Arial" w:eastAsia="Arial" w:hAnsi="Arial"/>
                <w:sz w:val="20"/>
                <w:szCs w:val="20"/>
                <w:color w:val="auto"/>
                <w:vertAlign w:val="superscript"/>
              </w:rPr>
              <w:t>(3)</w:t>
            </w:r>
          </w:p>
        </w:tc>
        <w:tc>
          <w:tcPr>
            <w:tcW w:w="840" w:type="dxa"/>
            <w:vAlign w:val="bottom"/>
            <w:tcBorders>
              <w:right w:val="single" w:sz="8" w:color="0072AF"/>
            </w:tcBorders>
          </w:tcPr>
          <w:p>
            <w:pPr>
              <w:jc w:val="center"/>
              <w:ind w:left="17"/>
              <w:spacing w:after="0"/>
              <w:rPr>
                <w:sz w:val="20"/>
                <w:szCs w:val="20"/>
                <w:color w:val="auto"/>
              </w:rPr>
            </w:pPr>
            <w:r>
              <w:rPr>
                <w:rFonts w:ascii="Arial" w:cs="Arial" w:eastAsia="Arial" w:hAnsi="Arial"/>
                <w:sz w:val="13"/>
                <w:szCs w:val="13"/>
                <w:color w:val="auto"/>
                <w:w w:val="96"/>
              </w:rPr>
              <w:t>2/14/2023</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37,125</w:t>
            </w:r>
          </w:p>
        </w:tc>
        <w:tc>
          <w:tcPr>
            <w:tcW w:w="660" w:type="dxa"/>
            <w:vAlign w:val="bottom"/>
            <w:gridSpan w:val="2"/>
          </w:tcPr>
          <w:p>
            <w:pPr>
              <w:ind w:left="160"/>
              <w:spacing w:after="0"/>
              <w:rPr>
                <w:sz w:val="20"/>
                <w:szCs w:val="20"/>
                <w:color w:val="auto"/>
              </w:rPr>
            </w:pPr>
            <w:r>
              <w:rPr>
                <w:rFonts w:ascii="Arial" w:cs="Arial" w:eastAsia="Arial" w:hAnsi="Arial"/>
                <w:sz w:val="13"/>
                <w:szCs w:val="13"/>
                <w:color w:val="auto"/>
              </w:rPr>
              <w:t>750,000</w:t>
            </w:r>
          </w:p>
        </w:tc>
        <w:tc>
          <w:tcPr>
            <w:tcW w:w="620" w:type="dxa"/>
            <w:vAlign w:val="bottom"/>
          </w:tcPr>
          <w:p>
            <w:pPr>
              <w:jc w:val="center"/>
              <w:spacing w:after="0"/>
              <w:rPr>
                <w:sz w:val="20"/>
                <w:szCs w:val="20"/>
                <w:color w:val="auto"/>
              </w:rPr>
            </w:pPr>
            <w:r>
              <w:rPr>
                <w:rFonts w:ascii="Arial" w:cs="Arial" w:eastAsia="Arial" w:hAnsi="Arial"/>
                <w:sz w:val="13"/>
                <w:szCs w:val="13"/>
                <w:color w:val="auto"/>
                <w:w w:val="96"/>
              </w:rPr>
              <w:t>1,500,000</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00" w:type="dxa"/>
            <w:vAlign w:val="bottom"/>
            <w:tcBorders>
              <w:bottom w:val="single" w:sz="8" w:color="0072AF"/>
            </w:tcBorders>
          </w:tcPr>
          <w:p>
            <w:pPr>
              <w:ind w:left="100"/>
              <w:spacing w:after="0"/>
              <w:rPr>
                <w:sz w:val="20"/>
                <w:szCs w:val="20"/>
                <w:color w:val="auto"/>
              </w:rPr>
            </w:pPr>
            <w:r>
              <w:rPr>
                <w:rFonts w:ascii="Arial" w:cs="Arial" w:eastAsia="Arial" w:hAnsi="Arial"/>
                <w:sz w:val="13"/>
                <w:szCs w:val="13"/>
                <w:color w:val="auto"/>
              </w:rPr>
              <w:t>Performance-Based RSUs</w:t>
            </w:r>
            <w:r>
              <w:rPr>
                <w:rFonts w:ascii="Arial" w:cs="Arial" w:eastAsia="Arial" w:hAnsi="Arial"/>
                <w:sz w:val="20"/>
                <w:szCs w:val="20"/>
                <w:color w:val="auto"/>
                <w:vertAlign w:val="superscript"/>
              </w:rPr>
              <w:t>(4)</w:t>
            </w:r>
          </w:p>
        </w:tc>
        <w:tc>
          <w:tcPr>
            <w:tcW w:w="840" w:type="dxa"/>
            <w:vAlign w:val="bottom"/>
            <w:tcBorders>
              <w:bottom w:val="single" w:sz="8" w:color="0072AF"/>
              <w:right w:val="single" w:sz="8" w:color="0072AF"/>
            </w:tcBorders>
          </w:tcPr>
          <w:p>
            <w:pPr>
              <w:jc w:val="center"/>
              <w:ind w:left="17"/>
              <w:spacing w:after="0"/>
              <w:rPr>
                <w:sz w:val="20"/>
                <w:szCs w:val="20"/>
                <w:color w:val="auto"/>
              </w:rPr>
            </w:pPr>
            <w:r>
              <w:rPr>
                <w:rFonts w:ascii="Arial" w:cs="Arial" w:eastAsia="Arial" w:hAnsi="Arial"/>
                <w:sz w:val="13"/>
                <w:szCs w:val="13"/>
                <w:color w:val="auto"/>
                <w:w w:val="96"/>
              </w:rPr>
              <w:t>2/14/2023</w:t>
            </w:r>
          </w:p>
        </w:tc>
        <w:tc>
          <w:tcPr>
            <w:tcW w:w="620" w:type="dxa"/>
            <w:vAlign w:val="bottom"/>
            <w:tcBorders>
              <w:bottom w:val="single" w:sz="8" w:color="0072AF"/>
            </w:tcBorders>
          </w:tcPr>
          <w:p>
            <w:pPr>
              <w:spacing w:after="0"/>
              <w:rPr>
                <w:sz w:val="22"/>
                <w:szCs w:val="22"/>
                <w:color w:val="auto"/>
              </w:rPr>
            </w:pPr>
          </w:p>
        </w:tc>
        <w:tc>
          <w:tcPr>
            <w:tcW w:w="60" w:type="dxa"/>
            <w:vAlign w:val="bottom"/>
            <w:tcBorders>
              <w:bottom w:val="single" w:sz="8" w:color="0072AF"/>
            </w:tcBorders>
          </w:tcPr>
          <w:p>
            <w:pPr>
              <w:spacing w:after="0"/>
              <w:rPr>
                <w:sz w:val="22"/>
                <w:szCs w:val="22"/>
                <w:color w:val="auto"/>
              </w:rPr>
            </w:pPr>
          </w:p>
        </w:tc>
        <w:tc>
          <w:tcPr>
            <w:tcW w:w="600" w:type="dxa"/>
            <w:vAlign w:val="bottom"/>
            <w:tcBorders>
              <w:bottom w:val="single" w:sz="8" w:color="0072AF"/>
            </w:tcBorders>
          </w:tcPr>
          <w:p>
            <w:pPr>
              <w:spacing w:after="0"/>
              <w:rPr>
                <w:sz w:val="22"/>
                <w:szCs w:val="22"/>
                <w:color w:val="auto"/>
              </w:rPr>
            </w:pPr>
          </w:p>
        </w:tc>
        <w:tc>
          <w:tcPr>
            <w:tcW w:w="620" w:type="dxa"/>
            <w:vAlign w:val="bottom"/>
            <w:tcBorders>
              <w:bottom w:val="single" w:sz="8" w:color="0072AF"/>
            </w:tcBorders>
          </w:tcPr>
          <w:p>
            <w:pPr>
              <w:spacing w:after="0"/>
              <w:rPr>
                <w:sz w:val="22"/>
                <w:szCs w:val="22"/>
                <w:color w:val="auto"/>
              </w:rPr>
            </w:pPr>
          </w:p>
        </w:tc>
        <w:tc>
          <w:tcPr>
            <w:tcW w:w="60" w:type="dxa"/>
            <w:vAlign w:val="bottom"/>
            <w:tcBorders>
              <w:bottom w:val="single" w:sz="8" w:color="0072AF"/>
            </w:tcBorders>
          </w:tcPr>
          <w:p>
            <w:pPr>
              <w:spacing w:after="0"/>
              <w:rPr>
                <w:sz w:val="22"/>
                <w:szCs w:val="22"/>
                <w:color w:val="auto"/>
              </w:rPr>
            </w:pPr>
          </w:p>
        </w:tc>
        <w:tc>
          <w:tcPr>
            <w:tcW w:w="640" w:type="dxa"/>
            <w:vAlign w:val="bottom"/>
            <w:tcBorders>
              <w:bottom w:val="single" w:sz="8" w:color="0072AF"/>
            </w:tcBorders>
          </w:tcPr>
          <w:p>
            <w:pPr>
              <w:spacing w:after="0"/>
              <w:rPr>
                <w:sz w:val="22"/>
                <w:szCs w:val="22"/>
                <w:color w:val="auto"/>
              </w:rPr>
            </w:pPr>
          </w:p>
        </w:tc>
        <w:tc>
          <w:tcPr>
            <w:tcW w:w="520" w:type="dxa"/>
            <w:vAlign w:val="bottom"/>
            <w:tcBorders>
              <w:bottom w:val="single" w:sz="8" w:color="0072AF"/>
            </w:tcBorders>
          </w:tcPr>
          <w:p>
            <w:pPr>
              <w:jc w:val="right"/>
              <w:spacing w:after="0"/>
              <w:rPr>
                <w:sz w:val="20"/>
                <w:szCs w:val="20"/>
                <w:color w:val="auto"/>
              </w:rPr>
            </w:pPr>
            <w:r>
              <w:rPr>
                <w:rFonts w:ascii="Arial" w:cs="Arial" w:eastAsia="Arial" w:hAnsi="Arial"/>
                <w:sz w:val="13"/>
                <w:szCs w:val="13"/>
                <w:color w:val="auto"/>
                <w:w w:val="97"/>
              </w:rPr>
              <w:t>114,155</w:t>
            </w:r>
          </w:p>
        </w:tc>
        <w:tc>
          <w:tcPr>
            <w:tcW w:w="620" w:type="dxa"/>
            <w:vAlign w:val="bottom"/>
            <w:tcBorders>
              <w:bottom w:val="single" w:sz="8" w:color="0072AF"/>
            </w:tcBorders>
          </w:tcPr>
          <w:p>
            <w:pPr>
              <w:spacing w:after="0"/>
              <w:rPr>
                <w:sz w:val="22"/>
                <w:szCs w:val="22"/>
                <w:color w:val="auto"/>
              </w:rPr>
            </w:pPr>
          </w:p>
        </w:tc>
        <w:tc>
          <w:tcPr>
            <w:tcW w:w="740" w:type="dxa"/>
            <w:vAlign w:val="bottom"/>
            <w:tcBorders>
              <w:bottom w:val="single" w:sz="8" w:color="0072AF"/>
            </w:tcBorders>
          </w:tcPr>
          <w:p>
            <w:pPr>
              <w:spacing w:after="0"/>
              <w:rPr>
                <w:sz w:val="22"/>
                <w:szCs w:val="22"/>
                <w:color w:val="auto"/>
              </w:rPr>
            </w:pPr>
          </w:p>
        </w:tc>
        <w:tc>
          <w:tcPr>
            <w:tcW w:w="720" w:type="dxa"/>
            <w:vAlign w:val="bottom"/>
            <w:tcBorders>
              <w:bottom w:val="single" w:sz="8" w:color="0072AF"/>
            </w:tcBorders>
          </w:tcPr>
          <w:p>
            <w:pPr>
              <w:spacing w:after="0"/>
              <w:rPr>
                <w:sz w:val="22"/>
                <w:szCs w:val="22"/>
                <w:color w:val="auto"/>
              </w:rPr>
            </w:pPr>
          </w:p>
        </w:tc>
        <w:tc>
          <w:tcPr>
            <w:tcW w:w="580" w:type="dxa"/>
            <w:vAlign w:val="bottom"/>
            <w:tcBorders>
              <w:bottom w:val="single" w:sz="8" w:color="0072AF"/>
            </w:tcBorders>
          </w:tcPr>
          <w:p>
            <w:pPr>
              <w:spacing w:after="0"/>
              <w:rPr>
                <w:sz w:val="22"/>
                <w:szCs w:val="22"/>
                <w:color w:val="auto"/>
              </w:rPr>
            </w:pPr>
          </w:p>
        </w:tc>
        <w:tc>
          <w:tcPr>
            <w:tcW w:w="660" w:type="dxa"/>
            <w:vAlign w:val="bottom"/>
            <w:tcBorders>
              <w:bottom w:val="single" w:sz="8" w:color="0072AF"/>
            </w:tcBorders>
          </w:tcPr>
          <w:p>
            <w:pPr>
              <w:jc w:val="right"/>
              <w:spacing w:after="0"/>
              <w:rPr>
                <w:sz w:val="20"/>
                <w:szCs w:val="20"/>
                <w:color w:val="auto"/>
              </w:rPr>
            </w:pPr>
            <w:r>
              <w:rPr>
                <w:rFonts w:ascii="Arial" w:cs="Arial" w:eastAsia="Arial" w:hAnsi="Arial"/>
                <w:sz w:val="13"/>
                <w:szCs w:val="13"/>
                <w:color w:val="auto"/>
              </w:rPr>
              <w:t>457,762</w:t>
            </w:r>
          </w:p>
        </w:tc>
        <w:tc>
          <w:tcPr>
            <w:tcW w:w="0" w:type="dxa"/>
            <w:vAlign w:val="bottom"/>
          </w:tcPr>
          <w:p>
            <w:pPr>
              <w:spacing w:after="0"/>
              <w:rPr>
                <w:sz w:val="1"/>
                <w:szCs w:val="1"/>
                <w:color w:val="auto"/>
              </w:rPr>
            </w:pPr>
          </w:p>
        </w:tc>
      </w:tr>
      <w:tr>
        <w:trPr>
          <w:trHeight w:val="215"/>
        </w:trPr>
        <w:tc>
          <w:tcPr>
            <w:tcW w:w="1900" w:type="dxa"/>
            <w:vAlign w:val="bottom"/>
          </w:tcPr>
          <w:p>
            <w:pPr>
              <w:ind w:left="100"/>
              <w:spacing w:after="0"/>
              <w:rPr>
                <w:sz w:val="20"/>
                <w:szCs w:val="20"/>
                <w:color w:val="auto"/>
              </w:rPr>
            </w:pPr>
            <w:r>
              <w:rPr>
                <w:rFonts w:ascii="Arial" w:cs="Arial" w:eastAsia="Arial" w:hAnsi="Arial"/>
                <w:sz w:val="13"/>
                <w:szCs w:val="13"/>
                <w:b w:val="1"/>
                <w:bCs w:val="1"/>
                <w:color w:val="auto"/>
              </w:rPr>
              <w:t>Gregg Zegras</w:t>
            </w:r>
          </w:p>
        </w:tc>
        <w:tc>
          <w:tcPr>
            <w:tcW w:w="840" w:type="dxa"/>
            <w:vAlign w:val="bottom"/>
            <w:tcBorders>
              <w:right w:val="single" w:sz="8" w:color="0072AF"/>
            </w:tcBorders>
          </w:tcPr>
          <w:p>
            <w:pPr>
              <w:spacing w:after="0"/>
              <w:rPr>
                <w:sz w:val="18"/>
                <w:szCs w:val="18"/>
                <w:color w:val="auto"/>
              </w:rPr>
            </w:pPr>
          </w:p>
        </w:tc>
        <w:tc>
          <w:tcPr>
            <w:tcW w:w="620" w:type="dxa"/>
            <w:vAlign w:val="bottom"/>
            <w:shd w:val="clear" w:color="auto" w:fill="CBCEE0"/>
          </w:tcPr>
          <w:p>
            <w:pPr>
              <w:spacing w:after="0"/>
              <w:rPr>
                <w:sz w:val="18"/>
                <w:szCs w:val="18"/>
                <w:color w:val="auto"/>
              </w:rPr>
            </w:pPr>
          </w:p>
        </w:tc>
        <w:tc>
          <w:tcPr>
            <w:tcW w:w="60" w:type="dxa"/>
            <w:vAlign w:val="bottom"/>
            <w:shd w:val="clear" w:color="auto" w:fill="CBCEE0"/>
          </w:tcPr>
          <w:p>
            <w:pPr>
              <w:spacing w:after="0"/>
              <w:rPr>
                <w:sz w:val="18"/>
                <w:szCs w:val="18"/>
                <w:color w:val="auto"/>
              </w:rPr>
            </w:pPr>
          </w:p>
        </w:tc>
        <w:tc>
          <w:tcPr>
            <w:tcW w:w="600" w:type="dxa"/>
            <w:vAlign w:val="bottom"/>
            <w:shd w:val="clear" w:color="auto" w:fill="CBCEE0"/>
          </w:tcPr>
          <w:p>
            <w:pPr>
              <w:spacing w:after="0"/>
              <w:rPr>
                <w:sz w:val="18"/>
                <w:szCs w:val="18"/>
                <w:color w:val="auto"/>
              </w:rPr>
            </w:pPr>
          </w:p>
        </w:tc>
        <w:tc>
          <w:tcPr>
            <w:tcW w:w="620" w:type="dxa"/>
            <w:vAlign w:val="bottom"/>
            <w:shd w:val="clear" w:color="auto" w:fill="CBCEE0"/>
          </w:tcPr>
          <w:p>
            <w:pPr>
              <w:spacing w:after="0"/>
              <w:rPr>
                <w:sz w:val="18"/>
                <w:szCs w:val="18"/>
                <w:color w:val="auto"/>
              </w:rPr>
            </w:pPr>
          </w:p>
        </w:tc>
        <w:tc>
          <w:tcPr>
            <w:tcW w:w="60" w:type="dxa"/>
            <w:vAlign w:val="bottom"/>
            <w:shd w:val="clear" w:color="auto" w:fill="CBCEE0"/>
          </w:tcPr>
          <w:p>
            <w:pPr>
              <w:spacing w:after="0"/>
              <w:rPr>
                <w:sz w:val="18"/>
                <w:szCs w:val="18"/>
                <w:color w:val="auto"/>
              </w:rPr>
            </w:pPr>
          </w:p>
        </w:tc>
        <w:tc>
          <w:tcPr>
            <w:tcW w:w="640" w:type="dxa"/>
            <w:vAlign w:val="bottom"/>
            <w:shd w:val="clear" w:color="auto" w:fill="CBCEE0"/>
          </w:tcPr>
          <w:p>
            <w:pPr>
              <w:spacing w:after="0"/>
              <w:rPr>
                <w:sz w:val="18"/>
                <w:szCs w:val="18"/>
                <w:color w:val="auto"/>
              </w:rPr>
            </w:pPr>
          </w:p>
        </w:tc>
        <w:tc>
          <w:tcPr>
            <w:tcW w:w="520" w:type="dxa"/>
            <w:vAlign w:val="bottom"/>
            <w:shd w:val="clear" w:color="auto" w:fill="CBCEE0"/>
          </w:tcPr>
          <w:p>
            <w:pPr>
              <w:spacing w:after="0"/>
              <w:rPr>
                <w:sz w:val="18"/>
                <w:szCs w:val="18"/>
                <w:color w:val="auto"/>
              </w:rPr>
            </w:pPr>
          </w:p>
        </w:tc>
        <w:tc>
          <w:tcPr>
            <w:tcW w:w="620" w:type="dxa"/>
            <w:vAlign w:val="bottom"/>
            <w:shd w:val="clear" w:color="auto" w:fill="CBCEE0"/>
          </w:tcPr>
          <w:p>
            <w:pPr>
              <w:spacing w:after="0"/>
              <w:rPr>
                <w:sz w:val="18"/>
                <w:szCs w:val="18"/>
                <w:color w:val="auto"/>
              </w:rPr>
            </w:pPr>
          </w:p>
        </w:tc>
        <w:tc>
          <w:tcPr>
            <w:tcW w:w="740" w:type="dxa"/>
            <w:vAlign w:val="bottom"/>
            <w:shd w:val="clear" w:color="auto" w:fill="CBCEE0"/>
          </w:tcPr>
          <w:p>
            <w:pPr>
              <w:spacing w:after="0"/>
              <w:rPr>
                <w:sz w:val="18"/>
                <w:szCs w:val="18"/>
                <w:color w:val="auto"/>
              </w:rPr>
            </w:pPr>
          </w:p>
        </w:tc>
        <w:tc>
          <w:tcPr>
            <w:tcW w:w="720" w:type="dxa"/>
            <w:vAlign w:val="bottom"/>
            <w:shd w:val="clear" w:color="auto" w:fill="CBCEE0"/>
          </w:tcPr>
          <w:p>
            <w:pPr>
              <w:spacing w:after="0"/>
              <w:rPr>
                <w:sz w:val="18"/>
                <w:szCs w:val="18"/>
                <w:color w:val="auto"/>
              </w:rPr>
            </w:pPr>
          </w:p>
        </w:tc>
        <w:tc>
          <w:tcPr>
            <w:tcW w:w="580" w:type="dxa"/>
            <w:vAlign w:val="bottom"/>
            <w:shd w:val="clear" w:color="auto" w:fill="CBCEE0"/>
          </w:tcPr>
          <w:p>
            <w:pPr>
              <w:spacing w:after="0"/>
              <w:rPr>
                <w:sz w:val="18"/>
                <w:szCs w:val="18"/>
                <w:color w:val="auto"/>
              </w:rPr>
            </w:pPr>
          </w:p>
        </w:tc>
        <w:tc>
          <w:tcPr>
            <w:tcW w:w="660" w:type="dxa"/>
            <w:vAlign w:val="bottom"/>
            <w:shd w:val="clear" w:color="auto" w:fill="CBCEE0"/>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1900" w:type="dxa"/>
            <w:vAlign w:val="bottom"/>
          </w:tcPr>
          <w:p>
            <w:pPr>
              <w:ind w:left="100"/>
              <w:spacing w:after="0"/>
              <w:rPr>
                <w:sz w:val="20"/>
                <w:szCs w:val="20"/>
                <w:color w:val="auto"/>
              </w:rPr>
            </w:pPr>
            <w:r>
              <w:rPr>
                <w:rFonts w:ascii="Arial" w:cs="Arial" w:eastAsia="Arial" w:hAnsi="Arial"/>
                <w:sz w:val="13"/>
                <w:szCs w:val="13"/>
                <w:color w:val="auto"/>
              </w:rPr>
              <w:t>Annual Incentive</w:t>
            </w:r>
            <w:r>
              <w:rPr>
                <w:rFonts w:ascii="Arial" w:cs="Arial" w:eastAsia="Arial" w:hAnsi="Arial"/>
                <w:sz w:val="20"/>
                <w:szCs w:val="20"/>
                <w:color w:val="auto"/>
                <w:vertAlign w:val="superscript"/>
              </w:rPr>
              <w:t>(2)</w:t>
            </w:r>
          </w:p>
        </w:tc>
        <w:tc>
          <w:tcPr>
            <w:tcW w:w="840" w:type="dxa"/>
            <w:vAlign w:val="bottom"/>
            <w:tcBorders>
              <w:right w:val="single" w:sz="8" w:color="0072AF"/>
            </w:tcBorders>
          </w:tcPr>
          <w:p>
            <w:pPr>
              <w:spacing w:after="0"/>
              <w:rPr>
                <w:sz w:val="24"/>
                <w:szCs w:val="24"/>
                <w:color w:val="auto"/>
              </w:rPr>
            </w:pPr>
          </w:p>
        </w:tc>
        <w:tc>
          <w:tcPr>
            <w:tcW w:w="620" w:type="dxa"/>
            <w:vAlign w:val="bottom"/>
            <w:shd w:val="clear" w:color="auto" w:fill="CBCEE0"/>
          </w:tcPr>
          <w:p>
            <w:pPr>
              <w:jc w:val="center"/>
              <w:spacing w:after="0"/>
              <w:rPr>
                <w:sz w:val="20"/>
                <w:szCs w:val="20"/>
                <w:color w:val="auto"/>
              </w:rPr>
            </w:pPr>
            <w:r>
              <w:rPr>
                <w:rFonts w:ascii="Arial" w:cs="Arial" w:eastAsia="Arial" w:hAnsi="Arial"/>
                <w:sz w:val="13"/>
                <w:szCs w:val="13"/>
                <w:color w:val="auto"/>
                <w:w w:val="97"/>
              </w:rPr>
              <w:t>102,720</w:t>
            </w:r>
          </w:p>
        </w:tc>
        <w:tc>
          <w:tcPr>
            <w:tcW w:w="660" w:type="dxa"/>
            <w:vAlign w:val="bottom"/>
            <w:gridSpan w:val="2"/>
            <w:shd w:val="clear" w:color="auto" w:fill="CBCEE0"/>
          </w:tcPr>
          <w:p>
            <w:pPr>
              <w:ind w:left="160"/>
              <w:spacing w:after="0"/>
              <w:rPr>
                <w:sz w:val="20"/>
                <w:szCs w:val="20"/>
                <w:color w:val="auto"/>
              </w:rPr>
            </w:pPr>
            <w:r>
              <w:rPr>
                <w:rFonts w:ascii="Arial" w:cs="Arial" w:eastAsia="Arial" w:hAnsi="Arial"/>
                <w:sz w:val="13"/>
                <w:szCs w:val="13"/>
                <w:color w:val="auto"/>
              </w:rPr>
              <w:t>684,800</w:t>
            </w:r>
          </w:p>
        </w:tc>
        <w:tc>
          <w:tcPr>
            <w:tcW w:w="620" w:type="dxa"/>
            <w:vAlign w:val="bottom"/>
            <w:shd w:val="clear" w:color="auto" w:fill="CBCEE0"/>
          </w:tcPr>
          <w:p>
            <w:pPr>
              <w:jc w:val="center"/>
              <w:spacing w:after="0"/>
              <w:rPr>
                <w:sz w:val="20"/>
                <w:szCs w:val="20"/>
                <w:color w:val="auto"/>
              </w:rPr>
            </w:pPr>
            <w:r>
              <w:rPr>
                <w:rFonts w:ascii="Arial" w:cs="Arial" w:eastAsia="Arial" w:hAnsi="Arial"/>
                <w:sz w:val="13"/>
                <w:szCs w:val="13"/>
                <w:color w:val="auto"/>
                <w:w w:val="96"/>
              </w:rPr>
              <w:t>1,095,680</w:t>
            </w:r>
          </w:p>
        </w:tc>
        <w:tc>
          <w:tcPr>
            <w:tcW w:w="60" w:type="dxa"/>
            <w:vAlign w:val="bottom"/>
            <w:shd w:val="clear" w:color="auto" w:fill="CBCEE0"/>
          </w:tcPr>
          <w:p>
            <w:pPr>
              <w:spacing w:after="0"/>
              <w:rPr>
                <w:sz w:val="24"/>
                <w:szCs w:val="24"/>
                <w:color w:val="auto"/>
              </w:rPr>
            </w:pPr>
          </w:p>
        </w:tc>
        <w:tc>
          <w:tcPr>
            <w:tcW w:w="640" w:type="dxa"/>
            <w:vAlign w:val="bottom"/>
            <w:shd w:val="clear" w:color="auto" w:fill="CBCEE0"/>
          </w:tcPr>
          <w:p>
            <w:pPr>
              <w:spacing w:after="0"/>
              <w:rPr>
                <w:sz w:val="24"/>
                <w:szCs w:val="24"/>
                <w:color w:val="auto"/>
              </w:rPr>
            </w:pPr>
          </w:p>
        </w:tc>
        <w:tc>
          <w:tcPr>
            <w:tcW w:w="520" w:type="dxa"/>
            <w:vAlign w:val="bottom"/>
            <w:shd w:val="clear" w:color="auto" w:fill="CBCEE0"/>
          </w:tcPr>
          <w:p>
            <w:pPr>
              <w:spacing w:after="0"/>
              <w:rPr>
                <w:sz w:val="24"/>
                <w:szCs w:val="24"/>
                <w:color w:val="auto"/>
              </w:rPr>
            </w:pPr>
          </w:p>
        </w:tc>
        <w:tc>
          <w:tcPr>
            <w:tcW w:w="620" w:type="dxa"/>
            <w:vAlign w:val="bottom"/>
            <w:shd w:val="clear" w:color="auto" w:fill="CBCEE0"/>
          </w:tcPr>
          <w:p>
            <w:pPr>
              <w:spacing w:after="0"/>
              <w:rPr>
                <w:sz w:val="24"/>
                <w:szCs w:val="24"/>
                <w:color w:val="auto"/>
              </w:rPr>
            </w:pPr>
          </w:p>
        </w:tc>
        <w:tc>
          <w:tcPr>
            <w:tcW w:w="740" w:type="dxa"/>
            <w:vAlign w:val="bottom"/>
            <w:shd w:val="clear" w:color="auto" w:fill="CBCEE0"/>
          </w:tcPr>
          <w:p>
            <w:pPr>
              <w:spacing w:after="0"/>
              <w:rPr>
                <w:sz w:val="24"/>
                <w:szCs w:val="24"/>
                <w:color w:val="auto"/>
              </w:rPr>
            </w:pPr>
          </w:p>
        </w:tc>
        <w:tc>
          <w:tcPr>
            <w:tcW w:w="720" w:type="dxa"/>
            <w:vAlign w:val="bottom"/>
            <w:shd w:val="clear" w:color="auto" w:fill="CBCEE0"/>
          </w:tcPr>
          <w:p>
            <w:pPr>
              <w:spacing w:after="0"/>
              <w:rPr>
                <w:sz w:val="24"/>
                <w:szCs w:val="24"/>
                <w:color w:val="auto"/>
              </w:rPr>
            </w:pPr>
          </w:p>
        </w:tc>
        <w:tc>
          <w:tcPr>
            <w:tcW w:w="580" w:type="dxa"/>
            <w:vAlign w:val="bottom"/>
            <w:shd w:val="clear" w:color="auto" w:fill="CBCEE0"/>
          </w:tcPr>
          <w:p>
            <w:pPr>
              <w:spacing w:after="0"/>
              <w:rPr>
                <w:sz w:val="24"/>
                <w:szCs w:val="24"/>
                <w:color w:val="auto"/>
              </w:rPr>
            </w:pPr>
          </w:p>
        </w:tc>
        <w:tc>
          <w:tcPr>
            <w:tcW w:w="660" w:type="dxa"/>
            <w:vAlign w:val="bottom"/>
            <w:shd w:val="clear" w:color="auto" w:fill="CBCEE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tcPr>
          <w:p>
            <w:pPr>
              <w:ind w:left="100"/>
              <w:spacing w:after="0"/>
              <w:rPr>
                <w:sz w:val="20"/>
                <w:szCs w:val="20"/>
                <w:color w:val="auto"/>
              </w:rPr>
            </w:pPr>
            <w:r>
              <w:rPr>
                <w:rFonts w:ascii="Arial" w:cs="Arial" w:eastAsia="Arial" w:hAnsi="Arial"/>
                <w:sz w:val="13"/>
                <w:szCs w:val="13"/>
                <w:color w:val="auto"/>
              </w:rPr>
              <w:t>Cash Incentive Units</w:t>
            </w:r>
            <w:r>
              <w:rPr>
                <w:rFonts w:ascii="Arial" w:cs="Arial" w:eastAsia="Arial" w:hAnsi="Arial"/>
                <w:sz w:val="20"/>
                <w:szCs w:val="20"/>
                <w:color w:val="auto"/>
                <w:vertAlign w:val="superscript"/>
              </w:rPr>
              <w:t>(3)</w:t>
            </w:r>
          </w:p>
        </w:tc>
        <w:tc>
          <w:tcPr>
            <w:tcW w:w="840" w:type="dxa"/>
            <w:vAlign w:val="bottom"/>
            <w:tcBorders>
              <w:right w:val="single" w:sz="8" w:color="0072AF"/>
            </w:tcBorders>
          </w:tcPr>
          <w:p>
            <w:pPr>
              <w:jc w:val="center"/>
              <w:ind w:left="17"/>
              <w:spacing w:after="0"/>
              <w:rPr>
                <w:sz w:val="20"/>
                <w:szCs w:val="20"/>
                <w:color w:val="auto"/>
              </w:rPr>
            </w:pPr>
            <w:r>
              <w:rPr>
                <w:rFonts w:ascii="Arial" w:cs="Arial" w:eastAsia="Arial" w:hAnsi="Arial"/>
                <w:sz w:val="13"/>
                <w:szCs w:val="13"/>
                <w:color w:val="auto"/>
                <w:w w:val="96"/>
              </w:rPr>
              <w:t>2/14/2023​</w:t>
            </w:r>
          </w:p>
        </w:tc>
        <w:tc>
          <w:tcPr>
            <w:tcW w:w="620" w:type="dxa"/>
            <w:vAlign w:val="bottom"/>
            <w:shd w:val="clear" w:color="auto" w:fill="CBCEE0"/>
          </w:tcPr>
          <w:p>
            <w:pPr>
              <w:jc w:val="center"/>
              <w:spacing w:after="0"/>
              <w:rPr>
                <w:sz w:val="20"/>
                <w:szCs w:val="20"/>
                <w:color w:val="auto"/>
              </w:rPr>
            </w:pPr>
            <w:r>
              <w:rPr>
                <w:rFonts w:ascii="Arial" w:cs="Arial" w:eastAsia="Arial" w:hAnsi="Arial"/>
                <w:sz w:val="13"/>
                <w:szCs w:val="13"/>
                <w:color w:val="auto"/>
                <w:w w:val="95"/>
              </w:rPr>
              <w:t>37,125</w:t>
            </w:r>
          </w:p>
        </w:tc>
        <w:tc>
          <w:tcPr>
            <w:tcW w:w="660" w:type="dxa"/>
            <w:vAlign w:val="bottom"/>
            <w:gridSpan w:val="2"/>
            <w:shd w:val="clear" w:color="auto" w:fill="CBCEE0"/>
          </w:tcPr>
          <w:p>
            <w:pPr>
              <w:ind w:left="160"/>
              <w:spacing w:after="0"/>
              <w:rPr>
                <w:sz w:val="20"/>
                <w:szCs w:val="20"/>
                <w:color w:val="auto"/>
              </w:rPr>
            </w:pPr>
            <w:r>
              <w:rPr>
                <w:rFonts w:ascii="Arial" w:cs="Arial" w:eastAsia="Arial" w:hAnsi="Arial"/>
                <w:sz w:val="13"/>
                <w:szCs w:val="13"/>
                <w:color w:val="auto"/>
              </w:rPr>
              <w:t>750,000</w:t>
            </w:r>
          </w:p>
        </w:tc>
        <w:tc>
          <w:tcPr>
            <w:tcW w:w="620" w:type="dxa"/>
            <w:vAlign w:val="bottom"/>
            <w:shd w:val="clear" w:color="auto" w:fill="CBCEE0"/>
          </w:tcPr>
          <w:p>
            <w:pPr>
              <w:jc w:val="center"/>
              <w:spacing w:after="0"/>
              <w:rPr>
                <w:sz w:val="20"/>
                <w:szCs w:val="20"/>
                <w:color w:val="auto"/>
              </w:rPr>
            </w:pPr>
            <w:r>
              <w:rPr>
                <w:rFonts w:ascii="Arial" w:cs="Arial" w:eastAsia="Arial" w:hAnsi="Arial"/>
                <w:sz w:val="13"/>
                <w:szCs w:val="13"/>
                <w:color w:val="auto"/>
                <w:w w:val="96"/>
              </w:rPr>
              <w:t>1,500,000</w:t>
            </w:r>
          </w:p>
        </w:tc>
        <w:tc>
          <w:tcPr>
            <w:tcW w:w="60" w:type="dxa"/>
            <w:vAlign w:val="bottom"/>
            <w:shd w:val="clear" w:color="auto" w:fill="CBCEE0"/>
          </w:tcPr>
          <w:p>
            <w:pPr>
              <w:spacing w:after="0"/>
              <w:rPr>
                <w:sz w:val="24"/>
                <w:szCs w:val="24"/>
                <w:color w:val="auto"/>
              </w:rPr>
            </w:pPr>
          </w:p>
        </w:tc>
        <w:tc>
          <w:tcPr>
            <w:tcW w:w="640" w:type="dxa"/>
            <w:vAlign w:val="bottom"/>
            <w:shd w:val="clear" w:color="auto" w:fill="CBCEE0"/>
          </w:tcPr>
          <w:p>
            <w:pPr>
              <w:spacing w:after="0"/>
              <w:rPr>
                <w:sz w:val="24"/>
                <w:szCs w:val="24"/>
                <w:color w:val="auto"/>
              </w:rPr>
            </w:pPr>
          </w:p>
        </w:tc>
        <w:tc>
          <w:tcPr>
            <w:tcW w:w="520" w:type="dxa"/>
            <w:vAlign w:val="bottom"/>
            <w:shd w:val="clear" w:color="auto" w:fill="CBCEE0"/>
          </w:tcPr>
          <w:p>
            <w:pPr>
              <w:spacing w:after="0"/>
              <w:rPr>
                <w:sz w:val="24"/>
                <w:szCs w:val="24"/>
                <w:color w:val="auto"/>
              </w:rPr>
            </w:pPr>
          </w:p>
        </w:tc>
        <w:tc>
          <w:tcPr>
            <w:tcW w:w="620" w:type="dxa"/>
            <w:vAlign w:val="bottom"/>
            <w:shd w:val="clear" w:color="auto" w:fill="CBCEE0"/>
          </w:tcPr>
          <w:p>
            <w:pPr>
              <w:spacing w:after="0"/>
              <w:rPr>
                <w:sz w:val="24"/>
                <w:szCs w:val="24"/>
                <w:color w:val="auto"/>
              </w:rPr>
            </w:pPr>
          </w:p>
        </w:tc>
        <w:tc>
          <w:tcPr>
            <w:tcW w:w="740" w:type="dxa"/>
            <w:vAlign w:val="bottom"/>
            <w:shd w:val="clear" w:color="auto" w:fill="CBCEE0"/>
          </w:tcPr>
          <w:p>
            <w:pPr>
              <w:spacing w:after="0"/>
              <w:rPr>
                <w:sz w:val="24"/>
                <w:szCs w:val="24"/>
                <w:color w:val="auto"/>
              </w:rPr>
            </w:pPr>
          </w:p>
        </w:tc>
        <w:tc>
          <w:tcPr>
            <w:tcW w:w="720" w:type="dxa"/>
            <w:vAlign w:val="bottom"/>
            <w:shd w:val="clear" w:color="auto" w:fill="CBCEE0"/>
          </w:tcPr>
          <w:p>
            <w:pPr>
              <w:spacing w:after="0"/>
              <w:rPr>
                <w:sz w:val="24"/>
                <w:szCs w:val="24"/>
                <w:color w:val="auto"/>
              </w:rPr>
            </w:pPr>
          </w:p>
        </w:tc>
        <w:tc>
          <w:tcPr>
            <w:tcW w:w="580" w:type="dxa"/>
            <w:vAlign w:val="bottom"/>
            <w:shd w:val="clear" w:color="auto" w:fill="CBCEE0"/>
          </w:tcPr>
          <w:p>
            <w:pPr>
              <w:spacing w:after="0"/>
              <w:rPr>
                <w:sz w:val="24"/>
                <w:szCs w:val="24"/>
                <w:color w:val="auto"/>
              </w:rPr>
            </w:pPr>
          </w:p>
        </w:tc>
        <w:tc>
          <w:tcPr>
            <w:tcW w:w="660" w:type="dxa"/>
            <w:vAlign w:val="bottom"/>
            <w:shd w:val="clear" w:color="auto" w:fill="CBCEE0"/>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900" w:type="dxa"/>
            <w:vAlign w:val="bottom"/>
            <w:tcBorders>
              <w:bottom w:val="single" w:sz="8" w:color="0072AF"/>
            </w:tcBorders>
          </w:tcPr>
          <w:p>
            <w:pPr>
              <w:ind w:left="100"/>
              <w:spacing w:after="0"/>
              <w:rPr>
                <w:sz w:val="20"/>
                <w:szCs w:val="20"/>
                <w:color w:val="auto"/>
              </w:rPr>
            </w:pPr>
            <w:r>
              <w:rPr>
                <w:rFonts w:ascii="Arial" w:cs="Arial" w:eastAsia="Arial" w:hAnsi="Arial"/>
                <w:sz w:val="13"/>
                <w:szCs w:val="13"/>
                <w:color w:val="auto"/>
              </w:rPr>
              <w:t>Performance-Based RSUs</w:t>
            </w:r>
            <w:r>
              <w:rPr>
                <w:rFonts w:ascii="Arial" w:cs="Arial" w:eastAsia="Arial" w:hAnsi="Arial"/>
                <w:sz w:val="20"/>
                <w:szCs w:val="20"/>
                <w:color w:val="auto"/>
                <w:vertAlign w:val="superscript"/>
              </w:rPr>
              <w:t>(4)</w:t>
            </w:r>
          </w:p>
        </w:tc>
        <w:tc>
          <w:tcPr>
            <w:tcW w:w="840" w:type="dxa"/>
            <w:vAlign w:val="bottom"/>
            <w:tcBorders>
              <w:bottom w:val="single" w:sz="8" w:color="0072AF"/>
              <w:right w:val="single" w:sz="8" w:color="0072AF"/>
            </w:tcBorders>
          </w:tcPr>
          <w:p>
            <w:pPr>
              <w:jc w:val="center"/>
              <w:ind w:left="17"/>
              <w:spacing w:after="0"/>
              <w:rPr>
                <w:sz w:val="20"/>
                <w:szCs w:val="20"/>
                <w:color w:val="auto"/>
              </w:rPr>
            </w:pPr>
            <w:r>
              <w:rPr>
                <w:rFonts w:ascii="Arial" w:cs="Arial" w:eastAsia="Arial" w:hAnsi="Arial"/>
                <w:sz w:val="13"/>
                <w:szCs w:val="13"/>
                <w:color w:val="auto"/>
                <w:w w:val="96"/>
              </w:rPr>
              <w:t>2/14/2023​</w:t>
            </w:r>
          </w:p>
        </w:tc>
        <w:tc>
          <w:tcPr>
            <w:tcW w:w="620" w:type="dxa"/>
            <w:vAlign w:val="bottom"/>
            <w:tcBorders>
              <w:bottom w:val="single" w:sz="8" w:color="0072AF"/>
            </w:tcBorders>
            <w:shd w:val="clear" w:color="auto" w:fill="CBCEE0"/>
          </w:tcPr>
          <w:p>
            <w:pPr>
              <w:spacing w:after="0"/>
              <w:rPr>
                <w:sz w:val="24"/>
                <w:szCs w:val="24"/>
                <w:color w:val="auto"/>
              </w:rPr>
            </w:pPr>
          </w:p>
        </w:tc>
        <w:tc>
          <w:tcPr>
            <w:tcW w:w="60" w:type="dxa"/>
            <w:vAlign w:val="bottom"/>
            <w:tcBorders>
              <w:bottom w:val="single" w:sz="8" w:color="0072AF"/>
            </w:tcBorders>
            <w:shd w:val="clear" w:color="auto" w:fill="CBCEE0"/>
          </w:tcPr>
          <w:p>
            <w:pPr>
              <w:spacing w:after="0"/>
              <w:rPr>
                <w:sz w:val="24"/>
                <w:szCs w:val="24"/>
                <w:color w:val="auto"/>
              </w:rPr>
            </w:pPr>
          </w:p>
        </w:tc>
        <w:tc>
          <w:tcPr>
            <w:tcW w:w="600" w:type="dxa"/>
            <w:vAlign w:val="bottom"/>
            <w:tcBorders>
              <w:bottom w:val="single" w:sz="8" w:color="0072AF"/>
            </w:tcBorders>
            <w:shd w:val="clear" w:color="auto" w:fill="CBCEE0"/>
          </w:tcPr>
          <w:p>
            <w:pPr>
              <w:spacing w:after="0"/>
              <w:rPr>
                <w:sz w:val="24"/>
                <w:szCs w:val="24"/>
                <w:color w:val="auto"/>
              </w:rPr>
            </w:pPr>
          </w:p>
        </w:tc>
        <w:tc>
          <w:tcPr>
            <w:tcW w:w="620" w:type="dxa"/>
            <w:vAlign w:val="bottom"/>
            <w:tcBorders>
              <w:bottom w:val="single" w:sz="8" w:color="0072AF"/>
            </w:tcBorders>
            <w:shd w:val="clear" w:color="auto" w:fill="CBCEE0"/>
          </w:tcPr>
          <w:p>
            <w:pPr>
              <w:spacing w:after="0"/>
              <w:rPr>
                <w:sz w:val="24"/>
                <w:szCs w:val="24"/>
                <w:color w:val="auto"/>
              </w:rPr>
            </w:pPr>
          </w:p>
        </w:tc>
        <w:tc>
          <w:tcPr>
            <w:tcW w:w="60" w:type="dxa"/>
            <w:vAlign w:val="bottom"/>
            <w:tcBorders>
              <w:bottom w:val="single" w:sz="8" w:color="0072AF"/>
            </w:tcBorders>
            <w:shd w:val="clear" w:color="auto" w:fill="CBCEE0"/>
          </w:tcPr>
          <w:p>
            <w:pPr>
              <w:spacing w:after="0"/>
              <w:rPr>
                <w:sz w:val="24"/>
                <w:szCs w:val="24"/>
                <w:color w:val="auto"/>
              </w:rPr>
            </w:pPr>
          </w:p>
        </w:tc>
        <w:tc>
          <w:tcPr>
            <w:tcW w:w="640" w:type="dxa"/>
            <w:vAlign w:val="bottom"/>
            <w:tcBorders>
              <w:bottom w:val="single" w:sz="8" w:color="0072AF"/>
            </w:tcBorders>
            <w:shd w:val="clear" w:color="auto" w:fill="CBCEE0"/>
          </w:tcPr>
          <w:p>
            <w:pPr>
              <w:spacing w:after="0"/>
              <w:rPr>
                <w:sz w:val="24"/>
                <w:szCs w:val="24"/>
                <w:color w:val="auto"/>
              </w:rPr>
            </w:pPr>
          </w:p>
        </w:tc>
        <w:tc>
          <w:tcPr>
            <w:tcW w:w="520" w:type="dxa"/>
            <w:vAlign w:val="bottom"/>
            <w:tcBorders>
              <w:bottom w:val="single" w:sz="8" w:color="0072AF"/>
            </w:tcBorders>
            <w:shd w:val="clear" w:color="auto" w:fill="CBCEE0"/>
          </w:tcPr>
          <w:p>
            <w:pPr>
              <w:jc w:val="right"/>
              <w:spacing w:after="0"/>
              <w:rPr>
                <w:sz w:val="20"/>
                <w:szCs w:val="20"/>
                <w:color w:val="auto"/>
              </w:rPr>
            </w:pPr>
            <w:r>
              <w:rPr>
                <w:rFonts w:ascii="Arial" w:cs="Arial" w:eastAsia="Arial" w:hAnsi="Arial"/>
                <w:sz w:val="13"/>
                <w:szCs w:val="13"/>
                <w:color w:val="auto"/>
                <w:w w:val="97"/>
              </w:rPr>
              <w:t>114,155</w:t>
            </w:r>
          </w:p>
        </w:tc>
        <w:tc>
          <w:tcPr>
            <w:tcW w:w="620" w:type="dxa"/>
            <w:vAlign w:val="bottom"/>
            <w:tcBorders>
              <w:bottom w:val="single" w:sz="8" w:color="0072AF"/>
            </w:tcBorders>
            <w:shd w:val="clear" w:color="auto" w:fill="CBCEE0"/>
          </w:tcPr>
          <w:p>
            <w:pPr>
              <w:spacing w:after="0"/>
              <w:rPr>
                <w:sz w:val="24"/>
                <w:szCs w:val="24"/>
                <w:color w:val="auto"/>
              </w:rPr>
            </w:pPr>
          </w:p>
        </w:tc>
        <w:tc>
          <w:tcPr>
            <w:tcW w:w="740" w:type="dxa"/>
            <w:vAlign w:val="bottom"/>
            <w:tcBorders>
              <w:bottom w:val="single" w:sz="8" w:color="0072AF"/>
            </w:tcBorders>
            <w:shd w:val="clear" w:color="auto" w:fill="CBCEE0"/>
          </w:tcPr>
          <w:p>
            <w:pPr>
              <w:spacing w:after="0"/>
              <w:rPr>
                <w:sz w:val="24"/>
                <w:szCs w:val="24"/>
                <w:color w:val="auto"/>
              </w:rPr>
            </w:pPr>
          </w:p>
        </w:tc>
        <w:tc>
          <w:tcPr>
            <w:tcW w:w="720" w:type="dxa"/>
            <w:vAlign w:val="bottom"/>
            <w:tcBorders>
              <w:bottom w:val="single" w:sz="8" w:color="0072AF"/>
            </w:tcBorders>
            <w:shd w:val="clear" w:color="auto" w:fill="CBCEE0"/>
          </w:tcPr>
          <w:p>
            <w:pPr>
              <w:spacing w:after="0"/>
              <w:rPr>
                <w:sz w:val="24"/>
                <w:szCs w:val="24"/>
                <w:color w:val="auto"/>
              </w:rPr>
            </w:pPr>
          </w:p>
        </w:tc>
        <w:tc>
          <w:tcPr>
            <w:tcW w:w="580" w:type="dxa"/>
            <w:vAlign w:val="bottom"/>
            <w:tcBorders>
              <w:bottom w:val="single" w:sz="8" w:color="0072AF"/>
            </w:tcBorders>
            <w:shd w:val="clear" w:color="auto" w:fill="CBCEE0"/>
          </w:tcPr>
          <w:p>
            <w:pPr>
              <w:spacing w:after="0"/>
              <w:rPr>
                <w:sz w:val="24"/>
                <w:szCs w:val="24"/>
                <w:color w:val="auto"/>
              </w:rPr>
            </w:pPr>
          </w:p>
        </w:tc>
        <w:tc>
          <w:tcPr>
            <w:tcW w:w="660" w:type="dxa"/>
            <w:vAlign w:val="bottom"/>
            <w:tcBorders>
              <w:bottom w:val="single" w:sz="8" w:color="0072AF"/>
            </w:tcBorders>
            <w:shd w:val="clear" w:color="auto" w:fill="CBCEE0"/>
          </w:tcPr>
          <w:p>
            <w:pPr>
              <w:jc w:val="right"/>
              <w:spacing w:after="0"/>
              <w:rPr>
                <w:sz w:val="20"/>
                <w:szCs w:val="20"/>
                <w:color w:val="auto"/>
              </w:rPr>
            </w:pPr>
            <w:r>
              <w:rPr>
                <w:rFonts w:ascii="Arial" w:cs="Arial" w:eastAsia="Arial" w:hAnsi="Arial"/>
                <w:sz w:val="13"/>
                <w:szCs w:val="13"/>
                <w:color w:val="auto"/>
              </w:rPr>
              <w:t>457,762</w:t>
            </w:r>
          </w:p>
        </w:tc>
        <w:tc>
          <w:tcPr>
            <w:tcW w:w="0" w:type="dxa"/>
            <w:vAlign w:val="bottom"/>
          </w:tcPr>
          <w:p>
            <w:pPr>
              <w:spacing w:after="0"/>
              <w:rPr>
                <w:sz w:val="1"/>
                <w:szCs w:val="1"/>
                <w:color w:val="auto"/>
              </w:rPr>
            </w:pPr>
          </w:p>
        </w:tc>
      </w:tr>
      <w:tr>
        <w:trPr>
          <w:trHeight w:val="215"/>
        </w:trPr>
        <w:tc>
          <w:tcPr>
            <w:tcW w:w="1900" w:type="dxa"/>
            <w:vAlign w:val="bottom"/>
          </w:tcPr>
          <w:p>
            <w:pPr>
              <w:ind w:left="100"/>
              <w:spacing w:after="0"/>
              <w:rPr>
                <w:sz w:val="20"/>
                <w:szCs w:val="20"/>
                <w:color w:val="auto"/>
              </w:rPr>
            </w:pPr>
            <w:r>
              <w:rPr>
                <w:rFonts w:ascii="Arial" w:cs="Arial" w:eastAsia="Arial" w:hAnsi="Arial"/>
                <w:sz w:val="13"/>
                <w:szCs w:val="13"/>
                <w:b w:val="1"/>
                <w:bCs w:val="1"/>
                <w:color w:val="auto"/>
              </w:rPr>
              <w:t>Daniel J. Goldstein</w:t>
            </w:r>
          </w:p>
        </w:tc>
        <w:tc>
          <w:tcPr>
            <w:tcW w:w="840" w:type="dxa"/>
            <w:vAlign w:val="bottom"/>
            <w:tcBorders>
              <w:right w:val="single" w:sz="8" w:color="0072AF"/>
            </w:tcBorders>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1900" w:type="dxa"/>
            <w:vAlign w:val="bottom"/>
          </w:tcPr>
          <w:p>
            <w:pPr>
              <w:ind w:left="100"/>
              <w:spacing w:after="0"/>
              <w:rPr>
                <w:sz w:val="20"/>
                <w:szCs w:val="20"/>
                <w:color w:val="auto"/>
              </w:rPr>
            </w:pPr>
            <w:r>
              <w:rPr>
                <w:rFonts w:ascii="Arial" w:cs="Arial" w:eastAsia="Arial" w:hAnsi="Arial"/>
                <w:sz w:val="13"/>
                <w:szCs w:val="13"/>
                <w:color w:val="auto"/>
              </w:rPr>
              <w:t>Annual Incentive</w:t>
            </w:r>
            <w:r>
              <w:rPr>
                <w:rFonts w:ascii="Arial" w:cs="Arial" w:eastAsia="Arial" w:hAnsi="Arial"/>
                <w:sz w:val="20"/>
                <w:szCs w:val="20"/>
                <w:color w:val="auto"/>
                <w:vertAlign w:val="superscript"/>
              </w:rPr>
              <w:t>(2)</w:t>
            </w:r>
          </w:p>
        </w:tc>
        <w:tc>
          <w:tcPr>
            <w:tcW w:w="840" w:type="dxa"/>
            <w:vAlign w:val="bottom"/>
            <w:tcBorders>
              <w:right w:val="single" w:sz="8" w:color="0072AF"/>
            </w:tcBorders>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72,992</w:t>
            </w:r>
          </w:p>
        </w:tc>
        <w:tc>
          <w:tcPr>
            <w:tcW w:w="660" w:type="dxa"/>
            <w:vAlign w:val="bottom"/>
            <w:gridSpan w:val="2"/>
          </w:tcPr>
          <w:p>
            <w:pPr>
              <w:ind w:left="160"/>
              <w:spacing w:after="0"/>
              <w:rPr>
                <w:sz w:val="20"/>
                <w:szCs w:val="20"/>
                <w:color w:val="auto"/>
              </w:rPr>
            </w:pPr>
            <w:r>
              <w:rPr>
                <w:rFonts w:ascii="Arial" w:cs="Arial" w:eastAsia="Arial" w:hAnsi="Arial"/>
                <w:sz w:val="13"/>
                <w:szCs w:val="13"/>
                <w:color w:val="auto"/>
              </w:rPr>
              <w:t>486,614</w:t>
            </w:r>
          </w:p>
        </w:tc>
        <w:tc>
          <w:tcPr>
            <w:tcW w:w="620" w:type="dxa"/>
            <w:vAlign w:val="bottom"/>
          </w:tcPr>
          <w:p>
            <w:pPr>
              <w:jc w:val="right"/>
              <w:spacing w:after="0"/>
              <w:rPr>
                <w:sz w:val="20"/>
                <w:szCs w:val="20"/>
                <w:color w:val="auto"/>
              </w:rPr>
            </w:pPr>
            <w:r>
              <w:rPr>
                <w:rFonts w:ascii="Arial" w:cs="Arial" w:eastAsia="Arial" w:hAnsi="Arial"/>
                <w:sz w:val="13"/>
                <w:szCs w:val="13"/>
                <w:color w:val="auto"/>
              </w:rPr>
              <w:t>778,583</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tcPr>
          <w:p>
            <w:pPr>
              <w:ind w:left="100"/>
              <w:spacing w:after="0"/>
              <w:rPr>
                <w:sz w:val="20"/>
                <w:szCs w:val="20"/>
                <w:color w:val="auto"/>
              </w:rPr>
            </w:pPr>
            <w:r>
              <w:rPr>
                <w:rFonts w:ascii="Arial" w:cs="Arial" w:eastAsia="Arial" w:hAnsi="Arial"/>
                <w:sz w:val="13"/>
                <w:szCs w:val="13"/>
                <w:color w:val="auto"/>
              </w:rPr>
              <w:t>Cash Incentive Units</w:t>
            </w:r>
            <w:r>
              <w:rPr>
                <w:rFonts w:ascii="Arial" w:cs="Arial" w:eastAsia="Arial" w:hAnsi="Arial"/>
                <w:sz w:val="20"/>
                <w:szCs w:val="20"/>
                <w:color w:val="auto"/>
                <w:vertAlign w:val="superscript"/>
              </w:rPr>
              <w:t>(3)</w:t>
            </w:r>
          </w:p>
        </w:tc>
        <w:tc>
          <w:tcPr>
            <w:tcW w:w="840" w:type="dxa"/>
            <w:vAlign w:val="bottom"/>
            <w:tcBorders>
              <w:right w:val="single" w:sz="8" w:color="0072AF"/>
            </w:tcBorders>
          </w:tcPr>
          <w:p>
            <w:pPr>
              <w:jc w:val="center"/>
              <w:ind w:left="17"/>
              <w:spacing w:after="0"/>
              <w:rPr>
                <w:sz w:val="20"/>
                <w:szCs w:val="20"/>
                <w:color w:val="auto"/>
              </w:rPr>
            </w:pPr>
            <w:r>
              <w:rPr>
                <w:rFonts w:ascii="Arial" w:cs="Arial" w:eastAsia="Arial" w:hAnsi="Arial"/>
                <w:sz w:val="13"/>
                <w:szCs w:val="13"/>
                <w:color w:val="auto"/>
                <w:w w:val="96"/>
              </w:rPr>
              <w:t>2/14/2023</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37,125</w:t>
            </w:r>
          </w:p>
        </w:tc>
        <w:tc>
          <w:tcPr>
            <w:tcW w:w="660" w:type="dxa"/>
            <w:vAlign w:val="bottom"/>
            <w:gridSpan w:val="2"/>
          </w:tcPr>
          <w:p>
            <w:pPr>
              <w:ind w:left="160"/>
              <w:spacing w:after="0"/>
              <w:rPr>
                <w:sz w:val="20"/>
                <w:szCs w:val="20"/>
                <w:color w:val="auto"/>
              </w:rPr>
            </w:pPr>
            <w:r>
              <w:rPr>
                <w:rFonts w:ascii="Arial" w:cs="Arial" w:eastAsia="Arial" w:hAnsi="Arial"/>
                <w:sz w:val="13"/>
                <w:szCs w:val="13"/>
                <w:color w:val="auto"/>
              </w:rPr>
              <w:t>750,000</w:t>
            </w:r>
          </w:p>
        </w:tc>
        <w:tc>
          <w:tcPr>
            <w:tcW w:w="620" w:type="dxa"/>
            <w:vAlign w:val="bottom"/>
          </w:tcPr>
          <w:p>
            <w:pPr>
              <w:jc w:val="center"/>
              <w:spacing w:after="0"/>
              <w:rPr>
                <w:sz w:val="20"/>
                <w:szCs w:val="20"/>
                <w:color w:val="auto"/>
              </w:rPr>
            </w:pPr>
            <w:r>
              <w:rPr>
                <w:rFonts w:ascii="Arial" w:cs="Arial" w:eastAsia="Arial" w:hAnsi="Arial"/>
                <w:sz w:val="13"/>
                <w:szCs w:val="13"/>
                <w:color w:val="auto"/>
                <w:w w:val="96"/>
              </w:rPr>
              <w:t>1,500,000</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00" w:type="dxa"/>
            <w:vAlign w:val="bottom"/>
            <w:tcBorders>
              <w:bottom w:val="single" w:sz="8" w:color="0072AF"/>
            </w:tcBorders>
          </w:tcPr>
          <w:p>
            <w:pPr>
              <w:ind w:left="100"/>
              <w:spacing w:after="0"/>
              <w:rPr>
                <w:sz w:val="20"/>
                <w:szCs w:val="20"/>
                <w:color w:val="auto"/>
              </w:rPr>
            </w:pPr>
            <w:r>
              <w:rPr>
                <w:rFonts w:ascii="Arial" w:cs="Arial" w:eastAsia="Arial" w:hAnsi="Arial"/>
                <w:sz w:val="13"/>
                <w:szCs w:val="13"/>
                <w:color w:val="auto"/>
              </w:rPr>
              <w:t>Performance-Based RSUs</w:t>
            </w:r>
            <w:r>
              <w:rPr>
                <w:rFonts w:ascii="Arial" w:cs="Arial" w:eastAsia="Arial" w:hAnsi="Arial"/>
                <w:sz w:val="20"/>
                <w:szCs w:val="20"/>
                <w:color w:val="auto"/>
                <w:vertAlign w:val="superscript"/>
              </w:rPr>
              <w:t>(4)</w:t>
            </w:r>
          </w:p>
        </w:tc>
        <w:tc>
          <w:tcPr>
            <w:tcW w:w="840" w:type="dxa"/>
            <w:vAlign w:val="bottom"/>
            <w:tcBorders>
              <w:bottom w:val="single" w:sz="8" w:color="0072AF"/>
              <w:right w:val="single" w:sz="8" w:color="0072AF"/>
            </w:tcBorders>
          </w:tcPr>
          <w:p>
            <w:pPr>
              <w:jc w:val="center"/>
              <w:ind w:left="17"/>
              <w:spacing w:after="0"/>
              <w:rPr>
                <w:sz w:val="20"/>
                <w:szCs w:val="20"/>
                <w:color w:val="auto"/>
              </w:rPr>
            </w:pPr>
            <w:r>
              <w:rPr>
                <w:rFonts w:ascii="Arial" w:cs="Arial" w:eastAsia="Arial" w:hAnsi="Arial"/>
                <w:sz w:val="13"/>
                <w:szCs w:val="13"/>
                <w:color w:val="auto"/>
                <w:w w:val="96"/>
              </w:rPr>
              <w:t>2/14/2023</w:t>
            </w:r>
          </w:p>
        </w:tc>
        <w:tc>
          <w:tcPr>
            <w:tcW w:w="620" w:type="dxa"/>
            <w:vAlign w:val="bottom"/>
            <w:tcBorders>
              <w:bottom w:val="single" w:sz="8" w:color="0072AF"/>
            </w:tcBorders>
          </w:tcPr>
          <w:p>
            <w:pPr>
              <w:spacing w:after="0"/>
              <w:rPr>
                <w:sz w:val="22"/>
                <w:szCs w:val="22"/>
                <w:color w:val="auto"/>
              </w:rPr>
            </w:pPr>
          </w:p>
        </w:tc>
        <w:tc>
          <w:tcPr>
            <w:tcW w:w="60" w:type="dxa"/>
            <w:vAlign w:val="bottom"/>
            <w:tcBorders>
              <w:bottom w:val="single" w:sz="8" w:color="0072AF"/>
            </w:tcBorders>
          </w:tcPr>
          <w:p>
            <w:pPr>
              <w:spacing w:after="0"/>
              <w:rPr>
                <w:sz w:val="22"/>
                <w:szCs w:val="22"/>
                <w:color w:val="auto"/>
              </w:rPr>
            </w:pPr>
          </w:p>
        </w:tc>
        <w:tc>
          <w:tcPr>
            <w:tcW w:w="600" w:type="dxa"/>
            <w:vAlign w:val="bottom"/>
            <w:tcBorders>
              <w:bottom w:val="single" w:sz="8" w:color="0072AF"/>
            </w:tcBorders>
          </w:tcPr>
          <w:p>
            <w:pPr>
              <w:spacing w:after="0"/>
              <w:rPr>
                <w:sz w:val="22"/>
                <w:szCs w:val="22"/>
                <w:color w:val="auto"/>
              </w:rPr>
            </w:pPr>
          </w:p>
        </w:tc>
        <w:tc>
          <w:tcPr>
            <w:tcW w:w="620" w:type="dxa"/>
            <w:vAlign w:val="bottom"/>
            <w:tcBorders>
              <w:bottom w:val="single" w:sz="8" w:color="0072AF"/>
            </w:tcBorders>
          </w:tcPr>
          <w:p>
            <w:pPr>
              <w:spacing w:after="0"/>
              <w:rPr>
                <w:sz w:val="22"/>
                <w:szCs w:val="22"/>
                <w:color w:val="auto"/>
              </w:rPr>
            </w:pPr>
          </w:p>
        </w:tc>
        <w:tc>
          <w:tcPr>
            <w:tcW w:w="60" w:type="dxa"/>
            <w:vAlign w:val="bottom"/>
            <w:tcBorders>
              <w:bottom w:val="single" w:sz="8" w:color="0072AF"/>
            </w:tcBorders>
          </w:tcPr>
          <w:p>
            <w:pPr>
              <w:spacing w:after="0"/>
              <w:rPr>
                <w:sz w:val="22"/>
                <w:szCs w:val="22"/>
                <w:color w:val="auto"/>
              </w:rPr>
            </w:pPr>
          </w:p>
        </w:tc>
        <w:tc>
          <w:tcPr>
            <w:tcW w:w="640" w:type="dxa"/>
            <w:vAlign w:val="bottom"/>
            <w:tcBorders>
              <w:bottom w:val="single" w:sz="8" w:color="0072AF"/>
            </w:tcBorders>
          </w:tcPr>
          <w:p>
            <w:pPr>
              <w:spacing w:after="0"/>
              <w:rPr>
                <w:sz w:val="22"/>
                <w:szCs w:val="22"/>
                <w:color w:val="auto"/>
              </w:rPr>
            </w:pPr>
          </w:p>
        </w:tc>
        <w:tc>
          <w:tcPr>
            <w:tcW w:w="520" w:type="dxa"/>
            <w:vAlign w:val="bottom"/>
            <w:tcBorders>
              <w:bottom w:val="single" w:sz="8" w:color="0072AF"/>
            </w:tcBorders>
          </w:tcPr>
          <w:p>
            <w:pPr>
              <w:jc w:val="right"/>
              <w:spacing w:after="0"/>
              <w:rPr>
                <w:sz w:val="20"/>
                <w:szCs w:val="20"/>
                <w:color w:val="auto"/>
              </w:rPr>
            </w:pPr>
            <w:r>
              <w:rPr>
                <w:rFonts w:ascii="Arial" w:cs="Arial" w:eastAsia="Arial" w:hAnsi="Arial"/>
                <w:sz w:val="13"/>
                <w:szCs w:val="13"/>
                <w:color w:val="auto"/>
                <w:w w:val="97"/>
              </w:rPr>
              <w:t>114,155</w:t>
            </w:r>
          </w:p>
        </w:tc>
        <w:tc>
          <w:tcPr>
            <w:tcW w:w="620" w:type="dxa"/>
            <w:vAlign w:val="bottom"/>
            <w:tcBorders>
              <w:bottom w:val="single" w:sz="8" w:color="0072AF"/>
            </w:tcBorders>
          </w:tcPr>
          <w:p>
            <w:pPr>
              <w:spacing w:after="0"/>
              <w:rPr>
                <w:sz w:val="22"/>
                <w:szCs w:val="22"/>
                <w:color w:val="auto"/>
              </w:rPr>
            </w:pPr>
          </w:p>
        </w:tc>
        <w:tc>
          <w:tcPr>
            <w:tcW w:w="740" w:type="dxa"/>
            <w:vAlign w:val="bottom"/>
            <w:tcBorders>
              <w:bottom w:val="single" w:sz="8" w:color="0072AF"/>
            </w:tcBorders>
          </w:tcPr>
          <w:p>
            <w:pPr>
              <w:spacing w:after="0"/>
              <w:rPr>
                <w:sz w:val="22"/>
                <w:szCs w:val="22"/>
                <w:color w:val="auto"/>
              </w:rPr>
            </w:pPr>
          </w:p>
        </w:tc>
        <w:tc>
          <w:tcPr>
            <w:tcW w:w="720" w:type="dxa"/>
            <w:vAlign w:val="bottom"/>
            <w:tcBorders>
              <w:bottom w:val="single" w:sz="8" w:color="0072AF"/>
            </w:tcBorders>
          </w:tcPr>
          <w:p>
            <w:pPr>
              <w:spacing w:after="0"/>
              <w:rPr>
                <w:sz w:val="22"/>
                <w:szCs w:val="22"/>
                <w:color w:val="auto"/>
              </w:rPr>
            </w:pPr>
          </w:p>
        </w:tc>
        <w:tc>
          <w:tcPr>
            <w:tcW w:w="580" w:type="dxa"/>
            <w:vAlign w:val="bottom"/>
            <w:tcBorders>
              <w:bottom w:val="single" w:sz="8" w:color="0072AF"/>
            </w:tcBorders>
          </w:tcPr>
          <w:p>
            <w:pPr>
              <w:spacing w:after="0"/>
              <w:rPr>
                <w:sz w:val="22"/>
                <w:szCs w:val="22"/>
                <w:color w:val="auto"/>
              </w:rPr>
            </w:pPr>
          </w:p>
        </w:tc>
        <w:tc>
          <w:tcPr>
            <w:tcW w:w="660" w:type="dxa"/>
            <w:vAlign w:val="bottom"/>
            <w:tcBorders>
              <w:bottom w:val="single" w:sz="8" w:color="0072AF"/>
            </w:tcBorders>
          </w:tcPr>
          <w:p>
            <w:pPr>
              <w:jc w:val="right"/>
              <w:spacing w:after="0"/>
              <w:rPr>
                <w:sz w:val="20"/>
                <w:szCs w:val="20"/>
                <w:color w:val="auto"/>
              </w:rPr>
            </w:pPr>
            <w:r>
              <w:rPr>
                <w:rFonts w:ascii="Arial" w:cs="Arial" w:eastAsia="Arial" w:hAnsi="Arial"/>
                <w:sz w:val="13"/>
                <w:szCs w:val="13"/>
                <w:color w:val="auto"/>
              </w:rPr>
              <w:t>457,762</w:t>
            </w:r>
          </w:p>
        </w:tc>
        <w:tc>
          <w:tcPr>
            <w:tcW w:w="0" w:type="dxa"/>
            <w:vAlign w:val="bottom"/>
          </w:tcPr>
          <w:p>
            <w:pPr>
              <w:spacing w:after="0"/>
              <w:rPr>
                <w:sz w:val="1"/>
                <w:szCs w:val="1"/>
                <w:color w:val="auto"/>
              </w:rPr>
            </w:pPr>
          </w:p>
        </w:tc>
      </w:tr>
      <w:tr>
        <w:trPr>
          <w:trHeight w:val="215"/>
        </w:trPr>
        <w:tc>
          <w:tcPr>
            <w:tcW w:w="1900" w:type="dxa"/>
            <w:vAlign w:val="bottom"/>
          </w:tcPr>
          <w:p>
            <w:pPr>
              <w:ind w:left="100"/>
              <w:spacing w:after="0"/>
              <w:rPr>
                <w:sz w:val="20"/>
                <w:szCs w:val="20"/>
                <w:color w:val="auto"/>
              </w:rPr>
            </w:pPr>
            <w:r>
              <w:rPr>
                <w:rFonts w:ascii="Arial" w:cs="Arial" w:eastAsia="Arial" w:hAnsi="Arial"/>
                <w:sz w:val="13"/>
                <w:szCs w:val="13"/>
                <w:b w:val="1"/>
                <w:bCs w:val="1"/>
                <w:color w:val="auto"/>
              </w:rPr>
              <w:t>James Fairweather</w:t>
            </w:r>
          </w:p>
        </w:tc>
        <w:tc>
          <w:tcPr>
            <w:tcW w:w="840" w:type="dxa"/>
            <w:vAlign w:val="bottom"/>
            <w:tcBorders>
              <w:right w:val="single" w:sz="8" w:color="0072AF"/>
            </w:tcBorders>
          </w:tcPr>
          <w:p>
            <w:pPr>
              <w:spacing w:after="0"/>
              <w:rPr>
                <w:sz w:val="18"/>
                <w:szCs w:val="18"/>
                <w:color w:val="auto"/>
              </w:rPr>
            </w:pPr>
          </w:p>
        </w:tc>
        <w:tc>
          <w:tcPr>
            <w:tcW w:w="620" w:type="dxa"/>
            <w:vAlign w:val="bottom"/>
            <w:shd w:val="clear" w:color="auto" w:fill="CBCEE0"/>
          </w:tcPr>
          <w:p>
            <w:pPr>
              <w:spacing w:after="0"/>
              <w:rPr>
                <w:sz w:val="18"/>
                <w:szCs w:val="18"/>
                <w:color w:val="auto"/>
              </w:rPr>
            </w:pPr>
          </w:p>
        </w:tc>
        <w:tc>
          <w:tcPr>
            <w:tcW w:w="60" w:type="dxa"/>
            <w:vAlign w:val="bottom"/>
            <w:shd w:val="clear" w:color="auto" w:fill="CBCEE0"/>
          </w:tcPr>
          <w:p>
            <w:pPr>
              <w:spacing w:after="0"/>
              <w:rPr>
                <w:sz w:val="18"/>
                <w:szCs w:val="18"/>
                <w:color w:val="auto"/>
              </w:rPr>
            </w:pPr>
          </w:p>
        </w:tc>
        <w:tc>
          <w:tcPr>
            <w:tcW w:w="600" w:type="dxa"/>
            <w:vAlign w:val="bottom"/>
            <w:shd w:val="clear" w:color="auto" w:fill="CBCEE0"/>
          </w:tcPr>
          <w:p>
            <w:pPr>
              <w:spacing w:after="0"/>
              <w:rPr>
                <w:sz w:val="18"/>
                <w:szCs w:val="18"/>
                <w:color w:val="auto"/>
              </w:rPr>
            </w:pPr>
          </w:p>
        </w:tc>
        <w:tc>
          <w:tcPr>
            <w:tcW w:w="620" w:type="dxa"/>
            <w:vAlign w:val="bottom"/>
            <w:shd w:val="clear" w:color="auto" w:fill="CBCEE0"/>
          </w:tcPr>
          <w:p>
            <w:pPr>
              <w:spacing w:after="0"/>
              <w:rPr>
                <w:sz w:val="18"/>
                <w:szCs w:val="18"/>
                <w:color w:val="auto"/>
              </w:rPr>
            </w:pPr>
          </w:p>
        </w:tc>
        <w:tc>
          <w:tcPr>
            <w:tcW w:w="60" w:type="dxa"/>
            <w:vAlign w:val="bottom"/>
            <w:shd w:val="clear" w:color="auto" w:fill="CBCEE0"/>
          </w:tcPr>
          <w:p>
            <w:pPr>
              <w:spacing w:after="0"/>
              <w:rPr>
                <w:sz w:val="18"/>
                <w:szCs w:val="18"/>
                <w:color w:val="auto"/>
              </w:rPr>
            </w:pPr>
          </w:p>
        </w:tc>
        <w:tc>
          <w:tcPr>
            <w:tcW w:w="640" w:type="dxa"/>
            <w:vAlign w:val="bottom"/>
            <w:shd w:val="clear" w:color="auto" w:fill="CBCEE0"/>
          </w:tcPr>
          <w:p>
            <w:pPr>
              <w:spacing w:after="0"/>
              <w:rPr>
                <w:sz w:val="18"/>
                <w:szCs w:val="18"/>
                <w:color w:val="auto"/>
              </w:rPr>
            </w:pPr>
          </w:p>
        </w:tc>
        <w:tc>
          <w:tcPr>
            <w:tcW w:w="520" w:type="dxa"/>
            <w:vAlign w:val="bottom"/>
            <w:shd w:val="clear" w:color="auto" w:fill="CBCEE0"/>
          </w:tcPr>
          <w:p>
            <w:pPr>
              <w:spacing w:after="0"/>
              <w:rPr>
                <w:sz w:val="18"/>
                <w:szCs w:val="18"/>
                <w:color w:val="auto"/>
              </w:rPr>
            </w:pPr>
          </w:p>
        </w:tc>
        <w:tc>
          <w:tcPr>
            <w:tcW w:w="620" w:type="dxa"/>
            <w:vAlign w:val="bottom"/>
            <w:shd w:val="clear" w:color="auto" w:fill="CBCEE0"/>
          </w:tcPr>
          <w:p>
            <w:pPr>
              <w:spacing w:after="0"/>
              <w:rPr>
                <w:sz w:val="18"/>
                <w:szCs w:val="18"/>
                <w:color w:val="auto"/>
              </w:rPr>
            </w:pPr>
          </w:p>
        </w:tc>
        <w:tc>
          <w:tcPr>
            <w:tcW w:w="740" w:type="dxa"/>
            <w:vAlign w:val="bottom"/>
            <w:shd w:val="clear" w:color="auto" w:fill="CBCEE0"/>
          </w:tcPr>
          <w:p>
            <w:pPr>
              <w:spacing w:after="0"/>
              <w:rPr>
                <w:sz w:val="18"/>
                <w:szCs w:val="18"/>
                <w:color w:val="auto"/>
              </w:rPr>
            </w:pPr>
          </w:p>
        </w:tc>
        <w:tc>
          <w:tcPr>
            <w:tcW w:w="720" w:type="dxa"/>
            <w:vAlign w:val="bottom"/>
            <w:shd w:val="clear" w:color="auto" w:fill="CBCEE0"/>
          </w:tcPr>
          <w:p>
            <w:pPr>
              <w:spacing w:after="0"/>
              <w:rPr>
                <w:sz w:val="18"/>
                <w:szCs w:val="18"/>
                <w:color w:val="auto"/>
              </w:rPr>
            </w:pPr>
          </w:p>
        </w:tc>
        <w:tc>
          <w:tcPr>
            <w:tcW w:w="580" w:type="dxa"/>
            <w:vAlign w:val="bottom"/>
            <w:shd w:val="clear" w:color="auto" w:fill="CBCEE0"/>
          </w:tcPr>
          <w:p>
            <w:pPr>
              <w:spacing w:after="0"/>
              <w:rPr>
                <w:sz w:val="18"/>
                <w:szCs w:val="18"/>
                <w:color w:val="auto"/>
              </w:rPr>
            </w:pPr>
          </w:p>
        </w:tc>
        <w:tc>
          <w:tcPr>
            <w:tcW w:w="660" w:type="dxa"/>
            <w:vAlign w:val="bottom"/>
            <w:shd w:val="clear" w:color="auto" w:fill="CBCEE0"/>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1900" w:type="dxa"/>
            <w:vAlign w:val="bottom"/>
          </w:tcPr>
          <w:p>
            <w:pPr>
              <w:ind w:left="100"/>
              <w:spacing w:after="0"/>
              <w:rPr>
                <w:sz w:val="20"/>
                <w:szCs w:val="20"/>
                <w:color w:val="auto"/>
              </w:rPr>
            </w:pPr>
            <w:r>
              <w:rPr>
                <w:rFonts w:ascii="Arial" w:cs="Arial" w:eastAsia="Arial" w:hAnsi="Arial"/>
                <w:sz w:val="13"/>
                <w:szCs w:val="13"/>
                <w:color w:val="auto"/>
              </w:rPr>
              <w:t>Annual Incentive</w:t>
            </w:r>
            <w:r>
              <w:rPr>
                <w:rFonts w:ascii="Arial" w:cs="Arial" w:eastAsia="Arial" w:hAnsi="Arial"/>
                <w:sz w:val="20"/>
                <w:szCs w:val="20"/>
                <w:color w:val="auto"/>
                <w:vertAlign w:val="superscript"/>
              </w:rPr>
              <w:t>(2)</w:t>
            </w:r>
          </w:p>
        </w:tc>
        <w:tc>
          <w:tcPr>
            <w:tcW w:w="840" w:type="dxa"/>
            <w:vAlign w:val="bottom"/>
            <w:tcBorders>
              <w:right w:val="single" w:sz="8" w:color="0072AF"/>
            </w:tcBorders>
          </w:tcPr>
          <w:p>
            <w:pPr>
              <w:spacing w:after="0"/>
              <w:rPr>
                <w:sz w:val="24"/>
                <w:szCs w:val="24"/>
                <w:color w:val="auto"/>
              </w:rPr>
            </w:pPr>
          </w:p>
        </w:tc>
        <w:tc>
          <w:tcPr>
            <w:tcW w:w="620" w:type="dxa"/>
            <w:vAlign w:val="bottom"/>
            <w:shd w:val="clear" w:color="auto" w:fill="CBCEE0"/>
          </w:tcPr>
          <w:p>
            <w:pPr>
              <w:jc w:val="center"/>
              <w:spacing w:after="0"/>
              <w:rPr>
                <w:sz w:val="20"/>
                <w:szCs w:val="20"/>
                <w:color w:val="auto"/>
              </w:rPr>
            </w:pPr>
            <w:r>
              <w:rPr>
                <w:rFonts w:ascii="Arial" w:cs="Arial" w:eastAsia="Arial" w:hAnsi="Arial"/>
                <w:sz w:val="13"/>
                <w:szCs w:val="13"/>
                <w:color w:val="auto"/>
                <w:w w:val="95"/>
              </w:rPr>
              <w:t>52,924</w:t>
            </w:r>
          </w:p>
        </w:tc>
        <w:tc>
          <w:tcPr>
            <w:tcW w:w="660" w:type="dxa"/>
            <w:vAlign w:val="bottom"/>
            <w:gridSpan w:val="2"/>
            <w:shd w:val="clear" w:color="auto" w:fill="CBCEE0"/>
          </w:tcPr>
          <w:p>
            <w:pPr>
              <w:ind w:left="160"/>
              <w:spacing w:after="0"/>
              <w:rPr>
                <w:sz w:val="20"/>
                <w:szCs w:val="20"/>
                <w:color w:val="auto"/>
              </w:rPr>
            </w:pPr>
            <w:r>
              <w:rPr>
                <w:rFonts w:ascii="Arial" w:cs="Arial" w:eastAsia="Arial" w:hAnsi="Arial"/>
                <w:sz w:val="13"/>
                <w:szCs w:val="13"/>
                <w:color w:val="auto"/>
              </w:rPr>
              <w:t>352,829</w:t>
            </w:r>
          </w:p>
        </w:tc>
        <w:tc>
          <w:tcPr>
            <w:tcW w:w="620" w:type="dxa"/>
            <w:vAlign w:val="bottom"/>
            <w:shd w:val="clear" w:color="auto" w:fill="CBCEE0"/>
          </w:tcPr>
          <w:p>
            <w:pPr>
              <w:jc w:val="right"/>
              <w:spacing w:after="0"/>
              <w:rPr>
                <w:sz w:val="20"/>
                <w:szCs w:val="20"/>
                <w:color w:val="auto"/>
              </w:rPr>
            </w:pPr>
            <w:r>
              <w:rPr>
                <w:rFonts w:ascii="Arial" w:cs="Arial" w:eastAsia="Arial" w:hAnsi="Arial"/>
                <w:sz w:val="13"/>
                <w:szCs w:val="13"/>
                <w:color w:val="auto"/>
              </w:rPr>
              <w:t>564,526</w:t>
            </w:r>
          </w:p>
        </w:tc>
        <w:tc>
          <w:tcPr>
            <w:tcW w:w="60" w:type="dxa"/>
            <w:vAlign w:val="bottom"/>
            <w:shd w:val="clear" w:color="auto" w:fill="CBCEE0"/>
          </w:tcPr>
          <w:p>
            <w:pPr>
              <w:spacing w:after="0"/>
              <w:rPr>
                <w:sz w:val="24"/>
                <w:szCs w:val="24"/>
                <w:color w:val="auto"/>
              </w:rPr>
            </w:pPr>
          </w:p>
        </w:tc>
        <w:tc>
          <w:tcPr>
            <w:tcW w:w="640" w:type="dxa"/>
            <w:vAlign w:val="bottom"/>
            <w:shd w:val="clear" w:color="auto" w:fill="CBCEE0"/>
          </w:tcPr>
          <w:p>
            <w:pPr>
              <w:spacing w:after="0"/>
              <w:rPr>
                <w:sz w:val="24"/>
                <w:szCs w:val="24"/>
                <w:color w:val="auto"/>
              </w:rPr>
            </w:pPr>
          </w:p>
        </w:tc>
        <w:tc>
          <w:tcPr>
            <w:tcW w:w="520" w:type="dxa"/>
            <w:vAlign w:val="bottom"/>
            <w:shd w:val="clear" w:color="auto" w:fill="CBCEE0"/>
          </w:tcPr>
          <w:p>
            <w:pPr>
              <w:spacing w:after="0"/>
              <w:rPr>
                <w:sz w:val="24"/>
                <w:szCs w:val="24"/>
                <w:color w:val="auto"/>
              </w:rPr>
            </w:pPr>
          </w:p>
        </w:tc>
        <w:tc>
          <w:tcPr>
            <w:tcW w:w="620" w:type="dxa"/>
            <w:vAlign w:val="bottom"/>
            <w:shd w:val="clear" w:color="auto" w:fill="CBCEE0"/>
          </w:tcPr>
          <w:p>
            <w:pPr>
              <w:spacing w:after="0"/>
              <w:rPr>
                <w:sz w:val="24"/>
                <w:szCs w:val="24"/>
                <w:color w:val="auto"/>
              </w:rPr>
            </w:pPr>
          </w:p>
        </w:tc>
        <w:tc>
          <w:tcPr>
            <w:tcW w:w="740" w:type="dxa"/>
            <w:vAlign w:val="bottom"/>
            <w:shd w:val="clear" w:color="auto" w:fill="CBCEE0"/>
          </w:tcPr>
          <w:p>
            <w:pPr>
              <w:spacing w:after="0"/>
              <w:rPr>
                <w:sz w:val="24"/>
                <w:szCs w:val="24"/>
                <w:color w:val="auto"/>
              </w:rPr>
            </w:pPr>
          </w:p>
        </w:tc>
        <w:tc>
          <w:tcPr>
            <w:tcW w:w="720" w:type="dxa"/>
            <w:vAlign w:val="bottom"/>
            <w:shd w:val="clear" w:color="auto" w:fill="CBCEE0"/>
          </w:tcPr>
          <w:p>
            <w:pPr>
              <w:spacing w:after="0"/>
              <w:rPr>
                <w:sz w:val="24"/>
                <w:szCs w:val="24"/>
                <w:color w:val="auto"/>
              </w:rPr>
            </w:pPr>
          </w:p>
        </w:tc>
        <w:tc>
          <w:tcPr>
            <w:tcW w:w="580" w:type="dxa"/>
            <w:vAlign w:val="bottom"/>
            <w:shd w:val="clear" w:color="auto" w:fill="CBCEE0"/>
          </w:tcPr>
          <w:p>
            <w:pPr>
              <w:spacing w:after="0"/>
              <w:rPr>
                <w:sz w:val="24"/>
                <w:szCs w:val="24"/>
                <w:color w:val="auto"/>
              </w:rPr>
            </w:pPr>
          </w:p>
        </w:tc>
        <w:tc>
          <w:tcPr>
            <w:tcW w:w="660" w:type="dxa"/>
            <w:vAlign w:val="bottom"/>
            <w:shd w:val="clear" w:color="auto" w:fill="CBCEE0"/>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tcPr>
          <w:p>
            <w:pPr>
              <w:ind w:left="100"/>
              <w:spacing w:after="0"/>
              <w:rPr>
                <w:sz w:val="20"/>
                <w:szCs w:val="20"/>
                <w:color w:val="auto"/>
              </w:rPr>
            </w:pPr>
            <w:r>
              <w:rPr>
                <w:rFonts w:ascii="Arial" w:cs="Arial" w:eastAsia="Arial" w:hAnsi="Arial"/>
                <w:sz w:val="13"/>
                <w:szCs w:val="13"/>
                <w:color w:val="auto"/>
              </w:rPr>
              <w:t>Cash Incentive Units</w:t>
            </w:r>
            <w:r>
              <w:rPr>
                <w:rFonts w:ascii="Arial" w:cs="Arial" w:eastAsia="Arial" w:hAnsi="Arial"/>
                <w:sz w:val="20"/>
                <w:szCs w:val="20"/>
                <w:color w:val="auto"/>
                <w:vertAlign w:val="superscript"/>
              </w:rPr>
              <w:t>(3)</w:t>
            </w:r>
          </w:p>
        </w:tc>
        <w:tc>
          <w:tcPr>
            <w:tcW w:w="840" w:type="dxa"/>
            <w:vAlign w:val="bottom"/>
            <w:tcBorders>
              <w:right w:val="single" w:sz="8" w:color="0072AF"/>
            </w:tcBorders>
          </w:tcPr>
          <w:p>
            <w:pPr>
              <w:jc w:val="center"/>
              <w:ind w:left="17"/>
              <w:spacing w:after="0"/>
              <w:rPr>
                <w:sz w:val="20"/>
                <w:szCs w:val="20"/>
                <w:color w:val="auto"/>
              </w:rPr>
            </w:pPr>
            <w:r>
              <w:rPr>
                <w:rFonts w:ascii="Arial" w:cs="Arial" w:eastAsia="Arial" w:hAnsi="Arial"/>
                <w:sz w:val="13"/>
                <w:szCs w:val="13"/>
                <w:color w:val="auto"/>
                <w:w w:val="96"/>
              </w:rPr>
              <w:t>2/14/2023​</w:t>
            </w:r>
          </w:p>
        </w:tc>
        <w:tc>
          <w:tcPr>
            <w:tcW w:w="620" w:type="dxa"/>
            <w:vAlign w:val="bottom"/>
            <w:shd w:val="clear" w:color="auto" w:fill="CBCEE0"/>
          </w:tcPr>
          <w:p>
            <w:pPr>
              <w:jc w:val="center"/>
              <w:spacing w:after="0"/>
              <w:rPr>
                <w:sz w:val="20"/>
                <w:szCs w:val="20"/>
                <w:color w:val="auto"/>
              </w:rPr>
            </w:pPr>
            <w:r>
              <w:rPr>
                <w:rFonts w:ascii="Arial" w:cs="Arial" w:eastAsia="Arial" w:hAnsi="Arial"/>
                <w:sz w:val="13"/>
                <w:szCs w:val="13"/>
                <w:color w:val="auto"/>
                <w:w w:val="95"/>
              </w:rPr>
              <w:t>47,520</w:t>
            </w:r>
          </w:p>
        </w:tc>
        <w:tc>
          <w:tcPr>
            <w:tcW w:w="660" w:type="dxa"/>
            <w:vAlign w:val="bottom"/>
            <w:gridSpan w:val="2"/>
            <w:shd w:val="clear" w:color="auto" w:fill="CBCEE0"/>
          </w:tcPr>
          <w:p>
            <w:pPr>
              <w:ind w:left="160"/>
              <w:spacing w:after="0"/>
              <w:rPr>
                <w:sz w:val="20"/>
                <w:szCs w:val="20"/>
                <w:color w:val="auto"/>
              </w:rPr>
            </w:pPr>
            <w:r>
              <w:rPr>
                <w:rFonts w:ascii="Arial" w:cs="Arial" w:eastAsia="Arial" w:hAnsi="Arial"/>
                <w:sz w:val="13"/>
                <w:szCs w:val="13"/>
                <w:color w:val="auto"/>
              </w:rPr>
              <w:t>960,000</w:t>
            </w:r>
          </w:p>
        </w:tc>
        <w:tc>
          <w:tcPr>
            <w:tcW w:w="620" w:type="dxa"/>
            <w:vAlign w:val="bottom"/>
            <w:shd w:val="clear" w:color="auto" w:fill="CBCEE0"/>
          </w:tcPr>
          <w:p>
            <w:pPr>
              <w:jc w:val="center"/>
              <w:spacing w:after="0"/>
              <w:rPr>
                <w:sz w:val="20"/>
                <w:szCs w:val="20"/>
                <w:color w:val="auto"/>
              </w:rPr>
            </w:pPr>
            <w:r>
              <w:rPr>
                <w:rFonts w:ascii="Arial" w:cs="Arial" w:eastAsia="Arial" w:hAnsi="Arial"/>
                <w:sz w:val="13"/>
                <w:szCs w:val="13"/>
                <w:color w:val="auto"/>
                <w:w w:val="96"/>
              </w:rPr>
              <w:t>1,920,000</w:t>
            </w:r>
          </w:p>
        </w:tc>
        <w:tc>
          <w:tcPr>
            <w:tcW w:w="60" w:type="dxa"/>
            <w:vAlign w:val="bottom"/>
            <w:shd w:val="clear" w:color="auto" w:fill="CBCEE0"/>
          </w:tcPr>
          <w:p>
            <w:pPr>
              <w:spacing w:after="0"/>
              <w:rPr>
                <w:sz w:val="24"/>
                <w:szCs w:val="24"/>
                <w:color w:val="auto"/>
              </w:rPr>
            </w:pPr>
          </w:p>
        </w:tc>
        <w:tc>
          <w:tcPr>
            <w:tcW w:w="640" w:type="dxa"/>
            <w:vAlign w:val="bottom"/>
            <w:shd w:val="clear" w:color="auto" w:fill="CBCEE0"/>
          </w:tcPr>
          <w:p>
            <w:pPr>
              <w:spacing w:after="0"/>
              <w:rPr>
                <w:sz w:val="24"/>
                <w:szCs w:val="24"/>
                <w:color w:val="auto"/>
              </w:rPr>
            </w:pPr>
          </w:p>
        </w:tc>
        <w:tc>
          <w:tcPr>
            <w:tcW w:w="520" w:type="dxa"/>
            <w:vAlign w:val="bottom"/>
            <w:shd w:val="clear" w:color="auto" w:fill="CBCEE0"/>
          </w:tcPr>
          <w:p>
            <w:pPr>
              <w:spacing w:after="0"/>
              <w:rPr>
                <w:sz w:val="24"/>
                <w:szCs w:val="24"/>
                <w:color w:val="auto"/>
              </w:rPr>
            </w:pPr>
          </w:p>
        </w:tc>
        <w:tc>
          <w:tcPr>
            <w:tcW w:w="620" w:type="dxa"/>
            <w:vAlign w:val="bottom"/>
            <w:shd w:val="clear" w:color="auto" w:fill="CBCEE0"/>
          </w:tcPr>
          <w:p>
            <w:pPr>
              <w:spacing w:after="0"/>
              <w:rPr>
                <w:sz w:val="24"/>
                <w:szCs w:val="24"/>
                <w:color w:val="auto"/>
              </w:rPr>
            </w:pPr>
          </w:p>
        </w:tc>
        <w:tc>
          <w:tcPr>
            <w:tcW w:w="740" w:type="dxa"/>
            <w:vAlign w:val="bottom"/>
            <w:shd w:val="clear" w:color="auto" w:fill="CBCEE0"/>
          </w:tcPr>
          <w:p>
            <w:pPr>
              <w:spacing w:after="0"/>
              <w:rPr>
                <w:sz w:val="24"/>
                <w:szCs w:val="24"/>
                <w:color w:val="auto"/>
              </w:rPr>
            </w:pPr>
          </w:p>
        </w:tc>
        <w:tc>
          <w:tcPr>
            <w:tcW w:w="720" w:type="dxa"/>
            <w:vAlign w:val="bottom"/>
            <w:shd w:val="clear" w:color="auto" w:fill="CBCEE0"/>
          </w:tcPr>
          <w:p>
            <w:pPr>
              <w:spacing w:after="0"/>
              <w:rPr>
                <w:sz w:val="24"/>
                <w:szCs w:val="24"/>
                <w:color w:val="auto"/>
              </w:rPr>
            </w:pPr>
          </w:p>
        </w:tc>
        <w:tc>
          <w:tcPr>
            <w:tcW w:w="580" w:type="dxa"/>
            <w:vAlign w:val="bottom"/>
            <w:shd w:val="clear" w:color="auto" w:fill="CBCEE0"/>
          </w:tcPr>
          <w:p>
            <w:pPr>
              <w:spacing w:after="0"/>
              <w:rPr>
                <w:sz w:val="24"/>
                <w:szCs w:val="24"/>
                <w:color w:val="auto"/>
              </w:rPr>
            </w:pPr>
          </w:p>
        </w:tc>
        <w:tc>
          <w:tcPr>
            <w:tcW w:w="660" w:type="dxa"/>
            <w:vAlign w:val="bottom"/>
            <w:shd w:val="clear" w:color="auto" w:fill="CBCEE0"/>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900" w:type="dxa"/>
            <w:vAlign w:val="bottom"/>
            <w:tcBorders>
              <w:bottom w:val="single" w:sz="8" w:color="0072AF"/>
            </w:tcBorders>
          </w:tcPr>
          <w:p>
            <w:pPr>
              <w:ind w:left="100"/>
              <w:spacing w:after="0"/>
              <w:rPr>
                <w:sz w:val="20"/>
                <w:szCs w:val="20"/>
                <w:color w:val="auto"/>
              </w:rPr>
            </w:pPr>
            <w:r>
              <w:rPr>
                <w:rFonts w:ascii="Arial" w:cs="Arial" w:eastAsia="Arial" w:hAnsi="Arial"/>
                <w:sz w:val="13"/>
                <w:szCs w:val="13"/>
                <w:color w:val="auto"/>
              </w:rPr>
              <w:t>Performance-Based RSUs</w:t>
            </w:r>
            <w:r>
              <w:rPr>
                <w:rFonts w:ascii="Arial" w:cs="Arial" w:eastAsia="Arial" w:hAnsi="Arial"/>
                <w:sz w:val="20"/>
                <w:szCs w:val="20"/>
                <w:color w:val="auto"/>
                <w:vertAlign w:val="superscript"/>
              </w:rPr>
              <w:t>(4)</w:t>
            </w:r>
          </w:p>
        </w:tc>
        <w:tc>
          <w:tcPr>
            <w:tcW w:w="840" w:type="dxa"/>
            <w:vAlign w:val="bottom"/>
            <w:tcBorders>
              <w:bottom w:val="single" w:sz="8" w:color="0072AF"/>
              <w:right w:val="single" w:sz="8" w:color="0072AF"/>
            </w:tcBorders>
          </w:tcPr>
          <w:p>
            <w:pPr>
              <w:jc w:val="center"/>
              <w:ind w:left="17"/>
              <w:spacing w:after="0"/>
              <w:rPr>
                <w:sz w:val="20"/>
                <w:szCs w:val="20"/>
                <w:color w:val="auto"/>
              </w:rPr>
            </w:pPr>
            <w:r>
              <w:rPr>
                <w:rFonts w:ascii="Arial" w:cs="Arial" w:eastAsia="Arial" w:hAnsi="Arial"/>
                <w:sz w:val="13"/>
                <w:szCs w:val="13"/>
                <w:color w:val="auto"/>
                <w:w w:val="96"/>
              </w:rPr>
              <w:t>2/14/2023​</w:t>
            </w:r>
          </w:p>
        </w:tc>
        <w:tc>
          <w:tcPr>
            <w:tcW w:w="620" w:type="dxa"/>
            <w:vAlign w:val="bottom"/>
            <w:tcBorders>
              <w:bottom w:val="single" w:sz="8" w:color="0072AF"/>
            </w:tcBorders>
            <w:shd w:val="clear" w:color="auto" w:fill="CBCEE0"/>
          </w:tcPr>
          <w:p>
            <w:pPr>
              <w:spacing w:after="0"/>
              <w:rPr>
                <w:sz w:val="24"/>
                <w:szCs w:val="24"/>
                <w:color w:val="auto"/>
              </w:rPr>
            </w:pPr>
          </w:p>
        </w:tc>
        <w:tc>
          <w:tcPr>
            <w:tcW w:w="60" w:type="dxa"/>
            <w:vAlign w:val="bottom"/>
            <w:tcBorders>
              <w:bottom w:val="single" w:sz="8" w:color="0072AF"/>
            </w:tcBorders>
            <w:shd w:val="clear" w:color="auto" w:fill="CBCEE0"/>
          </w:tcPr>
          <w:p>
            <w:pPr>
              <w:spacing w:after="0"/>
              <w:rPr>
                <w:sz w:val="24"/>
                <w:szCs w:val="24"/>
                <w:color w:val="auto"/>
              </w:rPr>
            </w:pPr>
          </w:p>
        </w:tc>
        <w:tc>
          <w:tcPr>
            <w:tcW w:w="600" w:type="dxa"/>
            <w:vAlign w:val="bottom"/>
            <w:tcBorders>
              <w:bottom w:val="single" w:sz="8" w:color="0072AF"/>
            </w:tcBorders>
            <w:shd w:val="clear" w:color="auto" w:fill="CBCEE0"/>
          </w:tcPr>
          <w:p>
            <w:pPr>
              <w:spacing w:after="0"/>
              <w:rPr>
                <w:sz w:val="24"/>
                <w:szCs w:val="24"/>
                <w:color w:val="auto"/>
              </w:rPr>
            </w:pPr>
          </w:p>
        </w:tc>
        <w:tc>
          <w:tcPr>
            <w:tcW w:w="620" w:type="dxa"/>
            <w:vAlign w:val="bottom"/>
            <w:tcBorders>
              <w:bottom w:val="single" w:sz="8" w:color="0072AF"/>
            </w:tcBorders>
            <w:shd w:val="clear" w:color="auto" w:fill="CBCEE0"/>
          </w:tcPr>
          <w:p>
            <w:pPr>
              <w:spacing w:after="0"/>
              <w:rPr>
                <w:sz w:val="24"/>
                <w:szCs w:val="24"/>
                <w:color w:val="auto"/>
              </w:rPr>
            </w:pPr>
          </w:p>
        </w:tc>
        <w:tc>
          <w:tcPr>
            <w:tcW w:w="60" w:type="dxa"/>
            <w:vAlign w:val="bottom"/>
            <w:tcBorders>
              <w:bottom w:val="single" w:sz="8" w:color="0072AF"/>
            </w:tcBorders>
            <w:shd w:val="clear" w:color="auto" w:fill="CBCEE0"/>
          </w:tcPr>
          <w:p>
            <w:pPr>
              <w:spacing w:after="0"/>
              <w:rPr>
                <w:sz w:val="24"/>
                <w:szCs w:val="24"/>
                <w:color w:val="auto"/>
              </w:rPr>
            </w:pPr>
          </w:p>
        </w:tc>
        <w:tc>
          <w:tcPr>
            <w:tcW w:w="640" w:type="dxa"/>
            <w:vAlign w:val="bottom"/>
            <w:tcBorders>
              <w:bottom w:val="single" w:sz="8" w:color="0072AF"/>
            </w:tcBorders>
            <w:shd w:val="clear" w:color="auto" w:fill="CBCEE0"/>
          </w:tcPr>
          <w:p>
            <w:pPr>
              <w:spacing w:after="0"/>
              <w:rPr>
                <w:sz w:val="24"/>
                <w:szCs w:val="24"/>
                <w:color w:val="auto"/>
              </w:rPr>
            </w:pPr>
          </w:p>
        </w:tc>
        <w:tc>
          <w:tcPr>
            <w:tcW w:w="520" w:type="dxa"/>
            <w:vAlign w:val="bottom"/>
            <w:tcBorders>
              <w:bottom w:val="single" w:sz="8" w:color="0072AF"/>
            </w:tcBorders>
            <w:shd w:val="clear" w:color="auto" w:fill="CBCEE0"/>
          </w:tcPr>
          <w:p>
            <w:pPr>
              <w:jc w:val="right"/>
              <w:spacing w:after="0"/>
              <w:rPr>
                <w:sz w:val="20"/>
                <w:szCs w:val="20"/>
                <w:color w:val="auto"/>
              </w:rPr>
            </w:pPr>
            <w:r>
              <w:rPr>
                <w:rFonts w:ascii="Arial" w:cs="Arial" w:eastAsia="Arial" w:hAnsi="Arial"/>
                <w:sz w:val="13"/>
                <w:szCs w:val="13"/>
                <w:color w:val="auto"/>
                <w:w w:val="97"/>
              </w:rPr>
              <w:t>146,119</w:t>
            </w:r>
          </w:p>
        </w:tc>
        <w:tc>
          <w:tcPr>
            <w:tcW w:w="620" w:type="dxa"/>
            <w:vAlign w:val="bottom"/>
            <w:tcBorders>
              <w:bottom w:val="single" w:sz="8" w:color="0072AF"/>
            </w:tcBorders>
            <w:shd w:val="clear" w:color="auto" w:fill="CBCEE0"/>
          </w:tcPr>
          <w:p>
            <w:pPr>
              <w:spacing w:after="0"/>
              <w:rPr>
                <w:sz w:val="24"/>
                <w:szCs w:val="24"/>
                <w:color w:val="auto"/>
              </w:rPr>
            </w:pPr>
          </w:p>
        </w:tc>
        <w:tc>
          <w:tcPr>
            <w:tcW w:w="740" w:type="dxa"/>
            <w:vAlign w:val="bottom"/>
            <w:tcBorders>
              <w:bottom w:val="single" w:sz="8" w:color="0072AF"/>
            </w:tcBorders>
            <w:shd w:val="clear" w:color="auto" w:fill="CBCEE0"/>
          </w:tcPr>
          <w:p>
            <w:pPr>
              <w:spacing w:after="0"/>
              <w:rPr>
                <w:sz w:val="24"/>
                <w:szCs w:val="24"/>
                <w:color w:val="auto"/>
              </w:rPr>
            </w:pPr>
          </w:p>
        </w:tc>
        <w:tc>
          <w:tcPr>
            <w:tcW w:w="720" w:type="dxa"/>
            <w:vAlign w:val="bottom"/>
            <w:tcBorders>
              <w:bottom w:val="single" w:sz="8" w:color="0072AF"/>
            </w:tcBorders>
            <w:shd w:val="clear" w:color="auto" w:fill="CBCEE0"/>
          </w:tcPr>
          <w:p>
            <w:pPr>
              <w:spacing w:after="0"/>
              <w:rPr>
                <w:sz w:val="24"/>
                <w:szCs w:val="24"/>
                <w:color w:val="auto"/>
              </w:rPr>
            </w:pPr>
          </w:p>
        </w:tc>
        <w:tc>
          <w:tcPr>
            <w:tcW w:w="580" w:type="dxa"/>
            <w:vAlign w:val="bottom"/>
            <w:tcBorders>
              <w:bottom w:val="single" w:sz="8" w:color="0072AF"/>
            </w:tcBorders>
            <w:shd w:val="clear" w:color="auto" w:fill="CBCEE0"/>
          </w:tcPr>
          <w:p>
            <w:pPr>
              <w:spacing w:after="0"/>
              <w:rPr>
                <w:sz w:val="24"/>
                <w:szCs w:val="24"/>
                <w:color w:val="auto"/>
              </w:rPr>
            </w:pPr>
          </w:p>
        </w:tc>
        <w:tc>
          <w:tcPr>
            <w:tcW w:w="660" w:type="dxa"/>
            <w:vAlign w:val="bottom"/>
            <w:tcBorders>
              <w:bottom w:val="single" w:sz="8" w:color="0072AF"/>
            </w:tcBorders>
            <w:shd w:val="clear" w:color="auto" w:fill="CBCEE0"/>
          </w:tcPr>
          <w:p>
            <w:pPr>
              <w:jc w:val="right"/>
              <w:spacing w:after="0"/>
              <w:rPr>
                <w:sz w:val="20"/>
                <w:szCs w:val="20"/>
                <w:color w:val="auto"/>
              </w:rPr>
            </w:pPr>
            <w:r>
              <w:rPr>
                <w:rFonts w:ascii="Arial" w:cs="Arial" w:eastAsia="Arial" w:hAnsi="Arial"/>
                <w:sz w:val="13"/>
                <w:szCs w:val="13"/>
                <w:color w:val="auto"/>
              </w:rPr>
              <w:t>585,937</w:t>
            </w:r>
          </w:p>
        </w:tc>
        <w:tc>
          <w:tcPr>
            <w:tcW w:w="0" w:type="dxa"/>
            <w:vAlign w:val="bottom"/>
          </w:tcPr>
          <w:p>
            <w:pPr>
              <w:spacing w:after="0"/>
              <w:rPr>
                <w:sz w:val="1"/>
                <w:szCs w:val="1"/>
                <w:color w:val="auto"/>
              </w:rPr>
            </w:pPr>
          </w:p>
        </w:tc>
      </w:tr>
      <w:tr>
        <w:trPr>
          <w:trHeight w:val="215"/>
        </w:trPr>
        <w:tc>
          <w:tcPr>
            <w:tcW w:w="1900" w:type="dxa"/>
            <w:vAlign w:val="bottom"/>
          </w:tcPr>
          <w:p>
            <w:pPr>
              <w:ind w:left="100"/>
              <w:spacing w:after="0"/>
              <w:rPr>
                <w:sz w:val="20"/>
                <w:szCs w:val="20"/>
                <w:color w:val="auto"/>
              </w:rPr>
            </w:pPr>
            <w:r>
              <w:rPr>
                <w:rFonts w:ascii="Arial" w:cs="Arial" w:eastAsia="Arial" w:hAnsi="Arial"/>
                <w:sz w:val="13"/>
                <w:szCs w:val="13"/>
                <w:b w:val="1"/>
                <w:bCs w:val="1"/>
                <w:color w:val="auto"/>
              </w:rPr>
              <w:t>Marc B. Lautenbach</w:t>
            </w:r>
          </w:p>
        </w:tc>
        <w:tc>
          <w:tcPr>
            <w:tcW w:w="840" w:type="dxa"/>
            <w:vAlign w:val="bottom"/>
            <w:tcBorders>
              <w:right w:val="single" w:sz="8" w:color="0072AF"/>
            </w:tcBorders>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1900" w:type="dxa"/>
            <w:vAlign w:val="bottom"/>
          </w:tcPr>
          <w:p>
            <w:pPr>
              <w:ind w:left="100"/>
              <w:spacing w:after="0"/>
              <w:rPr>
                <w:sz w:val="20"/>
                <w:szCs w:val="20"/>
                <w:color w:val="auto"/>
              </w:rPr>
            </w:pPr>
            <w:r>
              <w:rPr>
                <w:rFonts w:ascii="Arial" w:cs="Arial" w:eastAsia="Arial" w:hAnsi="Arial"/>
                <w:sz w:val="13"/>
                <w:szCs w:val="13"/>
                <w:color w:val="auto"/>
              </w:rPr>
              <w:t>Annual Incentive</w:t>
            </w:r>
            <w:r>
              <w:rPr>
                <w:rFonts w:ascii="Arial" w:cs="Arial" w:eastAsia="Arial" w:hAnsi="Arial"/>
                <w:sz w:val="20"/>
                <w:szCs w:val="20"/>
                <w:color w:val="auto"/>
                <w:vertAlign w:val="superscript"/>
              </w:rPr>
              <w:t>(2)</w:t>
            </w:r>
          </w:p>
        </w:tc>
        <w:tc>
          <w:tcPr>
            <w:tcW w:w="840" w:type="dxa"/>
            <w:vAlign w:val="bottom"/>
            <w:tcBorders>
              <w:right w:val="single" w:sz="8" w:color="0072AF"/>
            </w:tcBorders>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auto"/>
                <w:w w:val="97"/>
              </w:rPr>
              <w:t>247,500</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w w:val="96"/>
              </w:rPr>
              <w:t>1,650,000</w:t>
            </w:r>
          </w:p>
        </w:tc>
        <w:tc>
          <w:tcPr>
            <w:tcW w:w="620" w:type="dxa"/>
            <w:vAlign w:val="bottom"/>
          </w:tcPr>
          <w:p>
            <w:pPr>
              <w:jc w:val="center"/>
              <w:spacing w:after="0"/>
              <w:rPr>
                <w:sz w:val="20"/>
                <w:szCs w:val="20"/>
                <w:color w:val="auto"/>
              </w:rPr>
            </w:pPr>
            <w:r>
              <w:rPr>
                <w:rFonts w:ascii="Arial" w:cs="Arial" w:eastAsia="Arial" w:hAnsi="Arial"/>
                <w:sz w:val="13"/>
                <w:szCs w:val="13"/>
                <w:color w:val="auto"/>
                <w:w w:val="96"/>
              </w:rPr>
              <w:t>2,640,000</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tcPr>
          <w:p>
            <w:pPr>
              <w:ind w:left="100"/>
              <w:spacing w:after="0"/>
              <w:rPr>
                <w:sz w:val="20"/>
                <w:szCs w:val="20"/>
                <w:color w:val="auto"/>
              </w:rPr>
            </w:pPr>
            <w:r>
              <w:rPr>
                <w:rFonts w:ascii="Arial" w:cs="Arial" w:eastAsia="Arial" w:hAnsi="Arial"/>
                <w:sz w:val="13"/>
                <w:szCs w:val="13"/>
                <w:color w:val="auto"/>
              </w:rPr>
              <w:t>Cash Incentive Units</w:t>
            </w:r>
            <w:r>
              <w:rPr>
                <w:rFonts w:ascii="Arial" w:cs="Arial" w:eastAsia="Arial" w:hAnsi="Arial"/>
                <w:sz w:val="20"/>
                <w:szCs w:val="20"/>
                <w:color w:val="auto"/>
                <w:vertAlign w:val="superscript"/>
              </w:rPr>
              <w:t>(3)</w:t>
            </w:r>
          </w:p>
        </w:tc>
        <w:tc>
          <w:tcPr>
            <w:tcW w:w="840" w:type="dxa"/>
            <w:vAlign w:val="bottom"/>
            <w:tcBorders>
              <w:right w:val="single" w:sz="8" w:color="0072AF"/>
            </w:tcBorders>
          </w:tcPr>
          <w:p>
            <w:pPr>
              <w:jc w:val="center"/>
              <w:ind w:left="17"/>
              <w:spacing w:after="0"/>
              <w:rPr>
                <w:sz w:val="20"/>
                <w:szCs w:val="20"/>
                <w:color w:val="auto"/>
              </w:rPr>
            </w:pPr>
            <w:r>
              <w:rPr>
                <w:rFonts w:ascii="Arial" w:cs="Arial" w:eastAsia="Arial" w:hAnsi="Arial"/>
                <w:sz w:val="13"/>
                <w:szCs w:val="13"/>
                <w:color w:val="auto"/>
                <w:w w:val="96"/>
              </w:rPr>
              <w:t>2/14/2023</w:t>
            </w:r>
          </w:p>
        </w:tc>
        <w:tc>
          <w:tcPr>
            <w:tcW w:w="620" w:type="dxa"/>
            <w:vAlign w:val="bottom"/>
          </w:tcPr>
          <w:p>
            <w:pPr>
              <w:jc w:val="center"/>
              <w:spacing w:after="0"/>
              <w:rPr>
                <w:sz w:val="20"/>
                <w:szCs w:val="20"/>
                <w:color w:val="auto"/>
              </w:rPr>
            </w:pPr>
            <w:r>
              <w:rPr>
                <w:rFonts w:ascii="Arial" w:cs="Arial" w:eastAsia="Arial" w:hAnsi="Arial"/>
                <w:sz w:val="13"/>
                <w:szCs w:val="13"/>
                <w:color w:val="auto"/>
                <w:w w:val="97"/>
              </w:rPr>
              <w:t>209,385</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w w:val="96"/>
              </w:rPr>
              <w:t>4,230,000</w:t>
            </w:r>
          </w:p>
        </w:tc>
        <w:tc>
          <w:tcPr>
            <w:tcW w:w="620" w:type="dxa"/>
            <w:vAlign w:val="bottom"/>
          </w:tcPr>
          <w:p>
            <w:pPr>
              <w:jc w:val="center"/>
              <w:spacing w:after="0"/>
              <w:rPr>
                <w:sz w:val="20"/>
                <w:szCs w:val="20"/>
                <w:color w:val="auto"/>
              </w:rPr>
            </w:pPr>
            <w:r>
              <w:rPr>
                <w:rFonts w:ascii="Arial" w:cs="Arial" w:eastAsia="Arial" w:hAnsi="Arial"/>
                <w:sz w:val="13"/>
                <w:szCs w:val="13"/>
                <w:color w:val="auto"/>
                <w:w w:val="96"/>
              </w:rPr>
              <w:t>8,460,000</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900" w:type="dxa"/>
            <w:vAlign w:val="bottom"/>
            <w:tcBorders>
              <w:bottom w:val="single" w:sz="8" w:color="0072AF"/>
            </w:tcBorders>
          </w:tcPr>
          <w:p>
            <w:pPr>
              <w:ind w:left="100"/>
              <w:spacing w:after="0"/>
              <w:rPr>
                <w:sz w:val="20"/>
                <w:szCs w:val="20"/>
                <w:color w:val="auto"/>
              </w:rPr>
            </w:pPr>
            <w:r>
              <w:rPr>
                <w:rFonts w:ascii="Arial" w:cs="Arial" w:eastAsia="Arial" w:hAnsi="Arial"/>
                <w:sz w:val="13"/>
                <w:szCs w:val="13"/>
                <w:color w:val="auto"/>
              </w:rPr>
              <w:t>Performance-Based RSUs</w:t>
            </w:r>
            <w:r>
              <w:rPr>
                <w:rFonts w:ascii="Arial" w:cs="Arial" w:eastAsia="Arial" w:hAnsi="Arial"/>
                <w:sz w:val="20"/>
                <w:szCs w:val="20"/>
                <w:color w:val="auto"/>
                <w:vertAlign w:val="superscript"/>
              </w:rPr>
              <w:t>(4)</w:t>
            </w:r>
          </w:p>
        </w:tc>
        <w:tc>
          <w:tcPr>
            <w:tcW w:w="840" w:type="dxa"/>
            <w:vAlign w:val="bottom"/>
            <w:tcBorders>
              <w:bottom w:val="single" w:sz="8" w:color="0072AF"/>
              <w:right w:val="single" w:sz="8" w:color="0072AF"/>
            </w:tcBorders>
          </w:tcPr>
          <w:p>
            <w:pPr>
              <w:jc w:val="center"/>
              <w:ind w:left="17"/>
              <w:spacing w:after="0"/>
              <w:rPr>
                <w:sz w:val="20"/>
                <w:szCs w:val="20"/>
                <w:color w:val="auto"/>
              </w:rPr>
            </w:pPr>
            <w:r>
              <w:rPr>
                <w:rFonts w:ascii="Arial" w:cs="Arial" w:eastAsia="Arial" w:hAnsi="Arial"/>
                <w:sz w:val="13"/>
                <w:szCs w:val="13"/>
                <w:color w:val="auto"/>
                <w:w w:val="96"/>
              </w:rPr>
              <w:t>2/14/2023</w:t>
            </w:r>
          </w:p>
        </w:tc>
        <w:tc>
          <w:tcPr>
            <w:tcW w:w="620" w:type="dxa"/>
            <w:vAlign w:val="bottom"/>
            <w:tcBorders>
              <w:bottom w:val="single" w:sz="8" w:color="0072AF"/>
            </w:tcBorders>
          </w:tcPr>
          <w:p>
            <w:pPr>
              <w:spacing w:after="0"/>
              <w:rPr>
                <w:sz w:val="23"/>
                <w:szCs w:val="23"/>
                <w:color w:val="auto"/>
              </w:rPr>
            </w:pPr>
          </w:p>
        </w:tc>
        <w:tc>
          <w:tcPr>
            <w:tcW w:w="60" w:type="dxa"/>
            <w:vAlign w:val="bottom"/>
            <w:tcBorders>
              <w:bottom w:val="single" w:sz="8" w:color="0072AF"/>
            </w:tcBorders>
          </w:tcPr>
          <w:p>
            <w:pPr>
              <w:spacing w:after="0"/>
              <w:rPr>
                <w:sz w:val="23"/>
                <w:szCs w:val="23"/>
                <w:color w:val="auto"/>
              </w:rPr>
            </w:pPr>
          </w:p>
        </w:tc>
        <w:tc>
          <w:tcPr>
            <w:tcW w:w="600" w:type="dxa"/>
            <w:vAlign w:val="bottom"/>
            <w:tcBorders>
              <w:bottom w:val="single" w:sz="8" w:color="0072AF"/>
            </w:tcBorders>
          </w:tcPr>
          <w:p>
            <w:pPr>
              <w:spacing w:after="0"/>
              <w:rPr>
                <w:sz w:val="23"/>
                <w:szCs w:val="23"/>
                <w:color w:val="auto"/>
              </w:rPr>
            </w:pPr>
          </w:p>
        </w:tc>
        <w:tc>
          <w:tcPr>
            <w:tcW w:w="620" w:type="dxa"/>
            <w:vAlign w:val="bottom"/>
            <w:tcBorders>
              <w:bottom w:val="single" w:sz="8" w:color="0072AF"/>
            </w:tcBorders>
          </w:tcPr>
          <w:p>
            <w:pPr>
              <w:spacing w:after="0"/>
              <w:rPr>
                <w:sz w:val="23"/>
                <w:szCs w:val="23"/>
                <w:color w:val="auto"/>
              </w:rPr>
            </w:pPr>
          </w:p>
        </w:tc>
        <w:tc>
          <w:tcPr>
            <w:tcW w:w="60" w:type="dxa"/>
            <w:vAlign w:val="bottom"/>
            <w:tcBorders>
              <w:bottom w:val="single" w:sz="8" w:color="0072AF"/>
            </w:tcBorders>
          </w:tcPr>
          <w:p>
            <w:pPr>
              <w:spacing w:after="0"/>
              <w:rPr>
                <w:sz w:val="23"/>
                <w:szCs w:val="23"/>
                <w:color w:val="auto"/>
              </w:rPr>
            </w:pPr>
          </w:p>
        </w:tc>
        <w:tc>
          <w:tcPr>
            <w:tcW w:w="640" w:type="dxa"/>
            <w:vAlign w:val="bottom"/>
            <w:tcBorders>
              <w:bottom w:val="single" w:sz="8" w:color="0072AF"/>
            </w:tcBorders>
          </w:tcPr>
          <w:p>
            <w:pPr>
              <w:spacing w:after="0"/>
              <w:rPr>
                <w:sz w:val="23"/>
                <w:szCs w:val="23"/>
                <w:color w:val="auto"/>
              </w:rPr>
            </w:pPr>
          </w:p>
        </w:tc>
        <w:tc>
          <w:tcPr>
            <w:tcW w:w="520" w:type="dxa"/>
            <w:vAlign w:val="bottom"/>
            <w:tcBorders>
              <w:bottom w:val="single" w:sz="8" w:color="0072AF"/>
            </w:tcBorders>
          </w:tcPr>
          <w:p>
            <w:pPr>
              <w:jc w:val="right"/>
              <w:spacing w:after="0"/>
              <w:rPr>
                <w:sz w:val="20"/>
                <w:szCs w:val="20"/>
                <w:color w:val="auto"/>
              </w:rPr>
            </w:pPr>
            <w:r>
              <w:rPr>
                <w:rFonts w:ascii="Arial" w:cs="Arial" w:eastAsia="Arial" w:hAnsi="Arial"/>
                <w:sz w:val="13"/>
                <w:szCs w:val="13"/>
                <w:color w:val="auto"/>
                <w:w w:val="97"/>
              </w:rPr>
              <w:t>643,836</w:t>
            </w:r>
          </w:p>
        </w:tc>
        <w:tc>
          <w:tcPr>
            <w:tcW w:w="620" w:type="dxa"/>
            <w:vAlign w:val="bottom"/>
            <w:tcBorders>
              <w:bottom w:val="single" w:sz="8" w:color="0072AF"/>
            </w:tcBorders>
          </w:tcPr>
          <w:p>
            <w:pPr>
              <w:spacing w:after="0"/>
              <w:rPr>
                <w:sz w:val="23"/>
                <w:szCs w:val="23"/>
                <w:color w:val="auto"/>
              </w:rPr>
            </w:pPr>
          </w:p>
        </w:tc>
        <w:tc>
          <w:tcPr>
            <w:tcW w:w="740" w:type="dxa"/>
            <w:vAlign w:val="bottom"/>
            <w:tcBorders>
              <w:bottom w:val="single" w:sz="8" w:color="0072AF"/>
            </w:tcBorders>
          </w:tcPr>
          <w:p>
            <w:pPr>
              <w:spacing w:after="0"/>
              <w:rPr>
                <w:sz w:val="23"/>
                <w:szCs w:val="23"/>
                <w:color w:val="auto"/>
              </w:rPr>
            </w:pPr>
          </w:p>
        </w:tc>
        <w:tc>
          <w:tcPr>
            <w:tcW w:w="720" w:type="dxa"/>
            <w:vAlign w:val="bottom"/>
            <w:tcBorders>
              <w:bottom w:val="single" w:sz="8" w:color="0072AF"/>
            </w:tcBorders>
          </w:tcPr>
          <w:p>
            <w:pPr>
              <w:spacing w:after="0"/>
              <w:rPr>
                <w:sz w:val="23"/>
                <w:szCs w:val="23"/>
                <w:color w:val="auto"/>
              </w:rPr>
            </w:pPr>
          </w:p>
        </w:tc>
        <w:tc>
          <w:tcPr>
            <w:tcW w:w="580" w:type="dxa"/>
            <w:vAlign w:val="bottom"/>
            <w:tcBorders>
              <w:bottom w:val="single" w:sz="8" w:color="0072AF"/>
            </w:tcBorders>
          </w:tcPr>
          <w:p>
            <w:pPr>
              <w:spacing w:after="0"/>
              <w:rPr>
                <w:sz w:val="23"/>
                <w:szCs w:val="23"/>
                <w:color w:val="auto"/>
              </w:rPr>
            </w:pPr>
          </w:p>
        </w:tc>
        <w:tc>
          <w:tcPr>
            <w:tcW w:w="660" w:type="dxa"/>
            <w:vAlign w:val="bottom"/>
            <w:tcBorders>
              <w:bottom w:val="single" w:sz="8" w:color="0072AF"/>
            </w:tcBorders>
          </w:tcPr>
          <w:p>
            <w:pPr>
              <w:jc w:val="right"/>
              <w:spacing w:after="0"/>
              <w:rPr>
                <w:sz w:val="20"/>
                <w:szCs w:val="20"/>
                <w:color w:val="auto"/>
              </w:rPr>
            </w:pPr>
            <w:r>
              <w:rPr>
                <w:rFonts w:ascii="Arial" w:cs="Arial" w:eastAsia="Arial" w:hAnsi="Arial"/>
                <w:sz w:val="13"/>
                <w:szCs w:val="13"/>
                <w:color w:val="auto"/>
              </w:rPr>
              <w:t>2,581,782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1714500</wp:posOffset>
            </wp:positionH>
            <wp:positionV relativeFrom="paragraph">
              <wp:posOffset>-4937125</wp:posOffset>
            </wp:positionV>
            <wp:extent cx="342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33" w:lineRule="exact"/>
        <w:rPr>
          <w:sz w:val="20"/>
          <w:szCs w:val="20"/>
          <w:color w:val="auto"/>
        </w:rPr>
      </w:pPr>
    </w:p>
    <w:p>
      <w:pPr>
        <w:jc w:val="both"/>
        <w:ind w:left="6"/>
        <w:spacing w:after="0" w:line="245" w:lineRule="auto"/>
        <w:rPr>
          <w:sz w:val="20"/>
          <w:szCs w:val="20"/>
          <w:color w:val="auto"/>
        </w:rPr>
      </w:pPr>
      <w:r>
        <w:rPr>
          <w:rFonts w:ascii="Arial" w:cs="Arial" w:eastAsia="Arial" w:hAnsi="Arial"/>
          <w:sz w:val="14"/>
          <w:szCs w:val="14"/>
          <w:b w:val="1"/>
          <w:bCs w:val="1"/>
          <w:color w:val="auto"/>
        </w:rPr>
        <w:t>The Grants of Plan-Based Awards in 2023 table reflects the potential threshold, target and maximum award pay-outs for annual incentive, CIUs, and performance-based RSUs.</w:t>
      </w:r>
    </w:p>
    <w:p>
      <w:pPr>
        <w:spacing w:after="0" w:line="49" w:lineRule="exact"/>
        <w:rPr>
          <w:sz w:val="20"/>
          <w:szCs w:val="20"/>
          <w:color w:val="auto"/>
        </w:rPr>
      </w:pPr>
    </w:p>
    <w:p>
      <w:pPr>
        <w:jc w:val="both"/>
        <w:ind w:left="346" w:hanging="346"/>
        <w:spacing w:after="0" w:line="220" w:lineRule="auto"/>
        <w:tabs>
          <w:tab w:leader="none" w:pos="346"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The amounts in this column represent the grant date fair values of performance-based RSUs. The fair values are calculated in accordance with SEC guidance based on the probable outcome of the applicable performance condition on the grant date and reflect an adjustment for the exclusion of dividend equivalents during the vesting period. The performance-based RSUs have a fair value of $4.01 and the special performance-based RSU for Mr. Dies has a fair value of $3.21. No time-based RSUs or NSOs were granted to NEOs in 2023.</w:t>
      </w:r>
    </w:p>
    <w:p>
      <w:pPr>
        <w:spacing w:after="0" w:line="27" w:lineRule="exact"/>
        <w:rPr>
          <w:rFonts w:ascii="Arial" w:cs="Arial" w:eastAsia="Arial" w:hAnsi="Arial"/>
          <w:sz w:val="22"/>
          <w:szCs w:val="22"/>
          <w:color w:val="auto"/>
          <w:vertAlign w:val="superscript"/>
        </w:rPr>
      </w:pPr>
    </w:p>
    <w:p>
      <w:pPr>
        <w:jc w:val="both"/>
        <w:ind w:left="346" w:hanging="346"/>
        <w:spacing w:after="0" w:line="224" w:lineRule="auto"/>
        <w:tabs>
          <w:tab w:leader="none" w:pos="346"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Values in this row represent the threshold, target, and maximum pay-outs for the 2023 annual incentive award. The maximum pay-out a NEO could receive for annual incentive awards is 150% of target under the approved 2023 PBIP objectives plus the potential for up to 10 additional percentage points from the approved 2023 strategic modifier objectives. The maximum pay-out a NEO could receive for annual incentive awards under the KEIP in any fiscal year is $5,000,000. The Committee may apply negative discretion to reduce annual awards based on factors considered relevant by the Committee, including financial enterprise, business unit and/or individual performance.</w:t>
      </w:r>
    </w:p>
    <w:p>
      <w:pPr>
        <w:spacing w:after="0" w:line="26" w:lineRule="exact"/>
        <w:rPr>
          <w:rFonts w:ascii="Arial" w:cs="Arial" w:eastAsia="Arial" w:hAnsi="Arial"/>
          <w:sz w:val="22"/>
          <w:szCs w:val="22"/>
          <w:color w:val="auto"/>
          <w:vertAlign w:val="superscript"/>
        </w:rPr>
      </w:pPr>
    </w:p>
    <w:p>
      <w:pPr>
        <w:jc w:val="both"/>
        <w:ind w:left="346" w:hanging="346"/>
        <w:spacing w:after="0" w:line="224" w:lineRule="auto"/>
        <w:tabs>
          <w:tab w:leader="none" w:pos="346"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Values in this row represent the threshold, target, and maximum pay-outs for the 2023-2025 CIU cycle. The maximum pay-out a NEO could receive for long-term incentive awards is 200% of target under the approved 2023 CIU objectives. The maximum pay-out a NEO could receive for long-term incentive awards under the KEIP in any fiscal year is $15,000,000. The Committee may apply negative discretion to reduce long-term awards based on factors considered relevant by the Committee, including financial enterprise, business unit, and/or individual performance. The target value of each CIU is $1.00 per unit.</w:t>
      </w:r>
    </w:p>
    <w:p>
      <w:pPr>
        <w:spacing w:after="0" w:line="26" w:lineRule="exact"/>
        <w:rPr>
          <w:rFonts w:ascii="Arial" w:cs="Arial" w:eastAsia="Arial" w:hAnsi="Arial"/>
          <w:sz w:val="22"/>
          <w:szCs w:val="22"/>
          <w:color w:val="auto"/>
          <w:vertAlign w:val="superscript"/>
        </w:rPr>
      </w:pPr>
    </w:p>
    <w:p>
      <w:pPr>
        <w:ind w:left="366" w:right="20"/>
        <w:spacing w:after="0" w:line="262" w:lineRule="auto"/>
        <w:rPr>
          <w:rFonts w:ascii="Arial" w:cs="Arial" w:eastAsia="Arial" w:hAnsi="Arial"/>
          <w:sz w:val="22"/>
          <w:szCs w:val="22"/>
          <w:color w:val="auto"/>
          <w:vertAlign w:val="superscript"/>
        </w:rPr>
      </w:pPr>
      <w:r>
        <w:rPr>
          <w:rFonts w:ascii="Arial" w:cs="Arial" w:eastAsia="Arial" w:hAnsi="Arial"/>
          <w:sz w:val="14"/>
          <w:szCs w:val="14"/>
          <w:color w:val="auto"/>
        </w:rPr>
        <w:t>Mr. Lautenbach’s CIU award granted in 2023 was forfeited upon his involuntary termination as it had not been outstanding for at least one year.</w:t>
      </w:r>
    </w:p>
    <w:p>
      <w:pPr>
        <w:spacing w:after="0" w:line="26" w:lineRule="exact"/>
        <w:rPr>
          <w:rFonts w:ascii="Arial" w:cs="Arial" w:eastAsia="Arial" w:hAnsi="Arial"/>
          <w:sz w:val="22"/>
          <w:szCs w:val="22"/>
          <w:color w:val="auto"/>
          <w:vertAlign w:val="superscript"/>
        </w:rPr>
      </w:pPr>
    </w:p>
    <w:p>
      <w:pPr>
        <w:jc w:val="both"/>
        <w:ind w:left="346" w:hanging="346"/>
        <w:spacing w:after="0" w:line="220" w:lineRule="auto"/>
        <w:tabs>
          <w:tab w:leader="none" w:pos="346"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The number of shares subject to the performance-based RSUs was based on the 10-trading day average closing price of $4.38 prior to and including the February 14, 2023 grant date. The financial performance hurdle was met as of December 31, 2023, however, the award remains subject to forfeiture over the remaining vesting period. This award is scheduled to vest on a pro-rata basis over a three-year period ending February 24, 2026.</w:t>
      </w:r>
    </w:p>
    <w:p>
      <w:pPr>
        <w:spacing w:after="0" w:line="27" w:lineRule="exact"/>
        <w:rPr>
          <w:rFonts w:ascii="Arial" w:cs="Arial" w:eastAsia="Arial" w:hAnsi="Arial"/>
          <w:sz w:val="22"/>
          <w:szCs w:val="22"/>
          <w:color w:val="auto"/>
          <w:vertAlign w:val="superscript"/>
        </w:rPr>
      </w:pPr>
    </w:p>
    <w:p>
      <w:pPr>
        <w:ind w:left="366" w:right="20"/>
        <w:spacing w:after="0" w:line="262" w:lineRule="auto"/>
        <w:rPr>
          <w:rFonts w:ascii="Arial" w:cs="Arial" w:eastAsia="Arial" w:hAnsi="Arial"/>
          <w:sz w:val="22"/>
          <w:szCs w:val="22"/>
          <w:color w:val="auto"/>
          <w:vertAlign w:val="superscript"/>
        </w:rPr>
      </w:pPr>
      <w:r>
        <w:rPr>
          <w:rFonts w:ascii="Arial" w:cs="Arial" w:eastAsia="Arial" w:hAnsi="Arial"/>
          <w:sz w:val="14"/>
          <w:szCs w:val="14"/>
          <w:color w:val="auto"/>
        </w:rPr>
        <w:t>Mr. Lautenbach’s RSU award granted in 2023 was forfeited upon his involuntary termination as it had not been outstanding for at least one year.</w:t>
      </w:r>
    </w:p>
    <w:p>
      <w:pPr>
        <w:spacing w:after="0" w:line="26" w:lineRule="exact"/>
        <w:rPr>
          <w:rFonts w:ascii="Arial" w:cs="Arial" w:eastAsia="Arial" w:hAnsi="Arial"/>
          <w:sz w:val="22"/>
          <w:szCs w:val="22"/>
          <w:color w:val="auto"/>
          <w:vertAlign w:val="superscript"/>
        </w:rPr>
      </w:pPr>
    </w:p>
    <w:p>
      <w:pPr>
        <w:jc w:val="both"/>
        <w:ind w:left="346" w:hanging="346"/>
        <w:spacing w:after="0" w:line="214" w:lineRule="auto"/>
        <w:tabs>
          <w:tab w:leader="none" w:pos="346"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Special performance-based RSUs were granted based on the actual closing price of $3.49 on the October 2, 2023 grant date. The closing price is utilized to determine the number of RSUs to be awarded. This award will vest on the same schedule as the performance-based RSUs granted February 14, 2023 (three equal annual installments beginning with the fourth Tuesday in February 2024).</w:t>
      </w:r>
    </w:p>
    <w:p>
      <w:pPr>
        <w:spacing w:after="0" w:line="180"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128905</wp:posOffset>
            </wp:positionV>
            <wp:extent cx="699516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015"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EXECUTIVE COMPENSATION TABLES AND RELATED NARRATIVE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0072AF"/>
        </w:rPr>
        <w:t>OUTSTANDING EQUITY AWARDS AT 2023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58293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221615</wp:posOffset>
            </wp:positionV>
            <wp:extent cx="582930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following table provides information on the NEOs’ current option and stock award holdings. This table includes unexercised or unvested option awards, and unvested performance and time-based RSUs. Each equity grant is</w:t>
      </w:r>
    </w:p>
    <w:p>
      <w:pPr>
        <w:spacing w:after="0" w:line="1"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shown separately for each NEO. The vesting schedule for each outstanding award is shown following this table.</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For additional information about the option and stock awards, please see the description of equity incentive compensation under “</w:t>
      </w:r>
      <w:r>
        <w:rPr>
          <w:rFonts w:ascii="Arial" w:cs="Arial" w:eastAsia="Arial" w:hAnsi="Arial"/>
          <w:sz w:val="18"/>
          <w:szCs w:val="18"/>
          <w:color w:val="0072AF"/>
        </w:rPr>
        <w:t>Compensation Discussion and Analysis</w:t>
      </w:r>
      <w:r>
        <w:rPr>
          <w:rFonts w:ascii="Arial" w:cs="Arial" w:eastAsia="Arial" w:hAnsi="Arial"/>
          <w:sz w:val="18"/>
          <w:szCs w:val="18"/>
          <w:color w:val="auto"/>
        </w:rPr>
        <w:t xml:space="preserve">” (CD&amp;A) on page </w:t>
      </w:r>
      <w:r>
        <w:rPr>
          <w:rFonts w:ascii="Arial" w:cs="Arial" w:eastAsia="Arial" w:hAnsi="Arial"/>
          <w:sz w:val="18"/>
          <w:szCs w:val="18"/>
          <w:u w:val="single" w:color="auto"/>
          <w:color w:val="0000EE"/>
        </w:rPr>
        <w:t>53</w:t>
      </w:r>
      <w:r>
        <w:rPr>
          <w:rFonts w:ascii="Arial" w:cs="Arial" w:eastAsia="Arial" w:hAnsi="Arial"/>
          <w:sz w:val="18"/>
          <w:szCs w:val="18"/>
          <w:color w:val="auto"/>
        </w:rPr>
        <w:t xml:space="preserv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1101090</wp:posOffset>
            </wp:positionH>
            <wp:positionV relativeFrom="paragraph">
              <wp:posOffset>-26035</wp:posOffset>
            </wp:positionV>
            <wp:extent cx="200025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000250" cy="825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1480" w:type="dxa"/>
            <w:vAlign w:val="bottom"/>
            <w:tcBorders>
              <w:top w:val="single" w:sz="8" w:color="0072AF"/>
            </w:tcBorders>
          </w:tcPr>
          <w:p>
            <w:pPr>
              <w:spacing w:after="0"/>
              <w:rPr>
                <w:sz w:val="24"/>
                <w:szCs w:val="24"/>
                <w:color w:val="auto"/>
              </w:rPr>
            </w:pPr>
          </w:p>
        </w:tc>
        <w:tc>
          <w:tcPr>
            <w:tcW w:w="1000" w:type="dxa"/>
            <w:vAlign w:val="bottom"/>
            <w:tcBorders>
              <w:top w:val="single" w:sz="8" w:color="0072AF"/>
              <w:right w:val="single" w:sz="8" w:color="0072AF"/>
            </w:tcBorders>
          </w:tcPr>
          <w:p>
            <w:pPr>
              <w:spacing w:after="0"/>
              <w:rPr>
                <w:sz w:val="24"/>
                <w:szCs w:val="24"/>
                <w:color w:val="auto"/>
              </w:rPr>
            </w:pPr>
          </w:p>
        </w:tc>
        <w:tc>
          <w:tcPr>
            <w:tcW w:w="960" w:type="dxa"/>
            <w:vAlign w:val="bottom"/>
            <w:tcBorders>
              <w:top w:val="single" w:sz="8" w:color="0072AF"/>
            </w:tcBorders>
          </w:tcPr>
          <w:p>
            <w:pPr>
              <w:spacing w:after="0"/>
              <w:rPr>
                <w:sz w:val="24"/>
                <w:szCs w:val="24"/>
                <w:color w:val="auto"/>
              </w:rPr>
            </w:pPr>
          </w:p>
        </w:tc>
        <w:tc>
          <w:tcPr>
            <w:tcW w:w="2060" w:type="dxa"/>
            <w:vAlign w:val="bottom"/>
            <w:tcBorders>
              <w:top w:val="single" w:sz="8" w:color="0072AF"/>
            </w:tcBorders>
            <w:gridSpan w:val="2"/>
          </w:tcPr>
          <w:p>
            <w:pPr>
              <w:jc w:val="right"/>
              <w:ind w:right="388"/>
              <w:spacing w:after="0"/>
              <w:rPr>
                <w:sz w:val="20"/>
                <w:szCs w:val="20"/>
                <w:color w:val="auto"/>
              </w:rPr>
            </w:pPr>
            <w:r>
              <w:rPr>
                <w:rFonts w:ascii="Arial" w:cs="Arial" w:eastAsia="Arial" w:hAnsi="Arial"/>
                <w:sz w:val="14"/>
                <w:szCs w:val="14"/>
                <w:b w:val="1"/>
                <w:bCs w:val="1"/>
                <w:color w:val="auto"/>
              </w:rPr>
              <w:t>Option Awards</w:t>
            </w:r>
          </w:p>
        </w:tc>
        <w:tc>
          <w:tcPr>
            <w:tcW w:w="1120" w:type="dxa"/>
            <w:vAlign w:val="bottom"/>
            <w:tcBorders>
              <w:top w:val="single" w:sz="8" w:color="0072AF"/>
              <w:right w:val="single" w:sz="8" w:color="0072AF"/>
            </w:tcBorders>
          </w:tcPr>
          <w:p>
            <w:pPr>
              <w:spacing w:after="0"/>
              <w:rPr>
                <w:sz w:val="24"/>
                <w:szCs w:val="24"/>
                <w:color w:val="auto"/>
              </w:rPr>
            </w:pPr>
          </w:p>
        </w:tc>
        <w:tc>
          <w:tcPr>
            <w:tcW w:w="2560" w:type="dxa"/>
            <w:vAlign w:val="bottom"/>
            <w:tcBorders>
              <w:top w:val="single" w:sz="8" w:color="0072AF"/>
            </w:tcBorders>
            <w:gridSpan w:val="2"/>
          </w:tcPr>
          <w:p>
            <w:pPr>
              <w:jc w:val="right"/>
              <w:ind w:right="688"/>
              <w:spacing w:after="0"/>
              <w:rPr>
                <w:sz w:val="20"/>
                <w:szCs w:val="20"/>
                <w:color w:val="auto"/>
              </w:rPr>
            </w:pPr>
            <w:r>
              <w:rPr>
                <w:rFonts w:ascii="Arial" w:cs="Arial" w:eastAsia="Arial" w:hAnsi="Arial"/>
                <w:sz w:val="14"/>
                <w:szCs w:val="14"/>
                <w:b w:val="1"/>
                <w:bCs w:val="1"/>
                <w:color w:val="auto"/>
              </w:rPr>
              <w:t>Stock Awards</w:t>
            </w:r>
          </w:p>
        </w:tc>
      </w:tr>
      <w:tr>
        <w:trPr>
          <w:trHeight w:val="29"/>
        </w:trPr>
        <w:tc>
          <w:tcPr>
            <w:tcW w:w="1480" w:type="dxa"/>
            <w:vAlign w:val="bottom"/>
          </w:tcPr>
          <w:p>
            <w:pPr>
              <w:spacing w:after="0"/>
              <w:rPr>
                <w:sz w:val="2"/>
                <w:szCs w:val="2"/>
                <w:color w:val="auto"/>
              </w:rPr>
            </w:pPr>
          </w:p>
        </w:tc>
        <w:tc>
          <w:tcPr>
            <w:tcW w:w="1000" w:type="dxa"/>
            <w:vAlign w:val="bottom"/>
            <w:tcBorders>
              <w:right w:val="single" w:sz="8" w:color="0072AF"/>
            </w:tcBorders>
          </w:tcPr>
          <w:p>
            <w:pPr>
              <w:spacing w:after="0"/>
              <w:rPr>
                <w:sz w:val="2"/>
                <w:szCs w:val="2"/>
                <w:color w:val="auto"/>
              </w:rPr>
            </w:pPr>
          </w:p>
        </w:tc>
        <w:tc>
          <w:tcPr>
            <w:tcW w:w="960" w:type="dxa"/>
            <w:vAlign w:val="bottom"/>
            <w:tcBorders>
              <w:bottom w:val="single" w:sz="8" w:color="0072AF"/>
            </w:tcBorders>
          </w:tcPr>
          <w:p>
            <w:pPr>
              <w:spacing w:after="0"/>
              <w:rPr>
                <w:sz w:val="2"/>
                <w:szCs w:val="2"/>
                <w:color w:val="auto"/>
              </w:rPr>
            </w:pPr>
          </w:p>
        </w:tc>
        <w:tc>
          <w:tcPr>
            <w:tcW w:w="1220" w:type="dxa"/>
            <w:vAlign w:val="bottom"/>
            <w:tcBorders>
              <w:bottom w:val="single" w:sz="8" w:color="0072AF"/>
            </w:tcBorders>
          </w:tcPr>
          <w:p>
            <w:pPr>
              <w:spacing w:after="0"/>
              <w:rPr>
                <w:sz w:val="2"/>
                <w:szCs w:val="2"/>
                <w:color w:val="auto"/>
              </w:rPr>
            </w:pPr>
          </w:p>
        </w:tc>
        <w:tc>
          <w:tcPr>
            <w:tcW w:w="840" w:type="dxa"/>
            <w:vAlign w:val="bottom"/>
            <w:tcBorders>
              <w:bottom w:val="single" w:sz="8" w:color="0072AF"/>
            </w:tcBorders>
          </w:tcPr>
          <w:p>
            <w:pPr>
              <w:spacing w:after="0"/>
              <w:rPr>
                <w:sz w:val="2"/>
                <w:szCs w:val="2"/>
                <w:color w:val="auto"/>
              </w:rPr>
            </w:pPr>
          </w:p>
        </w:tc>
        <w:tc>
          <w:tcPr>
            <w:tcW w:w="1120" w:type="dxa"/>
            <w:vAlign w:val="bottom"/>
            <w:tcBorders>
              <w:bottom w:val="single" w:sz="8" w:color="0072AF"/>
              <w:right w:val="single" w:sz="8" w:color="0072AF"/>
            </w:tcBorders>
          </w:tcPr>
          <w:p>
            <w:pPr>
              <w:spacing w:after="0"/>
              <w:rPr>
                <w:sz w:val="2"/>
                <w:szCs w:val="2"/>
                <w:color w:val="auto"/>
              </w:rPr>
            </w:pPr>
          </w:p>
        </w:tc>
        <w:tc>
          <w:tcPr>
            <w:tcW w:w="1300" w:type="dxa"/>
            <w:vAlign w:val="bottom"/>
            <w:tcBorders>
              <w:bottom w:val="single" w:sz="8" w:color="0072AF"/>
            </w:tcBorders>
          </w:tcPr>
          <w:p>
            <w:pPr>
              <w:spacing w:after="0"/>
              <w:rPr>
                <w:sz w:val="2"/>
                <w:szCs w:val="2"/>
                <w:color w:val="auto"/>
              </w:rPr>
            </w:pPr>
          </w:p>
        </w:tc>
        <w:tc>
          <w:tcPr>
            <w:tcW w:w="1260" w:type="dxa"/>
            <w:vAlign w:val="bottom"/>
            <w:tcBorders>
              <w:bottom w:val="single" w:sz="8" w:color="0072AF"/>
            </w:tcBorders>
          </w:tcPr>
          <w:p>
            <w:pPr>
              <w:spacing w:after="0"/>
              <w:rPr>
                <w:sz w:val="2"/>
                <w:szCs w:val="2"/>
                <w:color w:val="auto"/>
              </w:rPr>
            </w:pPr>
          </w:p>
        </w:tc>
      </w:tr>
      <w:tr>
        <w:trPr>
          <w:trHeight w:val="210"/>
        </w:trPr>
        <w:tc>
          <w:tcPr>
            <w:tcW w:w="1480" w:type="dxa"/>
            <w:vAlign w:val="bottom"/>
          </w:tcPr>
          <w:p>
            <w:pPr>
              <w:spacing w:after="0"/>
              <w:rPr>
                <w:sz w:val="18"/>
                <w:szCs w:val="18"/>
                <w:color w:val="auto"/>
              </w:rPr>
            </w:pPr>
          </w:p>
        </w:tc>
        <w:tc>
          <w:tcPr>
            <w:tcW w:w="1000" w:type="dxa"/>
            <w:vAlign w:val="bottom"/>
            <w:tcBorders>
              <w:right w:val="single" w:sz="8" w:color="0072AF"/>
            </w:tcBorders>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20" w:type="dxa"/>
            <w:vAlign w:val="bottom"/>
          </w:tcPr>
          <w:p>
            <w:pPr>
              <w:jc w:val="center"/>
              <w:ind w:left="148"/>
              <w:spacing w:after="0"/>
              <w:rPr>
                <w:sz w:val="20"/>
                <w:szCs w:val="20"/>
                <w:color w:val="auto"/>
              </w:rPr>
            </w:pPr>
            <w:r>
              <w:rPr>
                <w:rFonts w:ascii="Arial" w:cs="Arial" w:eastAsia="Arial" w:hAnsi="Arial"/>
                <w:sz w:val="14"/>
                <w:szCs w:val="14"/>
                <w:b w:val="1"/>
                <w:bCs w:val="1"/>
                <w:color w:val="auto"/>
              </w:rPr>
              <w:t>Number of</w:t>
            </w:r>
          </w:p>
        </w:tc>
        <w:tc>
          <w:tcPr>
            <w:tcW w:w="840" w:type="dxa"/>
            <w:vAlign w:val="bottom"/>
          </w:tcPr>
          <w:p>
            <w:pPr>
              <w:spacing w:after="0"/>
              <w:rPr>
                <w:sz w:val="18"/>
                <w:szCs w:val="18"/>
                <w:color w:val="auto"/>
              </w:rPr>
            </w:pPr>
          </w:p>
        </w:tc>
        <w:tc>
          <w:tcPr>
            <w:tcW w:w="1120" w:type="dxa"/>
            <w:vAlign w:val="bottom"/>
            <w:tcBorders>
              <w:right w:val="single" w:sz="8" w:color="0072AF"/>
            </w:tcBorders>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60" w:type="dxa"/>
            <w:vAlign w:val="bottom"/>
          </w:tcPr>
          <w:p>
            <w:pPr>
              <w:jc w:val="center"/>
              <w:ind w:left="28"/>
              <w:spacing w:after="0"/>
              <w:rPr>
                <w:sz w:val="20"/>
                <w:szCs w:val="20"/>
                <w:color w:val="auto"/>
              </w:rPr>
            </w:pPr>
            <w:r>
              <w:rPr>
                <w:rFonts w:ascii="Arial" w:cs="Arial" w:eastAsia="Arial" w:hAnsi="Arial"/>
                <w:sz w:val="14"/>
                <w:szCs w:val="14"/>
                <w:b w:val="1"/>
                <w:bCs w:val="1"/>
                <w:color w:val="auto"/>
              </w:rPr>
              <w:t>Market Value of</w:t>
            </w:r>
          </w:p>
        </w:tc>
      </w:tr>
      <w:tr>
        <w:trPr>
          <w:trHeight w:val="162"/>
        </w:trPr>
        <w:tc>
          <w:tcPr>
            <w:tcW w:w="1480" w:type="dxa"/>
            <w:vAlign w:val="bottom"/>
          </w:tcPr>
          <w:p>
            <w:pPr>
              <w:spacing w:after="0"/>
              <w:rPr>
                <w:sz w:val="14"/>
                <w:szCs w:val="14"/>
                <w:color w:val="auto"/>
              </w:rPr>
            </w:pPr>
          </w:p>
        </w:tc>
        <w:tc>
          <w:tcPr>
            <w:tcW w:w="1000" w:type="dxa"/>
            <w:vAlign w:val="bottom"/>
            <w:tcBorders>
              <w:right w:val="single" w:sz="8" w:color="0072AF"/>
            </w:tcBorders>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1220" w:type="dxa"/>
            <w:vAlign w:val="bottom"/>
          </w:tcPr>
          <w:p>
            <w:pPr>
              <w:jc w:val="center"/>
              <w:ind w:left="128"/>
              <w:spacing w:after="0"/>
              <w:rPr>
                <w:sz w:val="20"/>
                <w:szCs w:val="20"/>
                <w:color w:val="auto"/>
              </w:rPr>
            </w:pPr>
            <w:r>
              <w:rPr>
                <w:rFonts w:ascii="Arial" w:cs="Arial" w:eastAsia="Arial" w:hAnsi="Arial"/>
                <w:sz w:val="14"/>
                <w:szCs w:val="14"/>
                <w:b w:val="1"/>
                <w:bCs w:val="1"/>
                <w:color w:val="auto"/>
              </w:rPr>
              <w:t>Securities</w:t>
            </w:r>
          </w:p>
        </w:tc>
        <w:tc>
          <w:tcPr>
            <w:tcW w:w="840" w:type="dxa"/>
            <w:vAlign w:val="bottom"/>
          </w:tcPr>
          <w:p>
            <w:pPr>
              <w:spacing w:after="0"/>
              <w:rPr>
                <w:sz w:val="14"/>
                <w:szCs w:val="14"/>
                <w:color w:val="auto"/>
              </w:rPr>
            </w:pPr>
          </w:p>
        </w:tc>
        <w:tc>
          <w:tcPr>
            <w:tcW w:w="1120" w:type="dxa"/>
            <w:vAlign w:val="bottom"/>
            <w:tcBorders>
              <w:right w:val="single" w:sz="8" w:color="0072AF"/>
            </w:tcBorders>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Shares or Units</w:t>
            </w:r>
          </w:p>
        </w:tc>
        <w:tc>
          <w:tcPr>
            <w:tcW w:w="1260" w:type="dxa"/>
            <w:vAlign w:val="bottom"/>
          </w:tcPr>
          <w:p>
            <w:pPr>
              <w:jc w:val="center"/>
              <w:ind w:left="28"/>
              <w:spacing w:after="0"/>
              <w:rPr>
                <w:sz w:val="20"/>
                <w:szCs w:val="20"/>
                <w:color w:val="auto"/>
              </w:rPr>
            </w:pPr>
            <w:r>
              <w:rPr>
                <w:rFonts w:ascii="Arial" w:cs="Arial" w:eastAsia="Arial" w:hAnsi="Arial"/>
                <w:sz w:val="14"/>
                <w:szCs w:val="14"/>
                <w:b w:val="1"/>
                <w:bCs w:val="1"/>
                <w:color w:val="auto"/>
              </w:rPr>
              <w:t>Shares or Units</w:t>
            </w:r>
          </w:p>
        </w:tc>
      </w:tr>
      <w:tr>
        <w:trPr>
          <w:trHeight w:val="162"/>
        </w:trPr>
        <w:tc>
          <w:tcPr>
            <w:tcW w:w="1480" w:type="dxa"/>
            <w:vAlign w:val="bottom"/>
          </w:tcPr>
          <w:p>
            <w:pPr>
              <w:spacing w:after="0"/>
              <w:rPr>
                <w:sz w:val="14"/>
                <w:szCs w:val="14"/>
                <w:color w:val="auto"/>
              </w:rPr>
            </w:pPr>
          </w:p>
        </w:tc>
        <w:tc>
          <w:tcPr>
            <w:tcW w:w="1000" w:type="dxa"/>
            <w:vAlign w:val="bottom"/>
            <w:tcBorders>
              <w:right w:val="single" w:sz="8" w:color="0072AF"/>
            </w:tcBorders>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1220" w:type="dxa"/>
            <w:vAlign w:val="bottom"/>
          </w:tcPr>
          <w:p>
            <w:pPr>
              <w:jc w:val="center"/>
              <w:ind w:left="128"/>
              <w:spacing w:after="0"/>
              <w:rPr>
                <w:sz w:val="20"/>
                <w:szCs w:val="20"/>
                <w:color w:val="auto"/>
              </w:rPr>
            </w:pPr>
            <w:r>
              <w:rPr>
                <w:rFonts w:ascii="Arial" w:cs="Arial" w:eastAsia="Arial" w:hAnsi="Arial"/>
                <w:sz w:val="14"/>
                <w:szCs w:val="14"/>
                <w:b w:val="1"/>
                <w:bCs w:val="1"/>
                <w:color w:val="auto"/>
              </w:rPr>
              <w:t>Underlying</w:t>
            </w: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Option</w:t>
            </w:r>
          </w:p>
        </w:tc>
        <w:tc>
          <w:tcPr>
            <w:tcW w:w="1120" w:type="dxa"/>
            <w:vAlign w:val="bottom"/>
            <w:tcBorders>
              <w:right w:val="single" w:sz="8" w:color="0072AF"/>
            </w:tcBorders>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of Stock</w:t>
            </w:r>
          </w:p>
        </w:tc>
        <w:tc>
          <w:tcPr>
            <w:tcW w:w="1260" w:type="dxa"/>
            <w:vAlign w:val="bottom"/>
          </w:tcPr>
          <w:p>
            <w:pPr>
              <w:jc w:val="center"/>
              <w:ind w:left="28"/>
              <w:spacing w:after="0"/>
              <w:rPr>
                <w:sz w:val="20"/>
                <w:szCs w:val="20"/>
                <w:color w:val="auto"/>
              </w:rPr>
            </w:pPr>
            <w:r>
              <w:rPr>
                <w:rFonts w:ascii="Arial" w:cs="Arial" w:eastAsia="Arial" w:hAnsi="Arial"/>
                <w:sz w:val="14"/>
                <w:szCs w:val="14"/>
                <w:b w:val="1"/>
                <w:bCs w:val="1"/>
                <w:color w:val="auto"/>
              </w:rPr>
              <w:t>of Stock</w:t>
            </w:r>
          </w:p>
        </w:tc>
      </w:tr>
      <w:tr>
        <w:trPr>
          <w:trHeight w:val="162"/>
        </w:trPr>
        <w:tc>
          <w:tcPr>
            <w:tcW w:w="1480" w:type="dxa"/>
            <w:vAlign w:val="bottom"/>
          </w:tcPr>
          <w:p>
            <w:pPr>
              <w:spacing w:after="0"/>
              <w:rPr>
                <w:sz w:val="14"/>
                <w:szCs w:val="14"/>
                <w:color w:val="auto"/>
              </w:rPr>
            </w:pPr>
          </w:p>
        </w:tc>
        <w:tc>
          <w:tcPr>
            <w:tcW w:w="1000" w:type="dxa"/>
            <w:vAlign w:val="bottom"/>
            <w:tcBorders>
              <w:right w:val="single" w:sz="8" w:color="0072AF"/>
            </w:tcBorders>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Unexercised</w:t>
            </w:r>
          </w:p>
        </w:tc>
        <w:tc>
          <w:tcPr>
            <w:tcW w:w="1220" w:type="dxa"/>
            <w:vAlign w:val="bottom"/>
          </w:tcPr>
          <w:p>
            <w:pPr>
              <w:jc w:val="center"/>
              <w:ind w:left="128"/>
              <w:spacing w:after="0"/>
              <w:rPr>
                <w:sz w:val="20"/>
                <w:szCs w:val="20"/>
                <w:color w:val="auto"/>
              </w:rPr>
            </w:pPr>
            <w:r>
              <w:rPr>
                <w:rFonts w:ascii="Arial" w:cs="Arial" w:eastAsia="Arial" w:hAnsi="Arial"/>
                <w:sz w:val="14"/>
                <w:szCs w:val="14"/>
                <w:b w:val="1"/>
                <w:bCs w:val="1"/>
                <w:color w:val="auto"/>
              </w:rPr>
              <w:t>Unexercised</w:t>
            </w:r>
          </w:p>
        </w:tc>
        <w:tc>
          <w:tcPr>
            <w:tcW w:w="840" w:type="dxa"/>
            <w:vAlign w:val="bottom"/>
          </w:tcPr>
          <w:p>
            <w:pPr>
              <w:jc w:val="center"/>
              <w:ind w:left="168"/>
              <w:spacing w:after="0"/>
              <w:rPr>
                <w:sz w:val="20"/>
                <w:szCs w:val="20"/>
                <w:color w:val="auto"/>
              </w:rPr>
            </w:pPr>
            <w:r>
              <w:rPr>
                <w:rFonts w:ascii="Arial" w:cs="Arial" w:eastAsia="Arial" w:hAnsi="Arial"/>
                <w:sz w:val="14"/>
                <w:szCs w:val="14"/>
                <w:b w:val="1"/>
                <w:bCs w:val="1"/>
                <w:color w:val="auto"/>
              </w:rPr>
              <w:t>Exercise</w:t>
            </w:r>
          </w:p>
        </w:tc>
        <w:tc>
          <w:tcPr>
            <w:tcW w:w="1120" w:type="dxa"/>
            <w:vAlign w:val="bottom"/>
            <w:tcBorders>
              <w:right w:val="single" w:sz="8" w:color="0072AF"/>
            </w:tcBorders>
          </w:tcPr>
          <w:p>
            <w:pPr>
              <w:jc w:val="right"/>
              <w:ind w:right="228"/>
              <w:spacing w:after="0"/>
              <w:rPr>
                <w:sz w:val="20"/>
                <w:szCs w:val="20"/>
                <w:color w:val="auto"/>
              </w:rPr>
            </w:pPr>
            <w:r>
              <w:rPr>
                <w:rFonts w:ascii="Arial" w:cs="Arial" w:eastAsia="Arial" w:hAnsi="Arial"/>
                <w:sz w:val="14"/>
                <w:szCs w:val="14"/>
                <w:b w:val="1"/>
                <w:bCs w:val="1"/>
                <w:color w:val="auto"/>
              </w:rPr>
              <w:t>Option</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That Have</w:t>
            </w:r>
          </w:p>
        </w:tc>
        <w:tc>
          <w:tcPr>
            <w:tcW w:w="1260" w:type="dxa"/>
            <w:vAlign w:val="bottom"/>
          </w:tcPr>
          <w:p>
            <w:pPr>
              <w:jc w:val="center"/>
              <w:ind w:left="28"/>
              <w:spacing w:after="0"/>
              <w:rPr>
                <w:sz w:val="20"/>
                <w:szCs w:val="20"/>
                <w:color w:val="auto"/>
              </w:rPr>
            </w:pPr>
            <w:r>
              <w:rPr>
                <w:rFonts w:ascii="Arial" w:cs="Arial" w:eastAsia="Arial" w:hAnsi="Arial"/>
                <w:sz w:val="14"/>
                <w:szCs w:val="14"/>
                <w:b w:val="1"/>
                <w:bCs w:val="1"/>
                <w:color w:val="auto"/>
              </w:rPr>
              <w:t>That Have</w:t>
            </w:r>
          </w:p>
        </w:tc>
      </w:tr>
      <w:tr>
        <w:trPr>
          <w:trHeight w:val="162"/>
        </w:trPr>
        <w:tc>
          <w:tcPr>
            <w:tcW w:w="1480" w:type="dxa"/>
            <w:vAlign w:val="bottom"/>
          </w:tcPr>
          <w:p>
            <w:pPr>
              <w:spacing w:after="0"/>
              <w:rPr>
                <w:sz w:val="14"/>
                <w:szCs w:val="14"/>
                <w:color w:val="auto"/>
              </w:rPr>
            </w:pPr>
          </w:p>
        </w:tc>
        <w:tc>
          <w:tcPr>
            <w:tcW w:w="1000" w:type="dxa"/>
            <w:vAlign w:val="bottom"/>
            <w:tcBorders>
              <w:right w:val="single" w:sz="8" w:color="0072AF"/>
            </w:tcBorders>
          </w:tcPr>
          <w:p>
            <w:pPr>
              <w:jc w:val="right"/>
              <w:ind w:right="248"/>
              <w:spacing w:after="0"/>
              <w:rPr>
                <w:sz w:val="20"/>
                <w:szCs w:val="20"/>
                <w:color w:val="auto"/>
              </w:rPr>
            </w:pPr>
            <w:r>
              <w:rPr>
                <w:rFonts w:ascii="Arial" w:cs="Arial" w:eastAsia="Arial" w:hAnsi="Arial"/>
                <w:sz w:val="14"/>
                <w:szCs w:val="14"/>
                <w:b w:val="1"/>
                <w:bCs w:val="1"/>
                <w:color w:val="auto"/>
              </w:rPr>
              <w:t>Grant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Options (#)</w:t>
            </w:r>
          </w:p>
        </w:tc>
        <w:tc>
          <w:tcPr>
            <w:tcW w:w="1220" w:type="dxa"/>
            <w:vAlign w:val="bottom"/>
          </w:tcPr>
          <w:p>
            <w:pPr>
              <w:jc w:val="center"/>
              <w:ind w:left="148"/>
              <w:spacing w:after="0"/>
              <w:rPr>
                <w:sz w:val="20"/>
                <w:szCs w:val="20"/>
                <w:color w:val="auto"/>
              </w:rPr>
            </w:pPr>
            <w:r>
              <w:rPr>
                <w:rFonts w:ascii="Arial" w:cs="Arial" w:eastAsia="Arial" w:hAnsi="Arial"/>
                <w:sz w:val="14"/>
                <w:szCs w:val="14"/>
                <w:b w:val="1"/>
                <w:bCs w:val="1"/>
                <w:color w:val="auto"/>
              </w:rPr>
              <w:t>Options (#)</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Price</w:t>
            </w:r>
          </w:p>
        </w:tc>
        <w:tc>
          <w:tcPr>
            <w:tcW w:w="1120" w:type="dxa"/>
            <w:vAlign w:val="bottom"/>
            <w:tcBorders>
              <w:right w:val="single" w:sz="8" w:color="0072AF"/>
            </w:tcBorders>
          </w:tcPr>
          <w:p>
            <w:pPr>
              <w:jc w:val="center"/>
              <w:ind w:left="28"/>
              <w:spacing w:after="0"/>
              <w:rPr>
                <w:sz w:val="20"/>
                <w:szCs w:val="20"/>
                <w:color w:val="auto"/>
              </w:rPr>
            </w:pPr>
            <w:r>
              <w:rPr>
                <w:rFonts w:ascii="Arial" w:cs="Arial" w:eastAsia="Arial" w:hAnsi="Arial"/>
                <w:sz w:val="14"/>
                <w:szCs w:val="14"/>
                <w:b w:val="1"/>
                <w:bCs w:val="1"/>
                <w:color w:val="auto"/>
              </w:rPr>
              <w:t>Expiration</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Not Vested</w:t>
            </w:r>
          </w:p>
        </w:tc>
        <w:tc>
          <w:tcPr>
            <w:tcW w:w="1260" w:type="dxa"/>
            <w:vAlign w:val="bottom"/>
          </w:tcPr>
          <w:p>
            <w:pPr>
              <w:jc w:val="center"/>
              <w:ind w:left="28"/>
              <w:spacing w:after="0"/>
              <w:rPr>
                <w:sz w:val="20"/>
                <w:szCs w:val="20"/>
                <w:color w:val="auto"/>
              </w:rPr>
            </w:pPr>
            <w:r>
              <w:rPr>
                <w:rFonts w:ascii="Arial" w:cs="Arial" w:eastAsia="Arial" w:hAnsi="Arial"/>
                <w:sz w:val="14"/>
                <w:szCs w:val="14"/>
                <w:b w:val="1"/>
                <w:bCs w:val="1"/>
                <w:color w:val="auto"/>
              </w:rPr>
              <w:t>Not Vested</w:t>
            </w:r>
          </w:p>
        </w:tc>
      </w:tr>
      <w:tr>
        <w:trPr>
          <w:trHeight w:val="243"/>
        </w:trPr>
        <w:tc>
          <w:tcPr>
            <w:tcW w:w="1480" w:type="dxa"/>
            <w:vAlign w:val="bottom"/>
            <w:tcBorders>
              <w:bottom w:val="single" w:sz="8" w:color="0072AF"/>
            </w:tcBorders>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tcBorders>
              <w:bottom w:val="single" w:sz="8" w:color="0072AF"/>
              <w:right w:val="single" w:sz="8" w:color="0072AF"/>
            </w:tcBorders>
          </w:tcPr>
          <w:p>
            <w:pPr>
              <w:jc w:val="right"/>
              <w:ind w:right="268"/>
              <w:spacing w:after="0"/>
              <w:rPr>
                <w:sz w:val="20"/>
                <w:szCs w:val="20"/>
                <w:color w:val="auto"/>
              </w:rPr>
            </w:pPr>
            <w:r>
              <w:rPr>
                <w:rFonts w:ascii="Arial" w:cs="Arial" w:eastAsia="Arial" w:hAnsi="Arial"/>
                <w:sz w:val="14"/>
                <w:szCs w:val="14"/>
                <w:b w:val="1"/>
                <w:bCs w:val="1"/>
                <w:color w:val="auto"/>
              </w:rPr>
              <w:t>Date</w:t>
            </w:r>
          </w:p>
        </w:tc>
        <w:tc>
          <w:tcPr>
            <w:tcW w:w="960" w:type="dxa"/>
            <w:vAlign w:val="bottom"/>
            <w:tcBorders>
              <w:bottom w:val="single" w:sz="8" w:color="0072AF"/>
            </w:tcBorders>
          </w:tcPr>
          <w:p>
            <w:pPr>
              <w:jc w:val="right"/>
              <w:spacing w:after="0"/>
              <w:rPr>
                <w:sz w:val="20"/>
                <w:szCs w:val="20"/>
                <w:color w:val="auto"/>
              </w:rPr>
            </w:pPr>
            <w:r>
              <w:rPr>
                <w:rFonts w:ascii="Arial" w:cs="Arial" w:eastAsia="Arial" w:hAnsi="Arial"/>
                <w:sz w:val="14"/>
                <w:szCs w:val="14"/>
                <w:b w:val="1"/>
                <w:bCs w:val="1"/>
                <w:color w:val="auto"/>
              </w:rPr>
              <w:t>Exercisable</w:t>
            </w:r>
          </w:p>
        </w:tc>
        <w:tc>
          <w:tcPr>
            <w:tcW w:w="1220" w:type="dxa"/>
            <w:vAlign w:val="bottom"/>
            <w:tcBorders>
              <w:bottom w:val="single" w:sz="8" w:color="0072AF"/>
            </w:tcBorders>
          </w:tcPr>
          <w:p>
            <w:pPr>
              <w:jc w:val="right"/>
              <w:spacing w:after="0"/>
              <w:rPr>
                <w:sz w:val="20"/>
                <w:szCs w:val="20"/>
                <w:color w:val="auto"/>
              </w:rPr>
            </w:pPr>
            <w:r>
              <w:rPr>
                <w:rFonts w:ascii="Arial" w:cs="Arial" w:eastAsia="Arial" w:hAnsi="Arial"/>
                <w:sz w:val="14"/>
                <w:szCs w:val="14"/>
                <w:b w:val="1"/>
                <w:bCs w:val="1"/>
                <w:color w:val="auto"/>
              </w:rPr>
              <w:t>Unexercisable</w:t>
            </w:r>
          </w:p>
        </w:tc>
        <w:tc>
          <w:tcPr>
            <w:tcW w:w="840" w:type="dxa"/>
            <w:vAlign w:val="bottom"/>
            <w:tcBorders>
              <w:bottom w:val="single" w:sz="8" w:color="0072AF"/>
            </w:tcBorders>
          </w:tcPr>
          <w:p>
            <w:pPr>
              <w:jc w:val="center"/>
              <w:ind w:left="18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0072AF"/>
              <w:right w:val="single" w:sz="8" w:color="0072AF"/>
            </w:tcBorders>
          </w:tcPr>
          <w:p>
            <w:pPr>
              <w:jc w:val="center"/>
              <w:ind w:left="28"/>
              <w:spacing w:after="0"/>
              <w:rPr>
                <w:sz w:val="20"/>
                <w:szCs w:val="20"/>
                <w:color w:val="auto"/>
              </w:rPr>
            </w:pPr>
            <w:r>
              <w:rPr>
                <w:rFonts w:ascii="Arial" w:cs="Arial" w:eastAsia="Arial" w:hAnsi="Arial"/>
                <w:sz w:val="14"/>
                <w:szCs w:val="14"/>
                <w:b w:val="1"/>
                <w:bCs w:val="1"/>
                <w:color w:val="auto"/>
                <w:w w:val="98"/>
              </w:rPr>
              <w:t>Date</w:t>
            </w:r>
          </w:p>
        </w:tc>
        <w:tc>
          <w:tcPr>
            <w:tcW w:w="1300" w:type="dxa"/>
            <w:vAlign w:val="bottom"/>
            <w:tcBorders>
              <w:bottom w:val="single" w:sz="8" w:color="0072AF"/>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0072AF"/>
            </w:tcBorders>
          </w:tcPr>
          <w:p>
            <w:pPr>
              <w:jc w:val="right"/>
              <w:ind w:right="328"/>
              <w:spacing w:after="0" w:line="24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r>
      <w:tr>
        <w:trPr>
          <w:trHeight w:val="234"/>
        </w:trPr>
        <w:tc>
          <w:tcPr>
            <w:tcW w:w="1480" w:type="dxa"/>
            <w:vAlign w:val="bottom"/>
          </w:tcPr>
          <w:p>
            <w:pPr>
              <w:spacing w:after="0"/>
              <w:rPr>
                <w:sz w:val="20"/>
                <w:szCs w:val="20"/>
                <w:color w:val="auto"/>
              </w:rPr>
            </w:pPr>
            <w:r>
              <w:rPr>
                <w:rFonts w:ascii="Arial" w:cs="Arial" w:eastAsia="Arial" w:hAnsi="Arial"/>
                <w:sz w:val="14"/>
                <w:szCs w:val="14"/>
                <w:b w:val="1"/>
                <w:bCs w:val="1"/>
                <w:color w:val="auto"/>
              </w:rPr>
              <w:t>Jason Dies</w:t>
            </w: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2/8/2016</w:t>
            </w:r>
          </w:p>
        </w:tc>
        <w:tc>
          <w:tcPr>
            <w:tcW w:w="96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17,668</w:t>
            </w:r>
          </w:p>
        </w:tc>
        <w:tc>
          <w:tcPr>
            <w:tcW w:w="1220" w:type="dxa"/>
            <w:vAlign w:val="bottom"/>
            <w:shd w:val="clear" w:color="auto" w:fill="CBCEE0"/>
          </w:tcPr>
          <w:p>
            <w:pPr>
              <w:jc w:val="right"/>
              <w:ind w:right="228"/>
              <w:spacing w:after="0"/>
              <w:rPr>
                <w:sz w:val="20"/>
                <w:szCs w:val="20"/>
                <w:color w:val="auto"/>
              </w:rPr>
            </w:pPr>
            <w:r>
              <w:rPr>
                <w:rFonts w:ascii="Arial" w:cs="Arial" w:eastAsia="Arial" w:hAnsi="Arial"/>
                <w:sz w:val="14"/>
                <w:szCs w:val="14"/>
                <w:color w:val="auto"/>
              </w:rPr>
              <w:t>0</w:t>
            </w:r>
          </w:p>
        </w:tc>
        <w:tc>
          <w:tcPr>
            <w:tcW w:w="840" w:type="dxa"/>
            <w:vAlign w:val="bottom"/>
            <w:shd w:val="clear" w:color="auto" w:fill="CBCEE0"/>
          </w:tcPr>
          <w:p>
            <w:pPr>
              <w:jc w:val="center"/>
              <w:ind w:left="128"/>
              <w:spacing w:after="0"/>
              <w:rPr>
                <w:sz w:val="20"/>
                <w:szCs w:val="20"/>
                <w:color w:val="auto"/>
              </w:rPr>
            </w:pPr>
            <w:r>
              <w:rPr>
                <w:rFonts w:ascii="Arial" w:cs="Arial" w:eastAsia="Arial" w:hAnsi="Arial"/>
                <w:sz w:val="14"/>
                <w:szCs w:val="14"/>
                <w:color w:val="auto"/>
              </w:rPr>
              <w:t>16.820</w:t>
            </w:r>
          </w:p>
        </w:tc>
        <w:tc>
          <w:tcPr>
            <w:tcW w:w="1120" w:type="dxa"/>
            <w:vAlign w:val="bottom"/>
            <w:tcBorders>
              <w:right w:val="single" w:sz="8" w:color="0072AF"/>
            </w:tcBorders>
            <w:shd w:val="clear" w:color="auto" w:fill="CBCEE0"/>
          </w:tcPr>
          <w:p>
            <w:pPr>
              <w:jc w:val="right"/>
              <w:ind w:right="88"/>
              <w:spacing w:after="0"/>
              <w:rPr>
                <w:sz w:val="20"/>
                <w:szCs w:val="20"/>
                <w:color w:val="auto"/>
              </w:rPr>
            </w:pPr>
            <w:r>
              <w:rPr>
                <w:rFonts w:ascii="Arial" w:cs="Arial" w:eastAsia="Arial" w:hAnsi="Arial"/>
                <w:sz w:val="14"/>
                <w:szCs w:val="14"/>
                <w:color w:val="auto"/>
              </w:rPr>
              <w:t>2/7/2026</w:t>
            </w:r>
          </w:p>
        </w:tc>
        <w:tc>
          <w:tcPr>
            <w:tcW w:w="1300" w:type="dxa"/>
            <w:vAlign w:val="bottom"/>
            <w:shd w:val="clear" w:color="auto" w:fill="CBCEE0"/>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r>
      <w:tr>
        <w:trPr>
          <w:trHeight w:val="237"/>
        </w:trPr>
        <w:tc>
          <w:tcPr>
            <w:tcW w:w="1480" w:type="dxa"/>
            <w:vAlign w:val="bottom"/>
          </w:tcPr>
          <w:p>
            <w:pPr>
              <w:spacing w:after="0"/>
              <w:rPr>
                <w:sz w:val="20"/>
                <w:szCs w:val="20"/>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2/6/2017</w:t>
            </w:r>
          </w:p>
        </w:tc>
        <w:tc>
          <w:tcPr>
            <w:tcW w:w="96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54,688</w:t>
            </w:r>
          </w:p>
        </w:tc>
        <w:tc>
          <w:tcPr>
            <w:tcW w:w="1220" w:type="dxa"/>
            <w:vAlign w:val="bottom"/>
            <w:shd w:val="clear" w:color="auto" w:fill="CBCEE0"/>
          </w:tcPr>
          <w:p>
            <w:pPr>
              <w:jc w:val="right"/>
              <w:ind w:right="228"/>
              <w:spacing w:after="0"/>
              <w:rPr>
                <w:sz w:val="20"/>
                <w:szCs w:val="20"/>
                <w:color w:val="auto"/>
              </w:rPr>
            </w:pPr>
            <w:r>
              <w:rPr>
                <w:rFonts w:ascii="Arial" w:cs="Arial" w:eastAsia="Arial" w:hAnsi="Arial"/>
                <w:sz w:val="14"/>
                <w:szCs w:val="14"/>
                <w:color w:val="auto"/>
              </w:rPr>
              <w:t>0</w:t>
            </w:r>
          </w:p>
        </w:tc>
        <w:tc>
          <w:tcPr>
            <w:tcW w:w="840" w:type="dxa"/>
            <w:vAlign w:val="bottom"/>
            <w:shd w:val="clear" w:color="auto" w:fill="CBCEE0"/>
          </w:tcPr>
          <w:p>
            <w:pPr>
              <w:jc w:val="center"/>
              <w:ind w:left="128"/>
              <w:spacing w:after="0"/>
              <w:rPr>
                <w:sz w:val="20"/>
                <w:szCs w:val="20"/>
                <w:color w:val="auto"/>
              </w:rPr>
            </w:pPr>
            <w:r>
              <w:rPr>
                <w:rFonts w:ascii="Arial" w:cs="Arial" w:eastAsia="Arial" w:hAnsi="Arial"/>
                <w:sz w:val="14"/>
                <w:szCs w:val="14"/>
                <w:color w:val="auto"/>
              </w:rPr>
              <w:t>13.160</w:t>
            </w:r>
          </w:p>
        </w:tc>
        <w:tc>
          <w:tcPr>
            <w:tcW w:w="1120" w:type="dxa"/>
            <w:vAlign w:val="bottom"/>
            <w:tcBorders>
              <w:right w:val="single" w:sz="8" w:color="0072AF"/>
            </w:tcBorders>
            <w:shd w:val="clear" w:color="auto" w:fill="CBCEE0"/>
          </w:tcPr>
          <w:p>
            <w:pPr>
              <w:jc w:val="right"/>
              <w:ind w:right="88"/>
              <w:spacing w:after="0"/>
              <w:rPr>
                <w:sz w:val="20"/>
                <w:szCs w:val="20"/>
                <w:color w:val="auto"/>
              </w:rPr>
            </w:pPr>
            <w:r>
              <w:rPr>
                <w:rFonts w:ascii="Arial" w:cs="Arial" w:eastAsia="Arial" w:hAnsi="Arial"/>
                <w:sz w:val="14"/>
                <w:szCs w:val="14"/>
                <w:color w:val="auto"/>
              </w:rPr>
              <w:t>2/5/2027</w:t>
            </w:r>
          </w:p>
        </w:tc>
        <w:tc>
          <w:tcPr>
            <w:tcW w:w="1300" w:type="dxa"/>
            <w:vAlign w:val="bottom"/>
            <w:shd w:val="clear" w:color="auto" w:fill="CBCEE0"/>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spacing w:after="0"/>
              <w:rPr>
                <w:sz w:val="18"/>
                <w:szCs w:val="18"/>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2/5/2018</w:t>
            </w:r>
          </w:p>
        </w:tc>
        <w:tc>
          <w:tcPr>
            <w:tcW w:w="96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80,972</w:t>
            </w:r>
          </w:p>
        </w:tc>
        <w:tc>
          <w:tcPr>
            <w:tcW w:w="1220" w:type="dxa"/>
            <w:vAlign w:val="bottom"/>
            <w:shd w:val="clear" w:color="auto" w:fill="CBCEE0"/>
          </w:tcPr>
          <w:p>
            <w:pPr>
              <w:jc w:val="right"/>
              <w:ind w:right="228"/>
              <w:spacing w:after="0"/>
              <w:rPr>
                <w:sz w:val="20"/>
                <w:szCs w:val="20"/>
                <w:color w:val="auto"/>
              </w:rPr>
            </w:pPr>
            <w:r>
              <w:rPr>
                <w:rFonts w:ascii="Arial" w:cs="Arial" w:eastAsia="Arial" w:hAnsi="Arial"/>
                <w:sz w:val="14"/>
                <w:szCs w:val="14"/>
                <w:color w:val="auto"/>
              </w:rPr>
              <w:t>0</w:t>
            </w:r>
          </w:p>
        </w:tc>
        <w:tc>
          <w:tcPr>
            <w:tcW w:w="840" w:type="dxa"/>
            <w:vAlign w:val="bottom"/>
            <w:shd w:val="clear" w:color="auto" w:fill="CBCEE0"/>
          </w:tcPr>
          <w:p>
            <w:pPr>
              <w:jc w:val="center"/>
              <w:ind w:left="128"/>
              <w:spacing w:after="0"/>
              <w:rPr>
                <w:sz w:val="20"/>
                <w:szCs w:val="20"/>
                <w:color w:val="auto"/>
              </w:rPr>
            </w:pPr>
            <w:r>
              <w:rPr>
                <w:rFonts w:ascii="Arial" w:cs="Arial" w:eastAsia="Arial" w:hAnsi="Arial"/>
                <w:sz w:val="14"/>
                <w:szCs w:val="14"/>
                <w:color w:val="auto"/>
              </w:rPr>
              <w:t>12.640</w:t>
            </w:r>
          </w:p>
        </w:tc>
        <w:tc>
          <w:tcPr>
            <w:tcW w:w="1120" w:type="dxa"/>
            <w:vAlign w:val="bottom"/>
            <w:tcBorders>
              <w:right w:val="single" w:sz="8" w:color="0072AF"/>
            </w:tcBorders>
            <w:shd w:val="clear" w:color="auto" w:fill="CBCEE0"/>
          </w:tcPr>
          <w:p>
            <w:pPr>
              <w:jc w:val="right"/>
              <w:ind w:right="88"/>
              <w:spacing w:after="0"/>
              <w:rPr>
                <w:sz w:val="20"/>
                <w:szCs w:val="20"/>
                <w:color w:val="auto"/>
              </w:rPr>
            </w:pPr>
            <w:r>
              <w:rPr>
                <w:rFonts w:ascii="Arial" w:cs="Arial" w:eastAsia="Arial" w:hAnsi="Arial"/>
                <w:sz w:val="14"/>
                <w:szCs w:val="14"/>
                <w:color w:val="auto"/>
              </w:rPr>
              <w:t>2/4/2028</w:t>
            </w:r>
          </w:p>
        </w:tc>
        <w:tc>
          <w:tcPr>
            <w:tcW w:w="1300" w:type="dxa"/>
            <w:vAlign w:val="bottom"/>
            <w:shd w:val="clear" w:color="auto" w:fill="CBCEE0"/>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spacing w:after="0"/>
              <w:rPr>
                <w:sz w:val="18"/>
                <w:szCs w:val="18"/>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2/5/2019</w:t>
            </w:r>
          </w:p>
        </w:tc>
        <w:tc>
          <w:tcPr>
            <w:tcW w:w="96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100,503</w:t>
            </w:r>
          </w:p>
        </w:tc>
        <w:tc>
          <w:tcPr>
            <w:tcW w:w="1220" w:type="dxa"/>
            <w:vAlign w:val="bottom"/>
            <w:shd w:val="clear" w:color="auto" w:fill="CBCEE0"/>
          </w:tcPr>
          <w:p>
            <w:pPr>
              <w:jc w:val="right"/>
              <w:ind w:right="228"/>
              <w:spacing w:after="0"/>
              <w:rPr>
                <w:sz w:val="20"/>
                <w:szCs w:val="20"/>
                <w:color w:val="auto"/>
              </w:rPr>
            </w:pPr>
            <w:r>
              <w:rPr>
                <w:rFonts w:ascii="Arial" w:cs="Arial" w:eastAsia="Arial" w:hAnsi="Arial"/>
                <w:sz w:val="14"/>
                <w:szCs w:val="14"/>
                <w:color w:val="auto"/>
              </w:rPr>
              <w:t>0</w:t>
            </w:r>
          </w:p>
        </w:tc>
        <w:tc>
          <w:tcPr>
            <w:tcW w:w="840" w:type="dxa"/>
            <w:vAlign w:val="bottom"/>
            <w:shd w:val="clear" w:color="auto" w:fill="CBCEE0"/>
          </w:tcPr>
          <w:p>
            <w:pPr>
              <w:jc w:val="center"/>
              <w:ind w:left="208"/>
              <w:spacing w:after="0"/>
              <w:rPr>
                <w:sz w:val="20"/>
                <w:szCs w:val="20"/>
                <w:color w:val="auto"/>
              </w:rPr>
            </w:pPr>
            <w:r>
              <w:rPr>
                <w:rFonts w:ascii="Arial" w:cs="Arial" w:eastAsia="Arial" w:hAnsi="Arial"/>
                <w:sz w:val="14"/>
                <w:szCs w:val="14"/>
                <w:color w:val="auto"/>
              </w:rPr>
              <w:t>6.600</w:t>
            </w:r>
          </w:p>
        </w:tc>
        <w:tc>
          <w:tcPr>
            <w:tcW w:w="1120" w:type="dxa"/>
            <w:vAlign w:val="bottom"/>
            <w:tcBorders>
              <w:right w:val="single" w:sz="8" w:color="0072AF"/>
            </w:tcBorders>
            <w:shd w:val="clear" w:color="auto" w:fill="CBCEE0"/>
          </w:tcPr>
          <w:p>
            <w:pPr>
              <w:jc w:val="right"/>
              <w:ind w:right="88"/>
              <w:spacing w:after="0"/>
              <w:rPr>
                <w:sz w:val="20"/>
                <w:szCs w:val="20"/>
                <w:color w:val="auto"/>
              </w:rPr>
            </w:pPr>
            <w:r>
              <w:rPr>
                <w:rFonts w:ascii="Arial" w:cs="Arial" w:eastAsia="Arial" w:hAnsi="Arial"/>
                <w:sz w:val="14"/>
                <w:szCs w:val="14"/>
                <w:color w:val="auto"/>
              </w:rPr>
              <w:t>2/4/2029</w:t>
            </w:r>
          </w:p>
        </w:tc>
        <w:tc>
          <w:tcPr>
            <w:tcW w:w="1300" w:type="dxa"/>
            <w:vAlign w:val="bottom"/>
            <w:shd w:val="clear" w:color="auto" w:fill="CBCEE0"/>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spacing w:after="0"/>
              <w:rPr>
                <w:sz w:val="18"/>
                <w:szCs w:val="18"/>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2/4/2020</w:t>
            </w:r>
          </w:p>
        </w:tc>
        <w:tc>
          <w:tcPr>
            <w:tcW w:w="96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257,426</w:t>
            </w:r>
          </w:p>
        </w:tc>
        <w:tc>
          <w:tcPr>
            <w:tcW w:w="1220" w:type="dxa"/>
            <w:vAlign w:val="bottom"/>
            <w:shd w:val="clear" w:color="auto" w:fill="CBCEE0"/>
          </w:tcPr>
          <w:p>
            <w:pPr>
              <w:jc w:val="right"/>
              <w:ind w:right="228"/>
              <w:spacing w:after="0"/>
              <w:rPr>
                <w:sz w:val="20"/>
                <w:szCs w:val="20"/>
                <w:color w:val="auto"/>
              </w:rPr>
            </w:pPr>
            <w:r>
              <w:rPr>
                <w:rFonts w:ascii="Arial" w:cs="Arial" w:eastAsia="Arial" w:hAnsi="Arial"/>
                <w:sz w:val="14"/>
                <w:szCs w:val="14"/>
                <w:color w:val="auto"/>
              </w:rPr>
              <w:t>0</w:t>
            </w:r>
          </w:p>
        </w:tc>
        <w:tc>
          <w:tcPr>
            <w:tcW w:w="840" w:type="dxa"/>
            <w:vAlign w:val="bottom"/>
            <w:shd w:val="clear" w:color="auto" w:fill="CBCEE0"/>
          </w:tcPr>
          <w:p>
            <w:pPr>
              <w:jc w:val="center"/>
              <w:ind w:left="208"/>
              <w:spacing w:after="0"/>
              <w:rPr>
                <w:sz w:val="20"/>
                <w:szCs w:val="20"/>
                <w:color w:val="auto"/>
              </w:rPr>
            </w:pPr>
            <w:r>
              <w:rPr>
                <w:rFonts w:ascii="Arial" w:cs="Arial" w:eastAsia="Arial" w:hAnsi="Arial"/>
                <w:sz w:val="14"/>
                <w:szCs w:val="14"/>
                <w:color w:val="auto"/>
              </w:rPr>
              <w:t>3.980</w:t>
            </w:r>
          </w:p>
        </w:tc>
        <w:tc>
          <w:tcPr>
            <w:tcW w:w="1120" w:type="dxa"/>
            <w:vAlign w:val="bottom"/>
            <w:tcBorders>
              <w:right w:val="single" w:sz="8" w:color="0072AF"/>
            </w:tcBorders>
            <w:shd w:val="clear" w:color="auto" w:fill="CBCEE0"/>
          </w:tcPr>
          <w:p>
            <w:pPr>
              <w:jc w:val="right"/>
              <w:ind w:right="88"/>
              <w:spacing w:after="0"/>
              <w:rPr>
                <w:sz w:val="20"/>
                <w:szCs w:val="20"/>
                <w:color w:val="auto"/>
              </w:rPr>
            </w:pPr>
            <w:r>
              <w:rPr>
                <w:rFonts w:ascii="Arial" w:cs="Arial" w:eastAsia="Arial" w:hAnsi="Arial"/>
                <w:sz w:val="14"/>
                <w:szCs w:val="14"/>
                <w:color w:val="auto"/>
              </w:rPr>
              <w:t>2/3/2030</w:t>
            </w:r>
          </w:p>
        </w:tc>
        <w:tc>
          <w:tcPr>
            <w:tcW w:w="1300" w:type="dxa"/>
            <w:vAlign w:val="bottom"/>
            <w:shd w:val="clear" w:color="auto" w:fill="CBCEE0"/>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spacing w:after="0"/>
              <w:rPr>
                <w:sz w:val="18"/>
                <w:szCs w:val="18"/>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3/3/2021</w:t>
            </w:r>
          </w:p>
        </w:tc>
        <w:tc>
          <w:tcPr>
            <w:tcW w:w="96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37,356</w:t>
            </w:r>
          </w:p>
        </w:tc>
        <w:tc>
          <w:tcPr>
            <w:tcW w:w="1220" w:type="dxa"/>
            <w:vAlign w:val="bottom"/>
            <w:shd w:val="clear" w:color="auto" w:fill="CBCEE0"/>
          </w:tcPr>
          <w:p>
            <w:pPr>
              <w:jc w:val="right"/>
              <w:ind w:right="228"/>
              <w:spacing w:after="0"/>
              <w:rPr>
                <w:sz w:val="20"/>
                <w:szCs w:val="20"/>
                <w:color w:val="auto"/>
              </w:rPr>
            </w:pPr>
            <w:r>
              <w:rPr>
                <w:rFonts w:ascii="Arial" w:cs="Arial" w:eastAsia="Arial" w:hAnsi="Arial"/>
                <w:sz w:val="14"/>
                <w:szCs w:val="14"/>
                <w:color w:val="auto"/>
              </w:rPr>
              <w:t>18,678</w:t>
            </w:r>
          </w:p>
        </w:tc>
        <w:tc>
          <w:tcPr>
            <w:tcW w:w="840" w:type="dxa"/>
            <w:vAlign w:val="bottom"/>
            <w:shd w:val="clear" w:color="auto" w:fill="CBCEE0"/>
          </w:tcPr>
          <w:p>
            <w:pPr>
              <w:jc w:val="center"/>
              <w:ind w:left="208"/>
              <w:spacing w:after="0"/>
              <w:rPr>
                <w:sz w:val="20"/>
                <w:szCs w:val="20"/>
                <w:color w:val="auto"/>
              </w:rPr>
            </w:pPr>
            <w:r>
              <w:rPr>
                <w:rFonts w:ascii="Arial" w:cs="Arial" w:eastAsia="Arial" w:hAnsi="Arial"/>
                <w:sz w:val="14"/>
                <w:szCs w:val="14"/>
                <w:color w:val="auto"/>
              </w:rPr>
              <w:t>8.640</w:t>
            </w:r>
          </w:p>
        </w:tc>
        <w:tc>
          <w:tcPr>
            <w:tcW w:w="1120" w:type="dxa"/>
            <w:vAlign w:val="bottom"/>
            <w:tcBorders>
              <w:right w:val="single" w:sz="8" w:color="0072AF"/>
            </w:tcBorders>
            <w:shd w:val="clear" w:color="auto" w:fill="CBCEE0"/>
          </w:tcPr>
          <w:p>
            <w:pPr>
              <w:jc w:val="right"/>
              <w:ind w:right="88"/>
              <w:spacing w:after="0"/>
              <w:rPr>
                <w:sz w:val="20"/>
                <w:szCs w:val="20"/>
                <w:color w:val="auto"/>
              </w:rPr>
            </w:pPr>
            <w:r>
              <w:rPr>
                <w:rFonts w:ascii="Arial" w:cs="Arial" w:eastAsia="Arial" w:hAnsi="Arial"/>
                <w:sz w:val="14"/>
                <w:szCs w:val="14"/>
                <w:color w:val="auto"/>
              </w:rPr>
              <w:t>3/2/2031</w:t>
            </w:r>
          </w:p>
        </w:tc>
        <w:tc>
          <w:tcPr>
            <w:tcW w:w="1300" w:type="dxa"/>
            <w:vAlign w:val="bottom"/>
            <w:shd w:val="clear" w:color="auto" w:fill="CBCEE0"/>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spacing w:after="0"/>
              <w:rPr>
                <w:sz w:val="18"/>
                <w:szCs w:val="18"/>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3/3/2021</w:t>
            </w:r>
          </w:p>
        </w:tc>
        <w:tc>
          <w:tcPr>
            <w:tcW w:w="96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BCEE0"/>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BCEE0"/>
          </w:tcPr>
          <w:p>
            <w:pPr>
              <w:jc w:val="right"/>
              <w:ind w:right="308"/>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0072AF"/>
            </w:tcBorders>
            <w:shd w:val="clear" w:color="auto" w:fill="CBCEE0"/>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BCEE0"/>
          </w:tcPr>
          <w:p>
            <w:pPr>
              <w:jc w:val="right"/>
              <w:ind w:right="368"/>
              <w:spacing w:after="0"/>
              <w:rPr>
                <w:sz w:val="20"/>
                <w:szCs w:val="20"/>
                <w:color w:val="auto"/>
              </w:rPr>
            </w:pPr>
            <w:r>
              <w:rPr>
                <w:rFonts w:ascii="Arial" w:cs="Arial" w:eastAsia="Arial" w:hAnsi="Arial"/>
                <w:sz w:val="14"/>
                <w:szCs w:val="14"/>
                <w:color w:val="auto"/>
              </w:rPr>
              <w:t>9,771</w:t>
            </w:r>
          </w:p>
        </w:tc>
        <w:tc>
          <w:tcPr>
            <w:tcW w:w="126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42,992</w:t>
            </w:r>
          </w:p>
        </w:tc>
      </w:tr>
      <w:tr>
        <w:trPr>
          <w:trHeight w:val="216"/>
        </w:trPr>
        <w:tc>
          <w:tcPr>
            <w:tcW w:w="1480" w:type="dxa"/>
            <w:vAlign w:val="bottom"/>
          </w:tcPr>
          <w:p>
            <w:pPr>
              <w:spacing w:after="0"/>
              <w:rPr>
                <w:sz w:val="18"/>
                <w:szCs w:val="18"/>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2/14/2023</w:t>
            </w:r>
          </w:p>
        </w:tc>
        <w:tc>
          <w:tcPr>
            <w:tcW w:w="96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BCEE0"/>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BCEE0"/>
          </w:tcPr>
          <w:p>
            <w:pPr>
              <w:jc w:val="right"/>
              <w:ind w:right="308"/>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0072AF"/>
            </w:tcBorders>
            <w:shd w:val="clear" w:color="auto" w:fill="CBCEE0"/>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BCEE0"/>
          </w:tcPr>
          <w:p>
            <w:pPr>
              <w:jc w:val="right"/>
              <w:ind w:right="368"/>
              <w:spacing w:after="0"/>
              <w:rPr>
                <w:sz w:val="20"/>
                <w:szCs w:val="20"/>
                <w:color w:val="auto"/>
              </w:rPr>
            </w:pPr>
            <w:r>
              <w:rPr>
                <w:rFonts w:ascii="Arial" w:cs="Arial" w:eastAsia="Arial" w:hAnsi="Arial"/>
                <w:sz w:val="14"/>
                <w:szCs w:val="14"/>
                <w:color w:val="auto"/>
              </w:rPr>
              <w:t>146,119</w:t>
            </w:r>
          </w:p>
        </w:tc>
        <w:tc>
          <w:tcPr>
            <w:tcW w:w="126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642,924</w:t>
            </w:r>
          </w:p>
        </w:tc>
      </w:tr>
      <w:tr>
        <w:trPr>
          <w:trHeight w:val="216"/>
        </w:trPr>
        <w:tc>
          <w:tcPr>
            <w:tcW w:w="1480" w:type="dxa"/>
            <w:vAlign w:val="bottom"/>
          </w:tcPr>
          <w:p>
            <w:pPr>
              <w:spacing w:after="0"/>
              <w:rPr>
                <w:sz w:val="18"/>
                <w:szCs w:val="18"/>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10/2/2023</w:t>
            </w:r>
          </w:p>
        </w:tc>
        <w:tc>
          <w:tcPr>
            <w:tcW w:w="96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BCEE0"/>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BCEE0"/>
          </w:tcPr>
          <w:p>
            <w:pPr>
              <w:jc w:val="right"/>
              <w:ind w:right="308"/>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0072AF"/>
            </w:tcBorders>
            <w:shd w:val="clear" w:color="auto" w:fill="CBCEE0"/>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BCEE0"/>
          </w:tcPr>
          <w:p>
            <w:pPr>
              <w:jc w:val="right"/>
              <w:ind w:right="368"/>
              <w:spacing w:after="0"/>
              <w:rPr>
                <w:sz w:val="20"/>
                <w:szCs w:val="20"/>
                <w:color w:val="auto"/>
              </w:rPr>
            </w:pPr>
            <w:r>
              <w:rPr>
                <w:rFonts w:ascii="Arial" w:cs="Arial" w:eastAsia="Arial" w:hAnsi="Arial"/>
                <w:sz w:val="14"/>
                <w:szCs w:val="14"/>
                <w:color w:val="auto"/>
              </w:rPr>
              <w:t>57,307</w:t>
            </w:r>
          </w:p>
        </w:tc>
        <w:tc>
          <w:tcPr>
            <w:tcW w:w="126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252,151</w:t>
            </w:r>
          </w:p>
        </w:tc>
      </w:tr>
      <w:tr>
        <w:trPr>
          <w:trHeight w:val="89"/>
        </w:trPr>
        <w:tc>
          <w:tcPr>
            <w:tcW w:w="1480" w:type="dxa"/>
            <w:vAlign w:val="bottom"/>
            <w:tcBorders>
              <w:bottom w:val="single" w:sz="8" w:color="0072AF"/>
            </w:tcBorders>
          </w:tcPr>
          <w:p>
            <w:pPr>
              <w:spacing w:after="0"/>
              <w:rPr>
                <w:sz w:val="7"/>
                <w:szCs w:val="7"/>
                <w:color w:val="auto"/>
              </w:rPr>
            </w:pPr>
          </w:p>
        </w:tc>
        <w:tc>
          <w:tcPr>
            <w:tcW w:w="1000" w:type="dxa"/>
            <w:vAlign w:val="bottom"/>
            <w:tcBorders>
              <w:bottom w:val="single" w:sz="8" w:color="0072AF"/>
              <w:right w:val="single" w:sz="8" w:color="0072AF"/>
            </w:tcBorders>
          </w:tcPr>
          <w:p>
            <w:pPr>
              <w:spacing w:after="0"/>
              <w:rPr>
                <w:sz w:val="7"/>
                <w:szCs w:val="7"/>
                <w:color w:val="auto"/>
              </w:rPr>
            </w:pPr>
          </w:p>
        </w:tc>
        <w:tc>
          <w:tcPr>
            <w:tcW w:w="960" w:type="dxa"/>
            <w:vAlign w:val="bottom"/>
            <w:tcBorders>
              <w:bottom w:val="single" w:sz="8" w:color="0072AF"/>
            </w:tcBorders>
            <w:shd w:val="clear" w:color="auto" w:fill="CBCEE0"/>
          </w:tcPr>
          <w:p>
            <w:pPr>
              <w:spacing w:after="0"/>
              <w:rPr>
                <w:sz w:val="7"/>
                <w:szCs w:val="7"/>
                <w:color w:val="auto"/>
              </w:rPr>
            </w:pPr>
          </w:p>
        </w:tc>
        <w:tc>
          <w:tcPr>
            <w:tcW w:w="1220" w:type="dxa"/>
            <w:vAlign w:val="bottom"/>
            <w:tcBorders>
              <w:bottom w:val="single" w:sz="8" w:color="0072AF"/>
            </w:tcBorders>
            <w:shd w:val="clear" w:color="auto" w:fill="CBCEE0"/>
          </w:tcPr>
          <w:p>
            <w:pPr>
              <w:spacing w:after="0"/>
              <w:rPr>
                <w:sz w:val="7"/>
                <w:szCs w:val="7"/>
                <w:color w:val="auto"/>
              </w:rPr>
            </w:pPr>
          </w:p>
        </w:tc>
        <w:tc>
          <w:tcPr>
            <w:tcW w:w="840" w:type="dxa"/>
            <w:vAlign w:val="bottom"/>
            <w:tcBorders>
              <w:bottom w:val="single" w:sz="8" w:color="0072AF"/>
            </w:tcBorders>
            <w:shd w:val="clear" w:color="auto" w:fill="CBCEE0"/>
          </w:tcPr>
          <w:p>
            <w:pPr>
              <w:spacing w:after="0"/>
              <w:rPr>
                <w:sz w:val="7"/>
                <w:szCs w:val="7"/>
                <w:color w:val="auto"/>
              </w:rPr>
            </w:pPr>
          </w:p>
        </w:tc>
        <w:tc>
          <w:tcPr>
            <w:tcW w:w="1120" w:type="dxa"/>
            <w:vAlign w:val="bottom"/>
            <w:tcBorders>
              <w:bottom w:val="single" w:sz="8" w:color="0072AF"/>
              <w:right w:val="single" w:sz="8" w:color="0072AF"/>
            </w:tcBorders>
            <w:shd w:val="clear" w:color="auto" w:fill="CBCEE0"/>
          </w:tcPr>
          <w:p>
            <w:pPr>
              <w:spacing w:after="0"/>
              <w:rPr>
                <w:sz w:val="7"/>
                <w:szCs w:val="7"/>
                <w:color w:val="auto"/>
              </w:rPr>
            </w:pPr>
          </w:p>
        </w:tc>
        <w:tc>
          <w:tcPr>
            <w:tcW w:w="1300" w:type="dxa"/>
            <w:vAlign w:val="bottom"/>
            <w:tcBorders>
              <w:bottom w:val="single" w:sz="8" w:color="0072AF"/>
            </w:tcBorders>
            <w:shd w:val="clear" w:color="auto" w:fill="CBCEE0"/>
          </w:tcPr>
          <w:p>
            <w:pPr>
              <w:spacing w:after="0"/>
              <w:rPr>
                <w:sz w:val="7"/>
                <w:szCs w:val="7"/>
                <w:color w:val="auto"/>
              </w:rPr>
            </w:pPr>
          </w:p>
        </w:tc>
        <w:tc>
          <w:tcPr>
            <w:tcW w:w="1260" w:type="dxa"/>
            <w:vAlign w:val="bottom"/>
            <w:tcBorders>
              <w:bottom w:val="single" w:sz="8" w:color="0072AF"/>
            </w:tcBorders>
            <w:shd w:val="clear" w:color="auto" w:fill="CBCEE0"/>
          </w:tcPr>
          <w:p>
            <w:pPr>
              <w:spacing w:after="0"/>
              <w:rPr>
                <w:sz w:val="7"/>
                <w:szCs w:val="7"/>
                <w:color w:val="auto"/>
              </w:rPr>
            </w:pPr>
          </w:p>
        </w:tc>
      </w:tr>
      <w:tr>
        <w:trPr>
          <w:trHeight w:val="288"/>
        </w:trPr>
        <w:tc>
          <w:tcPr>
            <w:tcW w:w="1480" w:type="dxa"/>
            <w:vAlign w:val="bottom"/>
          </w:tcPr>
          <w:p>
            <w:pPr>
              <w:spacing w:after="0"/>
              <w:rPr>
                <w:sz w:val="20"/>
                <w:szCs w:val="20"/>
                <w:color w:val="auto"/>
              </w:rPr>
            </w:pPr>
            <w:r>
              <w:rPr>
                <w:rFonts w:ascii="Arial" w:cs="Arial" w:eastAsia="Arial" w:hAnsi="Arial"/>
                <w:sz w:val="14"/>
                <w:szCs w:val="14"/>
                <w:b w:val="1"/>
                <w:bCs w:val="1"/>
                <w:color w:val="auto"/>
              </w:rPr>
              <w:t>Ana Chadwick</w:t>
            </w: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2/16/2021</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368"/>
              <w:spacing w:after="0"/>
              <w:rPr>
                <w:sz w:val="20"/>
                <w:szCs w:val="20"/>
                <w:color w:val="auto"/>
              </w:rPr>
            </w:pPr>
            <w:r>
              <w:rPr>
                <w:rFonts w:ascii="Arial" w:cs="Arial" w:eastAsia="Arial" w:hAnsi="Arial"/>
                <w:sz w:val="14"/>
                <w:szCs w:val="14"/>
                <w:color w:val="auto"/>
              </w:rPr>
              <w:t>18,769</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82,584</w:t>
            </w:r>
          </w:p>
        </w:tc>
      </w:tr>
      <w:tr>
        <w:trPr>
          <w:trHeight w:val="237"/>
        </w:trPr>
        <w:tc>
          <w:tcPr>
            <w:tcW w:w="1480" w:type="dxa"/>
            <w:vAlign w:val="bottom"/>
          </w:tcPr>
          <w:p>
            <w:pPr>
              <w:spacing w:after="0"/>
              <w:rPr>
                <w:sz w:val="20"/>
                <w:szCs w:val="20"/>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3/3/2021</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35,919</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17,960</w:t>
            </w:r>
          </w:p>
        </w:tc>
        <w:tc>
          <w:tcPr>
            <w:tcW w:w="840" w:type="dxa"/>
            <w:vAlign w:val="bottom"/>
          </w:tcPr>
          <w:p>
            <w:pPr>
              <w:jc w:val="center"/>
              <w:ind w:left="208"/>
              <w:spacing w:after="0"/>
              <w:rPr>
                <w:sz w:val="20"/>
                <w:szCs w:val="20"/>
                <w:color w:val="auto"/>
              </w:rPr>
            </w:pPr>
            <w:r>
              <w:rPr>
                <w:rFonts w:ascii="Arial" w:cs="Arial" w:eastAsia="Arial" w:hAnsi="Arial"/>
                <w:sz w:val="14"/>
                <w:szCs w:val="14"/>
                <w:color w:val="auto"/>
              </w:rPr>
              <w:t>8.640</w:t>
            </w:r>
          </w:p>
        </w:tc>
        <w:tc>
          <w:tcPr>
            <w:tcW w:w="112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3/2/2031</w:t>
            </w:r>
          </w:p>
        </w:tc>
        <w:tc>
          <w:tcPr>
            <w:tcW w:w="13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spacing w:after="0"/>
              <w:rPr>
                <w:sz w:val="18"/>
                <w:szCs w:val="18"/>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3/3/2021</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368"/>
              <w:spacing w:after="0"/>
              <w:rPr>
                <w:sz w:val="20"/>
                <w:szCs w:val="20"/>
                <w:color w:val="auto"/>
              </w:rPr>
            </w:pPr>
            <w:r>
              <w:rPr>
                <w:rFonts w:ascii="Arial" w:cs="Arial" w:eastAsia="Arial" w:hAnsi="Arial"/>
                <w:sz w:val="14"/>
                <w:szCs w:val="14"/>
                <w:color w:val="auto"/>
              </w:rPr>
              <w:t>9,395</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41,338</w:t>
            </w:r>
          </w:p>
        </w:tc>
      </w:tr>
      <w:tr>
        <w:trPr>
          <w:trHeight w:val="216"/>
        </w:trPr>
        <w:tc>
          <w:tcPr>
            <w:tcW w:w="1480" w:type="dxa"/>
            <w:vAlign w:val="bottom"/>
          </w:tcPr>
          <w:p>
            <w:pPr>
              <w:spacing w:after="0"/>
              <w:rPr>
                <w:sz w:val="18"/>
                <w:szCs w:val="18"/>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2/14/2023</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368"/>
              <w:spacing w:after="0"/>
              <w:rPr>
                <w:sz w:val="20"/>
                <w:szCs w:val="20"/>
                <w:color w:val="auto"/>
              </w:rPr>
            </w:pPr>
            <w:r>
              <w:rPr>
                <w:rFonts w:ascii="Arial" w:cs="Arial" w:eastAsia="Arial" w:hAnsi="Arial"/>
                <w:sz w:val="14"/>
                <w:szCs w:val="14"/>
                <w:color w:val="auto"/>
              </w:rPr>
              <w:t>114,155</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502,282</w:t>
            </w:r>
          </w:p>
        </w:tc>
      </w:tr>
      <w:tr>
        <w:trPr>
          <w:trHeight w:val="89"/>
        </w:trPr>
        <w:tc>
          <w:tcPr>
            <w:tcW w:w="1480" w:type="dxa"/>
            <w:vAlign w:val="bottom"/>
            <w:tcBorders>
              <w:bottom w:val="single" w:sz="8" w:color="0072AF"/>
            </w:tcBorders>
          </w:tcPr>
          <w:p>
            <w:pPr>
              <w:spacing w:after="0"/>
              <w:rPr>
                <w:sz w:val="7"/>
                <w:szCs w:val="7"/>
                <w:color w:val="auto"/>
              </w:rPr>
            </w:pPr>
          </w:p>
        </w:tc>
        <w:tc>
          <w:tcPr>
            <w:tcW w:w="1000" w:type="dxa"/>
            <w:vAlign w:val="bottom"/>
            <w:tcBorders>
              <w:bottom w:val="single" w:sz="8" w:color="0072AF"/>
              <w:right w:val="single" w:sz="8" w:color="0072AF"/>
            </w:tcBorders>
          </w:tcPr>
          <w:p>
            <w:pPr>
              <w:spacing w:after="0"/>
              <w:rPr>
                <w:sz w:val="7"/>
                <w:szCs w:val="7"/>
                <w:color w:val="auto"/>
              </w:rPr>
            </w:pPr>
          </w:p>
        </w:tc>
        <w:tc>
          <w:tcPr>
            <w:tcW w:w="960" w:type="dxa"/>
            <w:vAlign w:val="bottom"/>
            <w:tcBorders>
              <w:bottom w:val="single" w:sz="8" w:color="0072AF"/>
            </w:tcBorders>
          </w:tcPr>
          <w:p>
            <w:pPr>
              <w:spacing w:after="0"/>
              <w:rPr>
                <w:sz w:val="7"/>
                <w:szCs w:val="7"/>
                <w:color w:val="auto"/>
              </w:rPr>
            </w:pPr>
          </w:p>
        </w:tc>
        <w:tc>
          <w:tcPr>
            <w:tcW w:w="1220" w:type="dxa"/>
            <w:vAlign w:val="bottom"/>
            <w:tcBorders>
              <w:bottom w:val="single" w:sz="8" w:color="0072AF"/>
            </w:tcBorders>
          </w:tcPr>
          <w:p>
            <w:pPr>
              <w:spacing w:after="0"/>
              <w:rPr>
                <w:sz w:val="7"/>
                <w:szCs w:val="7"/>
                <w:color w:val="auto"/>
              </w:rPr>
            </w:pPr>
          </w:p>
        </w:tc>
        <w:tc>
          <w:tcPr>
            <w:tcW w:w="840" w:type="dxa"/>
            <w:vAlign w:val="bottom"/>
            <w:tcBorders>
              <w:bottom w:val="single" w:sz="8" w:color="0072AF"/>
            </w:tcBorders>
          </w:tcPr>
          <w:p>
            <w:pPr>
              <w:spacing w:after="0"/>
              <w:rPr>
                <w:sz w:val="7"/>
                <w:szCs w:val="7"/>
                <w:color w:val="auto"/>
              </w:rPr>
            </w:pPr>
          </w:p>
        </w:tc>
        <w:tc>
          <w:tcPr>
            <w:tcW w:w="1120" w:type="dxa"/>
            <w:vAlign w:val="bottom"/>
            <w:tcBorders>
              <w:bottom w:val="single" w:sz="8" w:color="0072AF"/>
              <w:right w:val="single" w:sz="8" w:color="0072AF"/>
            </w:tcBorders>
          </w:tcPr>
          <w:p>
            <w:pPr>
              <w:spacing w:after="0"/>
              <w:rPr>
                <w:sz w:val="7"/>
                <w:szCs w:val="7"/>
                <w:color w:val="auto"/>
              </w:rPr>
            </w:pPr>
          </w:p>
        </w:tc>
        <w:tc>
          <w:tcPr>
            <w:tcW w:w="1300" w:type="dxa"/>
            <w:vAlign w:val="bottom"/>
            <w:tcBorders>
              <w:bottom w:val="single" w:sz="8" w:color="0072AF"/>
            </w:tcBorders>
          </w:tcPr>
          <w:p>
            <w:pPr>
              <w:spacing w:after="0"/>
              <w:rPr>
                <w:sz w:val="7"/>
                <w:szCs w:val="7"/>
                <w:color w:val="auto"/>
              </w:rPr>
            </w:pPr>
          </w:p>
        </w:tc>
        <w:tc>
          <w:tcPr>
            <w:tcW w:w="1260" w:type="dxa"/>
            <w:vAlign w:val="bottom"/>
            <w:tcBorders>
              <w:bottom w:val="single" w:sz="8" w:color="0072AF"/>
            </w:tcBorders>
          </w:tcPr>
          <w:p>
            <w:pPr>
              <w:spacing w:after="0"/>
              <w:rPr>
                <w:sz w:val="7"/>
                <w:szCs w:val="7"/>
                <w:color w:val="auto"/>
              </w:rPr>
            </w:pPr>
          </w:p>
        </w:tc>
      </w:tr>
      <w:tr>
        <w:trPr>
          <w:trHeight w:val="288"/>
        </w:trPr>
        <w:tc>
          <w:tcPr>
            <w:tcW w:w="1480" w:type="dxa"/>
            <w:vAlign w:val="bottom"/>
          </w:tcPr>
          <w:p>
            <w:pPr>
              <w:spacing w:after="0"/>
              <w:rPr>
                <w:sz w:val="20"/>
                <w:szCs w:val="20"/>
                <w:color w:val="auto"/>
              </w:rPr>
            </w:pPr>
            <w:r>
              <w:rPr>
                <w:rFonts w:ascii="Arial" w:cs="Arial" w:eastAsia="Arial" w:hAnsi="Arial"/>
                <w:sz w:val="14"/>
                <w:szCs w:val="14"/>
                <w:b w:val="1"/>
                <w:bCs w:val="1"/>
                <w:color w:val="auto"/>
              </w:rPr>
              <w:t>Gregg Zegras</w:t>
            </w: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2/8/2016</w:t>
            </w:r>
          </w:p>
        </w:tc>
        <w:tc>
          <w:tcPr>
            <w:tcW w:w="96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8,834</w:t>
            </w:r>
          </w:p>
        </w:tc>
        <w:tc>
          <w:tcPr>
            <w:tcW w:w="1220" w:type="dxa"/>
            <w:vAlign w:val="bottom"/>
            <w:shd w:val="clear" w:color="auto" w:fill="CBCEE0"/>
          </w:tcPr>
          <w:p>
            <w:pPr>
              <w:jc w:val="right"/>
              <w:ind w:right="228"/>
              <w:spacing w:after="0"/>
              <w:rPr>
                <w:sz w:val="20"/>
                <w:szCs w:val="20"/>
                <w:color w:val="auto"/>
              </w:rPr>
            </w:pPr>
            <w:r>
              <w:rPr>
                <w:rFonts w:ascii="Arial" w:cs="Arial" w:eastAsia="Arial" w:hAnsi="Arial"/>
                <w:sz w:val="14"/>
                <w:szCs w:val="14"/>
                <w:color w:val="auto"/>
              </w:rPr>
              <w:t>0</w:t>
            </w:r>
          </w:p>
        </w:tc>
        <w:tc>
          <w:tcPr>
            <w:tcW w:w="840" w:type="dxa"/>
            <w:vAlign w:val="bottom"/>
            <w:shd w:val="clear" w:color="auto" w:fill="CBCEE0"/>
          </w:tcPr>
          <w:p>
            <w:pPr>
              <w:jc w:val="center"/>
              <w:ind w:left="128"/>
              <w:spacing w:after="0"/>
              <w:rPr>
                <w:sz w:val="20"/>
                <w:szCs w:val="20"/>
                <w:color w:val="auto"/>
              </w:rPr>
            </w:pPr>
            <w:r>
              <w:rPr>
                <w:rFonts w:ascii="Arial" w:cs="Arial" w:eastAsia="Arial" w:hAnsi="Arial"/>
                <w:sz w:val="14"/>
                <w:szCs w:val="14"/>
                <w:color w:val="auto"/>
              </w:rPr>
              <w:t>16.820</w:t>
            </w:r>
          </w:p>
        </w:tc>
        <w:tc>
          <w:tcPr>
            <w:tcW w:w="1120" w:type="dxa"/>
            <w:vAlign w:val="bottom"/>
            <w:tcBorders>
              <w:right w:val="single" w:sz="8" w:color="0072AF"/>
            </w:tcBorders>
            <w:shd w:val="clear" w:color="auto" w:fill="CBCEE0"/>
          </w:tcPr>
          <w:p>
            <w:pPr>
              <w:jc w:val="right"/>
              <w:ind w:right="88"/>
              <w:spacing w:after="0"/>
              <w:rPr>
                <w:sz w:val="20"/>
                <w:szCs w:val="20"/>
                <w:color w:val="auto"/>
              </w:rPr>
            </w:pPr>
            <w:r>
              <w:rPr>
                <w:rFonts w:ascii="Arial" w:cs="Arial" w:eastAsia="Arial" w:hAnsi="Arial"/>
                <w:sz w:val="14"/>
                <w:szCs w:val="14"/>
                <w:color w:val="auto"/>
              </w:rPr>
              <w:t>2/7/2026</w:t>
            </w:r>
          </w:p>
        </w:tc>
        <w:tc>
          <w:tcPr>
            <w:tcW w:w="1300" w:type="dxa"/>
            <w:vAlign w:val="bottom"/>
            <w:shd w:val="clear" w:color="auto" w:fill="CBCEE0"/>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r>
      <w:tr>
        <w:trPr>
          <w:trHeight w:val="237"/>
        </w:trPr>
        <w:tc>
          <w:tcPr>
            <w:tcW w:w="1480" w:type="dxa"/>
            <w:vAlign w:val="bottom"/>
          </w:tcPr>
          <w:p>
            <w:pPr>
              <w:spacing w:after="0"/>
              <w:rPr>
                <w:sz w:val="20"/>
                <w:szCs w:val="20"/>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2/6/2017</w:t>
            </w:r>
          </w:p>
        </w:tc>
        <w:tc>
          <w:tcPr>
            <w:tcW w:w="96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27,344</w:t>
            </w:r>
          </w:p>
        </w:tc>
        <w:tc>
          <w:tcPr>
            <w:tcW w:w="1220" w:type="dxa"/>
            <w:vAlign w:val="bottom"/>
            <w:shd w:val="clear" w:color="auto" w:fill="CBCEE0"/>
          </w:tcPr>
          <w:p>
            <w:pPr>
              <w:jc w:val="right"/>
              <w:ind w:right="228"/>
              <w:spacing w:after="0"/>
              <w:rPr>
                <w:sz w:val="20"/>
                <w:szCs w:val="20"/>
                <w:color w:val="auto"/>
              </w:rPr>
            </w:pPr>
            <w:r>
              <w:rPr>
                <w:rFonts w:ascii="Arial" w:cs="Arial" w:eastAsia="Arial" w:hAnsi="Arial"/>
                <w:sz w:val="14"/>
                <w:szCs w:val="14"/>
                <w:color w:val="auto"/>
              </w:rPr>
              <w:t>0</w:t>
            </w:r>
          </w:p>
        </w:tc>
        <w:tc>
          <w:tcPr>
            <w:tcW w:w="840" w:type="dxa"/>
            <w:vAlign w:val="bottom"/>
            <w:shd w:val="clear" w:color="auto" w:fill="CBCEE0"/>
          </w:tcPr>
          <w:p>
            <w:pPr>
              <w:jc w:val="center"/>
              <w:ind w:left="128"/>
              <w:spacing w:after="0"/>
              <w:rPr>
                <w:sz w:val="20"/>
                <w:szCs w:val="20"/>
                <w:color w:val="auto"/>
              </w:rPr>
            </w:pPr>
            <w:r>
              <w:rPr>
                <w:rFonts w:ascii="Arial" w:cs="Arial" w:eastAsia="Arial" w:hAnsi="Arial"/>
                <w:sz w:val="14"/>
                <w:szCs w:val="14"/>
                <w:color w:val="auto"/>
              </w:rPr>
              <w:t>13.160</w:t>
            </w:r>
          </w:p>
        </w:tc>
        <w:tc>
          <w:tcPr>
            <w:tcW w:w="1120" w:type="dxa"/>
            <w:vAlign w:val="bottom"/>
            <w:tcBorders>
              <w:right w:val="single" w:sz="8" w:color="0072AF"/>
            </w:tcBorders>
            <w:shd w:val="clear" w:color="auto" w:fill="CBCEE0"/>
          </w:tcPr>
          <w:p>
            <w:pPr>
              <w:jc w:val="right"/>
              <w:ind w:right="88"/>
              <w:spacing w:after="0"/>
              <w:rPr>
                <w:sz w:val="20"/>
                <w:szCs w:val="20"/>
                <w:color w:val="auto"/>
              </w:rPr>
            </w:pPr>
            <w:r>
              <w:rPr>
                <w:rFonts w:ascii="Arial" w:cs="Arial" w:eastAsia="Arial" w:hAnsi="Arial"/>
                <w:sz w:val="14"/>
                <w:szCs w:val="14"/>
                <w:color w:val="auto"/>
              </w:rPr>
              <w:t>2/5/2027</w:t>
            </w:r>
          </w:p>
        </w:tc>
        <w:tc>
          <w:tcPr>
            <w:tcW w:w="1300" w:type="dxa"/>
            <w:vAlign w:val="bottom"/>
            <w:shd w:val="clear" w:color="auto" w:fill="CBCEE0"/>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spacing w:after="0"/>
              <w:rPr>
                <w:sz w:val="18"/>
                <w:szCs w:val="18"/>
                <w:color w:val="auto"/>
              </w:rPr>
            </w:pPr>
          </w:p>
        </w:tc>
        <w:tc>
          <w:tcPr>
            <w:tcW w:w="1000" w:type="dxa"/>
            <w:vAlign w:val="bottom"/>
            <w:tcBorders>
              <w:right w:val="single" w:sz="8" w:color="0072AF"/>
            </w:tcBorders>
          </w:tcPr>
          <w:p>
            <w:pPr>
              <w:jc w:val="right"/>
              <w:ind w:right="68"/>
              <w:spacing w:after="0"/>
              <w:rPr>
                <w:sz w:val="20"/>
                <w:szCs w:val="20"/>
                <w:color w:val="auto"/>
              </w:rPr>
            </w:pPr>
            <w:r>
              <w:rPr>
                <w:rFonts w:ascii="Arial" w:cs="Arial" w:eastAsia="Arial" w:hAnsi="Arial"/>
                <w:sz w:val="14"/>
                <w:szCs w:val="14"/>
                <w:color w:val="auto"/>
              </w:rPr>
              <w:t>12/26/2018</w:t>
            </w:r>
          </w:p>
        </w:tc>
        <w:tc>
          <w:tcPr>
            <w:tcW w:w="96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75,000</w:t>
            </w:r>
          </w:p>
        </w:tc>
        <w:tc>
          <w:tcPr>
            <w:tcW w:w="1220" w:type="dxa"/>
            <w:vAlign w:val="bottom"/>
            <w:shd w:val="clear" w:color="auto" w:fill="CBCEE0"/>
          </w:tcPr>
          <w:p>
            <w:pPr>
              <w:jc w:val="right"/>
              <w:ind w:right="228"/>
              <w:spacing w:after="0"/>
              <w:rPr>
                <w:sz w:val="20"/>
                <w:szCs w:val="20"/>
                <w:color w:val="auto"/>
              </w:rPr>
            </w:pPr>
            <w:r>
              <w:rPr>
                <w:rFonts w:ascii="Arial" w:cs="Arial" w:eastAsia="Arial" w:hAnsi="Arial"/>
                <w:sz w:val="14"/>
                <w:szCs w:val="14"/>
                <w:color w:val="auto"/>
              </w:rPr>
              <w:t>0</w:t>
            </w:r>
          </w:p>
        </w:tc>
        <w:tc>
          <w:tcPr>
            <w:tcW w:w="840" w:type="dxa"/>
            <w:vAlign w:val="bottom"/>
            <w:shd w:val="clear" w:color="auto" w:fill="CBCEE0"/>
          </w:tcPr>
          <w:p>
            <w:pPr>
              <w:jc w:val="center"/>
              <w:ind w:left="208"/>
              <w:spacing w:after="0"/>
              <w:rPr>
                <w:sz w:val="20"/>
                <w:szCs w:val="20"/>
                <w:color w:val="auto"/>
              </w:rPr>
            </w:pPr>
            <w:r>
              <w:rPr>
                <w:rFonts w:ascii="Arial" w:cs="Arial" w:eastAsia="Arial" w:hAnsi="Arial"/>
                <w:sz w:val="14"/>
                <w:szCs w:val="14"/>
                <w:color w:val="auto"/>
              </w:rPr>
              <w:t>5.990</w:t>
            </w:r>
          </w:p>
        </w:tc>
        <w:tc>
          <w:tcPr>
            <w:tcW w:w="1120" w:type="dxa"/>
            <w:vAlign w:val="bottom"/>
            <w:tcBorders>
              <w:right w:val="single" w:sz="8" w:color="0072AF"/>
            </w:tcBorders>
            <w:shd w:val="clear" w:color="auto" w:fill="CBCEE0"/>
          </w:tcPr>
          <w:p>
            <w:pPr>
              <w:jc w:val="center"/>
              <w:ind w:left="8"/>
              <w:spacing w:after="0"/>
              <w:rPr>
                <w:sz w:val="20"/>
                <w:szCs w:val="20"/>
                <w:color w:val="auto"/>
              </w:rPr>
            </w:pPr>
            <w:r>
              <w:rPr>
                <w:rFonts w:ascii="Arial" w:cs="Arial" w:eastAsia="Arial" w:hAnsi="Arial"/>
                <w:sz w:val="14"/>
                <w:szCs w:val="14"/>
                <w:color w:val="auto"/>
              </w:rPr>
              <w:t>12/25/2028</w:t>
            </w:r>
          </w:p>
        </w:tc>
        <w:tc>
          <w:tcPr>
            <w:tcW w:w="1300" w:type="dxa"/>
            <w:vAlign w:val="bottom"/>
            <w:shd w:val="clear" w:color="auto" w:fill="CBCEE0"/>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spacing w:after="0"/>
              <w:rPr>
                <w:sz w:val="18"/>
                <w:szCs w:val="18"/>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3/3/2021</w:t>
            </w:r>
          </w:p>
        </w:tc>
        <w:tc>
          <w:tcPr>
            <w:tcW w:w="96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35,919</w:t>
            </w:r>
          </w:p>
        </w:tc>
        <w:tc>
          <w:tcPr>
            <w:tcW w:w="1220" w:type="dxa"/>
            <w:vAlign w:val="bottom"/>
            <w:shd w:val="clear" w:color="auto" w:fill="CBCEE0"/>
          </w:tcPr>
          <w:p>
            <w:pPr>
              <w:jc w:val="right"/>
              <w:ind w:right="228"/>
              <w:spacing w:after="0"/>
              <w:rPr>
                <w:sz w:val="20"/>
                <w:szCs w:val="20"/>
                <w:color w:val="auto"/>
              </w:rPr>
            </w:pPr>
            <w:r>
              <w:rPr>
                <w:rFonts w:ascii="Arial" w:cs="Arial" w:eastAsia="Arial" w:hAnsi="Arial"/>
                <w:sz w:val="14"/>
                <w:szCs w:val="14"/>
                <w:color w:val="auto"/>
              </w:rPr>
              <w:t>17,960</w:t>
            </w:r>
          </w:p>
        </w:tc>
        <w:tc>
          <w:tcPr>
            <w:tcW w:w="840" w:type="dxa"/>
            <w:vAlign w:val="bottom"/>
            <w:shd w:val="clear" w:color="auto" w:fill="CBCEE0"/>
          </w:tcPr>
          <w:p>
            <w:pPr>
              <w:jc w:val="center"/>
              <w:ind w:left="208"/>
              <w:spacing w:after="0"/>
              <w:rPr>
                <w:sz w:val="20"/>
                <w:szCs w:val="20"/>
                <w:color w:val="auto"/>
              </w:rPr>
            </w:pPr>
            <w:r>
              <w:rPr>
                <w:rFonts w:ascii="Arial" w:cs="Arial" w:eastAsia="Arial" w:hAnsi="Arial"/>
                <w:sz w:val="14"/>
                <w:szCs w:val="14"/>
                <w:color w:val="auto"/>
              </w:rPr>
              <w:t>8.640</w:t>
            </w:r>
          </w:p>
        </w:tc>
        <w:tc>
          <w:tcPr>
            <w:tcW w:w="1120" w:type="dxa"/>
            <w:vAlign w:val="bottom"/>
            <w:tcBorders>
              <w:right w:val="single" w:sz="8" w:color="0072AF"/>
            </w:tcBorders>
            <w:shd w:val="clear" w:color="auto" w:fill="CBCEE0"/>
          </w:tcPr>
          <w:p>
            <w:pPr>
              <w:jc w:val="right"/>
              <w:ind w:right="88"/>
              <w:spacing w:after="0"/>
              <w:rPr>
                <w:sz w:val="20"/>
                <w:szCs w:val="20"/>
                <w:color w:val="auto"/>
              </w:rPr>
            </w:pPr>
            <w:r>
              <w:rPr>
                <w:rFonts w:ascii="Arial" w:cs="Arial" w:eastAsia="Arial" w:hAnsi="Arial"/>
                <w:sz w:val="14"/>
                <w:szCs w:val="14"/>
                <w:color w:val="auto"/>
              </w:rPr>
              <w:t>3/2/2031</w:t>
            </w:r>
          </w:p>
        </w:tc>
        <w:tc>
          <w:tcPr>
            <w:tcW w:w="1300" w:type="dxa"/>
            <w:vAlign w:val="bottom"/>
            <w:shd w:val="clear" w:color="auto" w:fill="CBCEE0"/>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spacing w:after="0"/>
              <w:rPr>
                <w:sz w:val="18"/>
                <w:szCs w:val="18"/>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3/3/2021</w:t>
            </w:r>
          </w:p>
        </w:tc>
        <w:tc>
          <w:tcPr>
            <w:tcW w:w="96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BCEE0"/>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BCEE0"/>
          </w:tcPr>
          <w:p>
            <w:pPr>
              <w:jc w:val="right"/>
              <w:ind w:right="308"/>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0072AF"/>
            </w:tcBorders>
            <w:shd w:val="clear" w:color="auto" w:fill="CBCEE0"/>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BCEE0"/>
          </w:tcPr>
          <w:p>
            <w:pPr>
              <w:jc w:val="right"/>
              <w:ind w:right="368"/>
              <w:spacing w:after="0"/>
              <w:rPr>
                <w:sz w:val="20"/>
                <w:szCs w:val="20"/>
                <w:color w:val="auto"/>
              </w:rPr>
            </w:pPr>
            <w:r>
              <w:rPr>
                <w:rFonts w:ascii="Arial" w:cs="Arial" w:eastAsia="Arial" w:hAnsi="Arial"/>
                <w:sz w:val="14"/>
                <w:szCs w:val="14"/>
                <w:color w:val="auto"/>
              </w:rPr>
              <w:t>9,395</w:t>
            </w:r>
          </w:p>
        </w:tc>
        <w:tc>
          <w:tcPr>
            <w:tcW w:w="126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41,338</w:t>
            </w:r>
          </w:p>
        </w:tc>
      </w:tr>
      <w:tr>
        <w:trPr>
          <w:trHeight w:val="216"/>
        </w:trPr>
        <w:tc>
          <w:tcPr>
            <w:tcW w:w="1480" w:type="dxa"/>
            <w:vAlign w:val="bottom"/>
          </w:tcPr>
          <w:p>
            <w:pPr>
              <w:spacing w:after="0"/>
              <w:rPr>
                <w:sz w:val="18"/>
                <w:szCs w:val="18"/>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2/14/2023</w:t>
            </w:r>
          </w:p>
        </w:tc>
        <w:tc>
          <w:tcPr>
            <w:tcW w:w="96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BCEE0"/>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BCEE0"/>
          </w:tcPr>
          <w:p>
            <w:pPr>
              <w:jc w:val="right"/>
              <w:ind w:right="308"/>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0072AF"/>
            </w:tcBorders>
            <w:shd w:val="clear" w:color="auto" w:fill="CBCEE0"/>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BCEE0"/>
          </w:tcPr>
          <w:p>
            <w:pPr>
              <w:jc w:val="right"/>
              <w:ind w:right="368"/>
              <w:spacing w:after="0"/>
              <w:rPr>
                <w:sz w:val="20"/>
                <w:szCs w:val="20"/>
                <w:color w:val="auto"/>
              </w:rPr>
            </w:pPr>
            <w:r>
              <w:rPr>
                <w:rFonts w:ascii="Arial" w:cs="Arial" w:eastAsia="Arial" w:hAnsi="Arial"/>
                <w:sz w:val="14"/>
                <w:szCs w:val="14"/>
                <w:color w:val="auto"/>
              </w:rPr>
              <w:t>114,155</w:t>
            </w:r>
          </w:p>
        </w:tc>
        <w:tc>
          <w:tcPr>
            <w:tcW w:w="126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502,282</w:t>
            </w:r>
          </w:p>
        </w:tc>
      </w:tr>
      <w:tr>
        <w:trPr>
          <w:trHeight w:val="89"/>
        </w:trPr>
        <w:tc>
          <w:tcPr>
            <w:tcW w:w="1480" w:type="dxa"/>
            <w:vAlign w:val="bottom"/>
            <w:tcBorders>
              <w:bottom w:val="single" w:sz="8" w:color="0072AF"/>
            </w:tcBorders>
          </w:tcPr>
          <w:p>
            <w:pPr>
              <w:spacing w:after="0"/>
              <w:rPr>
                <w:sz w:val="7"/>
                <w:szCs w:val="7"/>
                <w:color w:val="auto"/>
              </w:rPr>
            </w:pPr>
          </w:p>
        </w:tc>
        <w:tc>
          <w:tcPr>
            <w:tcW w:w="1000" w:type="dxa"/>
            <w:vAlign w:val="bottom"/>
            <w:tcBorders>
              <w:bottom w:val="single" w:sz="8" w:color="0072AF"/>
              <w:right w:val="single" w:sz="8" w:color="0072AF"/>
            </w:tcBorders>
          </w:tcPr>
          <w:p>
            <w:pPr>
              <w:spacing w:after="0"/>
              <w:rPr>
                <w:sz w:val="7"/>
                <w:szCs w:val="7"/>
                <w:color w:val="auto"/>
              </w:rPr>
            </w:pPr>
          </w:p>
        </w:tc>
        <w:tc>
          <w:tcPr>
            <w:tcW w:w="960" w:type="dxa"/>
            <w:vAlign w:val="bottom"/>
            <w:tcBorders>
              <w:bottom w:val="single" w:sz="8" w:color="0072AF"/>
            </w:tcBorders>
            <w:shd w:val="clear" w:color="auto" w:fill="CBCEE0"/>
          </w:tcPr>
          <w:p>
            <w:pPr>
              <w:spacing w:after="0"/>
              <w:rPr>
                <w:sz w:val="7"/>
                <w:szCs w:val="7"/>
                <w:color w:val="auto"/>
              </w:rPr>
            </w:pPr>
          </w:p>
        </w:tc>
        <w:tc>
          <w:tcPr>
            <w:tcW w:w="1220" w:type="dxa"/>
            <w:vAlign w:val="bottom"/>
            <w:tcBorders>
              <w:bottom w:val="single" w:sz="8" w:color="0072AF"/>
            </w:tcBorders>
            <w:shd w:val="clear" w:color="auto" w:fill="CBCEE0"/>
          </w:tcPr>
          <w:p>
            <w:pPr>
              <w:spacing w:after="0"/>
              <w:rPr>
                <w:sz w:val="7"/>
                <w:szCs w:val="7"/>
                <w:color w:val="auto"/>
              </w:rPr>
            </w:pPr>
          </w:p>
        </w:tc>
        <w:tc>
          <w:tcPr>
            <w:tcW w:w="840" w:type="dxa"/>
            <w:vAlign w:val="bottom"/>
            <w:tcBorders>
              <w:bottom w:val="single" w:sz="8" w:color="0072AF"/>
            </w:tcBorders>
            <w:shd w:val="clear" w:color="auto" w:fill="CBCEE0"/>
          </w:tcPr>
          <w:p>
            <w:pPr>
              <w:spacing w:after="0"/>
              <w:rPr>
                <w:sz w:val="7"/>
                <w:szCs w:val="7"/>
                <w:color w:val="auto"/>
              </w:rPr>
            </w:pPr>
          </w:p>
        </w:tc>
        <w:tc>
          <w:tcPr>
            <w:tcW w:w="1120" w:type="dxa"/>
            <w:vAlign w:val="bottom"/>
            <w:tcBorders>
              <w:bottom w:val="single" w:sz="8" w:color="0072AF"/>
              <w:right w:val="single" w:sz="8" w:color="0072AF"/>
            </w:tcBorders>
            <w:shd w:val="clear" w:color="auto" w:fill="CBCEE0"/>
          </w:tcPr>
          <w:p>
            <w:pPr>
              <w:spacing w:after="0"/>
              <w:rPr>
                <w:sz w:val="7"/>
                <w:szCs w:val="7"/>
                <w:color w:val="auto"/>
              </w:rPr>
            </w:pPr>
          </w:p>
        </w:tc>
        <w:tc>
          <w:tcPr>
            <w:tcW w:w="1300" w:type="dxa"/>
            <w:vAlign w:val="bottom"/>
            <w:tcBorders>
              <w:bottom w:val="single" w:sz="8" w:color="0072AF"/>
            </w:tcBorders>
            <w:shd w:val="clear" w:color="auto" w:fill="CBCEE0"/>
          </w:tcPr>
          <w:p>
            <w:pPr>
              <w:spacing w:after="0"/>
              <w:rPr>
                <w:sz w:val="7"/>
                <w:szCs w:val="7"/>
                <w:color w:val="auto"/>
              </w:rPr>
            </w:pPr>
          </w:p>
        </w:tc>
        <w:tc>
          <w:tcPr>
            <w:tcW w:w="1260" w:type="dxa"/>
            <w:vAlign w:val="bottom"/>
            <w:tcBorders>
              <w:bottom w:val="single" w:sz="8" w:color="0072AF"/>
            </w:tcBorders>
            <w:shd w:val="clear" w:color="auto" w:fill="CBCEE0"/>
          </w:tcPr>
          <w:p>
            <w:pPr>
              <w:spacing w:after="0"/>
              <w:rPr>
                <w:sz w:val="7"/>
                <w:szCs w:val="7"/>
                <w:color w:val="auto"/>
              </w:rPr>
            </w:pPr>
          </w:p>
        </w:tc>
      </w:tr>
      <w:tr>
        <w:trPr>
          <w:trHeight w:val="288"/>
        </w:trPr>
        <w:tc>
          <w:tcPr>
            <w:tcW w:w="1480" w:type="dxa"/>
            <w:vAlign w:val="bottom"/>
          </w:tcPr>
          <w:p>
            <w:pPr>
              <w:spacing w:after="0"/>
              <w:rPr>
                <w:sz w:val="20"/>
                <w:szCs w:val="20"/>
                <w:color w:val="auto"/>
              </w:rPr>
            </w:pPr>
            <w:r>
              <w:rPr>
                <w:rFonts w:ascii="Arial" w:cs="Arial" w:eastAsia="Arial" w:hAnsi="Arial"/>
                <w:sz w:val="14"/>
                <w:szCs w:val="14"/>
                <w:b w:val="1"/>
                <w:bCs w:val="1"/>
                <w:color w:val="auto"/>
              </w:rPr>
              <w:t>Daniel J. Goldstein</w:t>
            </w: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2/8/2016</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47,703</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840" w:type="dxa"/>
            <w:vAlign w:val="bottom"/>
          </w:tcPr>
          <w:p>
            <w:pPr>
              <w:jc w:val="center"/>
              <w:ind w:left="128"/>
              <w:spacing w:after="0"/>
              <w:rPr>
                <w:sz w:val="20"/>
                <w:szCs w:val="20"/>
                <w:color w:val="auto"/>
              </w:rPr>
            </w:pPr>
            <w:r>
              <w:rPr>
                <w:rFonts w:ascii="Arial" w:cs="Arial" w:eastAsia="Arial" w:hAnsi="Arial"/>
                <w:sz w:val="14"/>
                <w:szCs w:val="14"/>
                <w:color w:val="auto"/>
              </w:rPr>
              <w:t>16.820</w:t>
            </w:r>
          </w:p>
        </w:tc>
        <w:tc>
          <w:tcPr>
            <w:tcW w:w="112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2/7/2026</w:t>
            </w:r>
          </w:p>
        </w:tc>
        <w:tc>
          <w:tcPr>
            <w:tcW w:w="13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r>
      <w:tr>
        <w:trPr>
          <w:trHeight w:val="237"/>
        </w:trPr>
        <w:tc>
          <w:tcPr>
            <w:tcW w:w="1480" w:type="dxa"/>
            <w:vAlign w:val="bottom"/>
          </w:tcPr>
          <w:p>
            <w:pPr>
              <w:spacing w:after="0"/>
              <w:rPr>
                <w:sz w:val="20"/>
                <w:szCs w:val="20"/>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2/6/2017</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67,500</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840" w:type="dxa"/>
            <w:vAlign w:val="bottom"/>
          </w:tcPr>
          <w:p>
            <w:pPr>
              <w:jc w:val="center"/>
              <w:ind w:left="128"/>
              <w:spacing w:after="0"/>
              <w:rPr>
                <w:sz w:val="20"/>
                <w:szCs w:val="20"/>
                <w:color w:val="auto"/>
              </w:rPr>
            </w:pPr>
            <w:r>
              <w:rPr>
                <w:rFonts w:ascii="Arial" w:cs="Arial" w:eastAsia="Arial" w:hAnsi="Arial"/>
                <w:sz w:val="14"/>
                <w:szCs w:val="14"/>
                <w:color w:val="auto"/>
              </w:rPr>
              <w:t>13.160</w:t>
            </w:r>
          </w:p>
        </w:tc>
        <w:tc>
          <w:tcPr>
            <w:tcW w:w="112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2/5/2027</w:t>
            </w:r>
          </w:p>
        </w:tc>
        <w:tc>
          <w:tcPr>
            <w:tcW w:w="13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spacing w:after="0"/>
              <w:rPr>
                <w:sz w:val="18"/>
                <w:szCs w:val="18"/>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2/5/2018</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54,656</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840" w:type="dxa"/>
            <w:vAlign w:val="bottom"/>
          </w:tcPr>
          <w:p>
            <w:pPr>
              <w:jc w:val="center"/>
              <w:ind w:left="128"/>
              <w:spacing w:after="0"/>
              <w:rPr>
                <w:sz w:val="20"/>
                <w:szCs w:val="20"/>
                <w:color w:val="auto"/>
              </w:rPr>
            </w:pPr>
            <w:r>
              <w:rPr>
                <w:rFonts w:ascii="Arial" w:cs="Arial" w:eastAsia="Arial" w:hAnsi="Arial"/>
                <w:sz w:val="14"/>
                <w:szCs w:val="14"/>
                <w:color w:val="auto"/>
              </w:rPr>
              <w:t>12.640</w:t>
            </w:r>
          </w:p>
        </w:tc>
        <w:tc>
          <w:tcPr>
            <w:tcW w:w="112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2/4/2028</w:t>
            </w:r>
          </w:p>
        </w:tc>
        <w:tc>
          <w:tcPr>
            <w:tcW w:w="13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spacing w:after="0"/>
              <w:rPr>
                <w:sz w:val="18"/>
                <w:szCs w:val="18"/>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2/5/2019</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75,377</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840" w:type="dxa"/>
            <w:vAlign w:val="bottom"/>
          </w:tcPr>
          <w:p>
            <w:pPr>
              <w:jc w:val="center"/>
              <w:ind w:left="208"/>
              <w:spacing w:after="0"/>
              <w:rPr>
                <w:sz w:val="20"/>
                <w:szCs w:val="20"/>
                <w:color w:val="auto"/>
              </w:rPr>
            </w:pPr>
            <w:r>
              <w:rPr>
                <w:rFonts w:ascii="Arial" w:cs="Arial" w:eastAsia="Arial" w:hAnsi="Arial"/>
                <w:sz w:val="14"/>
                <w:szCs w:val="14"/>
                <w:color w:val="auto"/>
              </w:rPr>
              <w:t>6.600</w:t>
            </w:r>
          </w:p>
        </w:tc>
        <w:tc>
          <w:tcPr>
            <w:tcW w:w="112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2/4/2029</w:t>
            </w:r>
          </w:p>
        </w:tc>
        <w:tc>
          <w:tcPr>
            <w:tcW w:w="13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spacing w:after="0"/>
              <w:rPr>
                <w:sz w:val="18"/>
                <w:szCs w:val="18"/>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2/4/2020</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148,515</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840" w:type="dxa"/>
            <w:vAlign w:val="bottom"/>
          </w:tcPr>
          <w:p>
            <w:pPr>
              <w:jc w:val="center"/>
              <w:ind w:left="208"/>
              <w:spacing w:after="0"/>
              <w:rPr>
                <w:sz w:val="20"/>
                <w:szCs w:val="20"/>
                <w:color w:val="auto"/>
              </w:rPr>
            </w:pPr>
            <w:r>
              <w:rPr>
                <w:rFonts w:ascii="Arial" w:cs="Arial" w:eastAsia="Arial" w:hAnsi="Arial"/>
                <w:sz w:val="14"/>
                <w:szCs w:val="14"/>
                <w:color w:val="auto"/>
              </w:rPr>
              <w:t>3.980</w:t>
            </w:r>
          </w:p>
        </w:tc>
        <w:tc>
          <w:tcPr>
            <w:tcW w:w="112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2/3/2030</w:t>
            </w:r>
          </w:p>
        </w:tc>
        <w:tc>
          <w:tcPr>
            <w:tcW w:w="13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spacing w:after="0"/>
              <w:rPr>
                <w:sz w:val="18"/>
                <w:szCs w:val="18"/>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3/3/2021</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30,173</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15,086</w:t>
            </w:r>
          </w:p>
        </w:tc>
        <w:tc>
          <w:tcPr>
            <w:tcW w:w="840" w:type="dxa"/>
            <w:vAlign w:val="bottom"/>
          </w:tcPr>
          <w:p>
            <w:pPr>
              <w:jc w:val="center"/>
              <w:ind w:left="208"/>
              <w:spacing w:after="0"/>
              <w:rPr>
                <w:sz w:val="20"/>
                <w:szCs w:val="20"/>
                <w:color w:val="auto"/>
              </w:rPr>
            </w:pPr>
            <w:r>
              <w:rPr>
                <w:rFonts w:ascii="Arial" w:cs="Arial" w:eastAsia="Arial" w:hAnsi="Arial"/>
                <w:sz w:val="14"/>
                <w:szCs w:val="14"/>
                <w:color w:val="auto"/>
              </w:rPr>
              <w:t>8.640</w:t>
            </w:r>
          </w:p>
        </w:tc>
        <w:tc>
          <w:tcPr>
            <w:tcW w:w="112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3/2/2031</w:t>
            </w:r>
          </w:p>
        </w:tc>
        <w:tc>
          <w:tcPr>
            <w:tcW w:w="13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spacing w:after="0"/>
              <w:rPr>
                <w:sz w:val="18"/>
                <w:szCs w:val="18"/>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3/3/2021</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368"/>
              <w:spacing w:after="0"/>
              <w:rPr>
                <w:sz w:val="20"/>
                <w:szCs w:val="20"/>
                <w:color w:val="auto"/>
              </w:rPr>
            </w:pPr>
            <w:r>
              <w:rPr>
                <w:rFonts w:ascii="Arial" w:cs="Arial" w:eastAsia="Arial" w:hAnsi="Arial"/>
                <w:sz w:val="14"/>
                <w:szCs w:val="14"/>
                <w:color w:val="auto"/>
              </w:rPr>
              <w:t>7,892</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34,725</w:t>
            </w:r>
          </w:p>
        </w:tc>
      </w:tr>
      <w:tr>
        <w:trPr>
          <w:trHeight w:val="216"/>
        </w:trPr>
        <w:tc>
          <w:tcPr>
            <w:tcW w:w="1480" w:type="dxa"/>
            <w:vAlign w:val="bottom"/>
          </w:tcPr>
          <w:p>
            <w:pPr>
              <w:spacing w:after="0"/>
              <w:rPr>
                <w:sz w:val="18"/>
                <w:szCs w:val="18"/>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2/14/2023</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368"/>
              <w:spacing w:after="0"/>
              <w:rPr>
                <w:sz w:val="20"/>
                <w:szCs w:val="20"/>
                <w:color w:val="auto"/>
              </w:rPr>
            </w:pPr>
            <w:r>
              <w:rPr>
                <w:rFonts w:ascii="Arial" w:cs="Arial" w:eastAsia="Arial" w:hAnsi="Arial"/>
                <w:sz w:val="14"/>
                <w:szCs w:val="14"/>
                <w:color w:val="auto"/>
              </w:rPr>
              <w:t>114,155</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502,282</w:t>
            </w:r>
          </w:p>
        </w:tc>
      </w:tr>
      <w:tr>
        <w:trPr>
          <w:trHeight w:val="89"/>
        </w:trPr>
        <w:tc>
          <w:tcPr>
            <w:tcW w:w="1480" w:type="dxa"/>
            <w:vAlign w:val="bottom"/>
            <w:tcBorders>
              <w:bottom w:val="single" w:sz="8" w:color="0072AF"/>
            </w:tcBorders>
          </w:tcPr>
          <w:p>
            <w:pPr>
              <w:spacing w:after="0"/>
              <w:rPr>
                <w:sz w:val="7"/>
                <w:szCs w:val="7"/>
                <w:color w:val="auto"/>
              </w:rPr>
            </w:pPr>
          </w:p>
        </w:tc>
        <w:tc>
          <w:tcPr>
            <w:tcW w:w="1000" w:type="dxa"/>
            <w:vAlign w:val="bottom"/>
            <w:tcBorders>
              <w:bottom w:val="single" w:sz="8" w:color="0072AF"/>
              <w:right w:val="single" w:sz="8" w:color="0072AF"/>
            </w:tcBorders>
          </w:tcPr>
          <w:p>
            <w:pPr>
              <w:spacing w:after="0"/>
              <w:rPr>
                <w:sz w:val="7"/>
                <w:szCs w:val="7"/>
                <w:color w:val="auto"/>
              </w:rPr>
            </w:pPr>
          </w:p>
        </w:tc>
        <w:tc>
          <w:tcPr>
            <w:tcW w:w="960" w:type="dxa"/>
            <w:vAlign w:val="bottom"/>
            <w:tcBorders>
              <w:bottom w:val="single" w:sz="8" w:color="0072AF"/>
            </w:tcBorders>
          </w:tcPr>
          <w:p>
            <w:pPr>
              <w:spacing w:after="0"/>
              <w:rPr>
                <w:sz w:val="7"/>
                <w:szCs w:val="7"/>
                <w:color w:val="auto"/>
              </w:rPr>
            </w:pPr>
          </w:p>
        </w:tc>
        <w:tc>
          <w:tcPr>
            <w:tcW w:w="1220" w:type="dxa"/>
            <w:vAlign w:val="bottom"/>
            <w:tcBorders>
              <w:bottom w:val="single" w:sz="8" w:color="0072AF"/>
            </w:tcBorders>
          </w:tcPr>
          <w:p>
            <w:pPr>
              <w:spacing w:after="0"/>
              <w:rPr>
                <w:sz w:val="7"/>
                <w:szCs w:val="7"/>
                <w:color w:val="auto"/>
              </w:rPr>
            </w:pPr>
          </w:p>
        </w:tc>
        <w:tc>
          <w:tcPr>
            <w:tcW w:w="840" w:type="dxa"/>
            <w:vAlign w:val="bottom"/>
            <w:tcBorders>
              <w:bottom w:val="single" w:sz="8" w:color="0072AF"/>
            </w:tcBorders>
          </w:tcPr>
          <w:p>
            <w:pPr>
              <w:spacing w:after="0"/>
              <w:rPr>
                <w:sz w:val="7"/>
                <w:szCs w:val="7"/>
                <w:color w:val="auto"/>
              </w:rPr>
            </w:pPr>
          </w:p>
        </w:tc>
        <w:tc>
          <w:tcPr>
            <w:tcW w:w="1120" w:type="dxa"/>
            <w:vAlign w:val="bottom"/>
            <w:tcBorders>
              <w:bottom w:val="single" w:sz="8" w:color="0072AF"/>
              <w:right w:val="single" w:sz="8" w:color="0072AF"/>
            </w:tcBorders>
          </w:tcPr>
          <w:p>
            <w:pPr>
              <w:spacing w:after="0"/>
              <w:rPr>
                <w:sz w:val="7"/>
                <w:szCs w:val="7"/>
                <w:color w:val="auto"/>
              </w:rPr>
            </w:pPr>
          </w:p>
        </w:tc>
        <w:tc>
          <w:tcPr>
            <w:tcW w:w="1300" w:type="dxa"/>
            <w:vAlign w:val="bottom"/>
            <w:tcBorders>
              <w:bottom w:val="single" w:sz="8" w:color="0072AF"/>
            </w:tcBorders>
          </w:tcPr>
          <w:p>
            <w:pPr>
              <w:spacing w:after="0"/>
              <w:rPr>
                <w:sz w:val="7"/>
                <w:szCs w:val="7"/>
                <w:color w:val="auto"/>
              </w:rPr>
            </w:pPr>
          </w:p>
        </w:tc>
        <w:tc>
          <w:tcPr>
            <w:tcW w:w="1260" w:type="dxa"/>
            <w:vAlign w:val="bottom"/>
            <w:tcBorders>
              <w:bottom w:val="single" w:sz="8" w:color="0072AF"/>
            </w:tcBorders>
          </w:tcPr>
          <w:p>
            <w:pPr>
              <w:spacing w:after="0"/>
              <w:rPr>
                <w:sz w:val="7"/>
                <w:szCs w:val="7"/>
                <w:color w:val="auto"/>
              </w:rPr>
            </w:pPr>
          </w:p>
        </w:tc>
      </w:tr>
      <w:tr>
        <w:trPr>
          <w:trHeight w:val="288"/>
        </w:trPr>
        <w:tc>
          <w:tcPr>
            <w:tcW w:w="1480" w:type="dxa"/>
            <w:vAlign w:val="bottom"/>
          </w:tcPr>
          <w:p>
            <w:pPr>
              <w:spacing w:after="0"/>
              <w:rPr>
                <w:sz w:val="20"/>
                <w:szCs w:val="20"/>
                <w:color w:val="auto"/>
              </w:rPr>
            </w:pPr>
            <w:r>
              <w:rPr>
                <w:rFonts w:ascii="Arial" w:cs="Arial" w:eastAsia="Arial" w:hAnsi="Arial"/>
                <w:sz w:val="14"/>
                <w:szCs w:val="14"/>
                <w:b w:val="1"/>
                <w:bCs w:val="1"/>
                <w:color w:val="auto"/>
              </w:rPr>
              <w:t>James Fairweather</w:t>
            </w: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2/8/2016</w:t>
            </w:r>
          </w:p>
        </w:tc>
        <w:tc>
          <w:tcPr>
            <w:tcW w:w="96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17,668</w:t>
            </w:r>
          </w:p>
        </w:tc>
        <w:tc>
          <w:tcPr>
            <w:tcW w:w="1220" w:type="dxa"/>
            <w:vAlign w:val="bottom"/>
            <w:shd w:val="clear" w:color="auto" w:fill="CBCEE0"/>
          </w:tcPr>
          <w:p>
            <w:pPr>
              <w:jc w:val="right"/>
              <w:ind w:right="228"/>
              <w:spacing w:after="0"/>
              <w:rPr>
                <w:sz w:val="20"/>
                <w:szCs w:val="20"/>
                <w:color w:val="auto"/>
              </w:rPr>
            </w:pPr>
            <w:r>
              <w:rPr>
                <w:rFonts w:ascii="Arial" w:cs="Arial" w:eastAsia="Arial" w:hAnsi="Arial"/>
                <w:sz w:val="14"/>
                <w:szCs w:val="14"/>
                <w:color w:val="auto"/>
              </w:rPr>
              <w:t>0</w:t>
            </w:r>
          </w:p>
        </w:tc>
        <w:tc>
          <w:tcPr>
            <w:tcW w:w="840" w:type="dxa"/>
            <w:vAlign w:val="bottom"/>
            <w:shd w:val="clear" w:color="auto" w:fill="CBCEE0"/>
          </w:tcPr>
          <w:p>
            <w:pPr>
              <w:jc w:val="center"/>
              <w:ind w:left="128"/>
              <w:spacing w:after="0"/>
              <w:rPr>
                <w:sz w:val="20"/>
                <w:szCs w:val="20"/>
                <w:color w:val="auto"/>
              </w:rPr>
            </w:pPr>
            <w:r>
              <w:rPr>
                <w:rFonts w:ascii="Arial" w:cs="Arial" w:eastAsia="Arial" w:hAnsi="Arial"/>
                <w:sz w:val="14"/>
                <w:szCs w:val="14"/>
                <w:color w:val="auto"/>
              </w:rPr>
              <w:t>16.820</w:t>
            </w:r>
          </w:p>
        </w:tc>
        <w:tc>
          <w:tcPr>
            <w:tcW w:w="1120" w:type="dxa"/>
            <w:vAlign w:val="bottom"/>
            <w:tcBorders>
              <w:right w:val="single" w:sz="8" w:color="0072AF"/>
            </w:tcBorders>
            <w:shd w:val="clear" w:color="auto" w:fill="CBCEE0"/>
          </w:tcPr>
          <w:p>
            <w:pPr>
              <w:jc w:val="right"/>
              <w:ind w:right="88"/>
              <w:spacing w:after="0"/>
              <w:rPr>
                <w:sz w:val="20"/>
                <w:szCs w:val="20"/>
                <w:color w:val="auto"/>
              </w:rPr>
            </w:pPr>
            <w:r>
              <w:rPr>
                <w:rFonts w:ascii="Arial" w:cs="Arial" w:eastAsia="Arial" w:hAnsi="Arial"/>
                <w:sz w:val="14"/>
                <w:szCs w:val="14"/>
                <w:color w:val="auto"/>
              </w:rPr>
              <w:t>2/7/2026</w:t>
            </w:r>
          </w:p>
        </w:tc>
        <w:tc>
          <w:tcPr>
            <w:tcW w:w="1300" w:type="dxa"/>
            <w:vAlign w:val="bottom"/>
            <w:shd w:val="clear" w:color="auto" w:fill="CBCEE0"/>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r>
      <w:tr>
        <w:trPr>
          <w:trHeight w:val="237"/>
        </w:trPr>
        <w:tc>
          <w:tcPr>
            <w:tcW w:w="1480" w:type="dxa"/>
            <w:vAlign w:val="bottom"/>
          </w:tcPr>
          <w:p>
            <w:pPr>
              <w:spacing w:after="0"/>
              <w:rPr>
                <w:sz w:val="20"/>
                <w:szCs w:val="20"/>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2/6/2017</w:t>
            </w:r>
          </w:p>
        </w:tc>
        <w:tc>
          <w:tcPr>
            <w:tcW w:w="96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54,688</w:t>
            </w:r>
          </w:p>
        </w:tc>
        <w:tc>
          <w:tcPr>
            <w:tcW w:w="1220" w:type="dxa"/>
            <w:vAlign w:val="bottom"/>
            <w:shd w:val="clear" w:color="auto" w:fill="CBCEE0"/>
          </w:tcPr>
          <w:p>
            <w:pPr>
              <w:jc w:val="right"/>
              <w:ind w:right="228"/>
              <w:spacing w:after="0"/>
              <w:rPr>
                <w:sz w:val="20"/>
                <w:szCs w:val="20"/>
                <w:color w:val="auto"/>
              </w:rPr>
            </w:pPr>
            <w:r>
              <w:rPr>
                <w:rFonts w:ascii="Arial" w:cs="Arial" w:eastAsia="Arial" w:hAnsi="Arial"/>
                <w:sz w:val="14"/>
                <w:szCs w:val="14"/>
                <w:color w:val="auto"/>
              </w:rPr>
              <w:t>0</w:t>
            </w:r>
          </w:p>
        </w:tc>
        <w:tc>
          <w:tcPr>
            <w:tcW w:w="840" w:type="dxa"/>
            <w:vAlign w:val="bottom"/>
            <w:shd w:val="clear" w:color="auto" w:fill="CBCEE0"/>
          </w:tcPr>
          <w:p>
            <w:pPr>
              <w:jc w:val="center"/>
              <w:ind w:left="128"/>
              <w:spacing w:after="0"/>
              <w:rPr>
                <w:sz w:val="20"/>
                <w:szCs w:val="20"/>
                <w:color w:val="auto"/>
              </w:rPr>
            </w:pPr>
            <w:r>
              <w:rPr>
                <w:rFonts w:ascii="Arial" w:cs="Arial" w:eastAsia="Arial" w:hAnsi="Arial"/>
                <w:sz w:val="14"/>
                <w:szCs w:val="14"/>
                <w:color w:val="auto"/>
              </w:rPr>
              <w:t>13.160</w:t>
            </w:r>
          </w:p>
        </w:tc>
        <w:tc>
          <w:tcPr>
            <w:tcW w:w="1120" w:type="dxa"/>
            <w:vAlign w:val="bottom"/>
            <w:tcBorders>
              <w:right w:val="single" w:sz="8" w:color="0072AF"/>
            </w:tcBorders>
            <w:shd w:val="clear" w:color="auto" w:fill="CBCEE0"/>
          </w:tcPr>
          <w:p>
            <w:pPr>
              <w:jc w:val="right"/>
              <w:ind w:right="88"/>
              <w:spacing w:after="0"/>
              <w:rPr>
                <w:sz w:val="20"/>
                <w:szCs w:val="20"/>
                <w:color w:val="auto"/>
              </w:rPr>
            </w:pPr>
            <w:r>
              <w:rPr>
                <w:rFonts w:ascii="Arial" w:cs="Arial" w:eastAsia="Arial" w:hAnsi="Arial"/>
                <w:sz w:val="14"/>
                <w:szCs w:val="14"/>
                <w:color w:val="auto"/>
              </w:rPr>
              <w:t>2/5/2027</w:t>
            </w:r>
          </w:p>
        </w:tc>
        <w:tc>
          <w:tcPr>
            <w:tcW w:w="1300" w:type="dxa"/>
            <w:vAlign w:val="bottom"/>
            <w:shd w:val="clear" w:color="auto" w:fill="CBCEE0"/>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spacing w:after="0"/>
              <w:rPr>
                <w:sz w:val="18"/>
                <w:szCs w:val="18"/>
                <w:color w:val="auto"/>
              </w:rPr>
            </w:pPr>
          </w:p>
        </w:tc>
        <w:tc>
          <w:tcPr>
            <w:tcW w:w="1000" w:type="dxa"/>
            <w:vAlign w:val="bottom"/>
            <w:tcBorders>
              <w:right w:val="single" w:sz="8" w:color="0072AF"/>
            </w:tcBorders>
          </w:tcPr>
          <w:p>
            <w:pPr>
              <w:jc w:val="right"/>
              <w:ind w:right="68"/>
              <w:spacing w:after="0"/>
              <w:rPr>
                <w:sz w:val="20"/>
                <w:szCs w:val="20"/>
                <w:color w:val="auto"/>
              </w:rPr>
            </w:pPr>
            <w:r>
              <w:rPr>
                <w:rFonts w:ascii="Arial" w:cs="Arial" w:eastAsia="Arial" w:hAnsi="Arial"/>
                <w:sz w:val="14"/>
                <w:szCs w:val="14"/>
                <w:color w:val="auto"/>
              </w:rPr>
              <w:t>12/26/2018</w:t>
            </w:r>
          </w:p>
        </w:tc>
        <w:tc>
          <w:tcPr>
            <w:tcW w:w="96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75,000</w:t>
            </w:r>
          </w:p>
        </w:tc>
        <w:tc>
          <w:tcPr>
            <w:tcW w:w="1220" w:type="dxa"/>
            <w:vAlign w:val="bottom"/>
            <w:shd w:val="clear" w:color="auto" w:fill="CBCEE0"/>
          </w:tcPr>
          <w:p>
            <w:pPr>
              <w:jc w:val="right"/>
              <w:ind w:right="228"/>
              <w:spacing w:after="0"/>
              <w:rPr>
                <w:sz w:val="20"/>
                <w:szCs w:val="20"/>
                <w:color w:val="auto"/>
              </w:rPr>
            </w:pPr>
            <w:r>
              <w:rPr>
                <w:rFonts w:ascii="Arial" w:cs="Arial" w:eastAsia="Arial" w:hAnsi="Arial"/>
                <w:sz w:val="14"/>
                <w:szCs w:val="14"/>
                <w:color w:val="auto"/>
              </w:rPr>
              <w:t>0</w:t>
            </w:r>
          </w:p>
        </w:tc>
        <w:tc>
          <w:tcPr>
            <w:tcW w:w="840" w:type="dxa"/>
            <w:vAlign w:val="bottom"/>
            <w:shd w:val="clear" w:color="auto" w:fill="CBCEE0"/>
          </w:tcPr>
          <w:p>
            <w:pPr>
              <w:jc w:val="center"/>
              <w:ind w:left="208"/>
              <w:spacing w:after="0"/>
              <w:rPr>
                <w:sz w:val="20"/>
                <w:szCs w:val="20"/>
                <w:color w:val="auto"/>
              </w:rPr>
            </w:pPr>
            <w:r>
              <w:rPr>
                <w:rFonts w:ascii="Arial" w:cs="Arial" w:eastAsia="Arial" w:hAnsi="Arial"/>
                <w:sz w:val="14"/>
                <w:szCs w:val="14"/>
                <w:color w:val="auto"/>
              </w:rPr>
              <w:t>5.990</w:t>
            </w:r>
          </w:p>
        </w:tc>
        <w:tc>
          <w:tcPr>
            <w:tcW w:w="1120" w:type="dxa"/>
            <w:vAlign w:val="bottom"/>
            <w:tcBorders>
              <w:right w:val="single" w:sz="8" w:color="0072AF"/>
            </w:tcBorders>
            <w:shd w:val="clear" w:color="auto" w:fill="CBCEE0"/>
          </w:tcPr>
          <w:p>
            <w:pPr>
              <w:jc w:val="center"/>
              <w:ind w:left="8"/>
              <w:spacing w:after="0"/>
              <w:rPr>
                <w:sz w:val="20"/>
                <w:szCs w:val="20"/>
                <w:color w:val="auto"/>
              </w:rPr>
            </w:pPr>
            <w:r>
              <w:rPr>
                <w:rFonts w:ascii="Arial" w:cs="Arial" w:eastAsia="Arial" w:hAnsi="Arial"/>
                <w:sz w:val="14"/>
                <w:szCs w:val="14"/>
                <w:color w:val="auto"/>
              </w:rPr>
              <w:t>12/25/2028</w:t>
            </w:r>
          </w:p>
        </w:tc>
        <w:tc>
          <w:tcPr>
            <w:tcW w:w="1300" w:type="dxa"/>
            <w:vAlign w:val="bottom"/>
            <w:shd w:val="clear" w:color="auto" w:fill="CBCEE0"/>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spacing w:after="0"/>
              <w:rPr>
                <w:sz w:val="18"/>
                <w:szCs w:val="18"/>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3/3/2021</w:t>
            </w:r>
          </w:p>
        </w:tc>
        <w:tc>
          <w:tcPr>
            <w:tcW w:w="96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BCEE0"/>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BCEE0"/>
          </w:tcPr>
          <w:p>
            <w:pPr>
              <w:jc w:val="right"/>
              <w:ind w:right="308"/>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0072AF"/>
            </w:tcBorders>
            <w:shd w:val="clear" w:color="auto" w:fill="CBCEE0"/>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BCEE0"/>
          </w:tcPr>
          <w:p>
            <w:pPr>
              <w:jc w:val="right"/>
              <w:ind w:right="368"/>
              <w:spacing w:after="0"/>
              <w:rPr>
                <w:sz w:val="20"/>
                <w:szCs w:val="20"/>
                <w:color w:val="auto"/>
              </w:rPr>
            </w:pPr>
            <w:r>
              <w:rPr>
                <w:rFonts w:ascii="Arial" w:cs="Arial" w:eastAsia="Arial" w:hAnsi="Arial"/>
                <w:sz w:val="14"/>
                <w:szCs w:val="14"/>
                <w:color w:val="auto"/>
              </w:rPr>
              <w:t>30,252</w:t>
            </w:r>
          </w:p>
        </w:tc>
        <w:tc>
          <w:tcPr>
            <w:tcW w:w="126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133,109</w:t>
            </w:r>
          </w:p>
        </w:tc>
      </w:tr>
      <w:tr>
        <w:trPr>
          <w:trHeight w:val="216"/>
        </w:trPr>
        <w:tc>
          <w:tcPr>
            <w:tcW w:w="1480" w:type="dxa"/>
            <w:vAlign w:val="bottom"/>
          </w:tcPr>
          <w:p>
            <w:pPr>
              <w:spacing w:after="0"/>
              <w:rPr>
                <w:sz w:val="18"/>
                <w:szCs w:val="18"/>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2/14/2023</w:t>
            </w:r>
          </w:p>
        </w:tc>
        <w:tc>
          <w:tcPr>
            <w:tcW w:w="96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BCEE0"/>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BCEE0"/>
          </w:tcPr>
          <w:p>
            <w:pPr>
              <w:jc w:val="right"/>
              <w:ind w:right="308"/>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0072AF"/>
            </w:tcBorders>
            <w:shd w:val="clear" w:color="auto" w:fill="CBCEE0"/>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BCEE0"/>
          </w:tcPr>
          <w:p>
            <w:pPr>
              <w:jc w:val="right"/>
              <w:ind w:right="368"/>
              <w:spacing w:after="0"/>
              <w:rPr>
                <w:sz w:val="20"/>
                <w:szCs w:val="20"/>
                <w:color w:val="auto"/>
              </w:rPr>
            </w:pPr>
            <w:r>
              <w:rPr>
                <w:rFonts w:ascii="Arial" w:cs="Arial" w:eastAsia="Arial" w:hAnsi="Arial"/>
                <w:sz w:val="14"/>
                <w:szCs w:val="14"/>
                <w:color w:val="auto"/>
              </w:rPr>
              <w:t>146,119</w:t>
            </w:r>
          </w:p>
        </w:tc>
        <w:tc>
          <w:tcPr>
            <w:tcW w:w="126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642,924</w:t>
            </w:r>
          </w:p>
        </w:tc>
      </w:tr>
      <w:tr>
        <w:trPr>
          <w:trHeight w:val="89"/>
        </w:trPr>
        <w:tc>
          <w:tcPr>
            <w:tcW w:w="1480" w:type="dxa"/>
            <w:vAlign w:val="bottom"/>
            <w:tcBorders>
              <w:bottom w:val="single" w:sz="8" w:color="0072AF"/>
            </w:tcBorders>
          </w:tcPr>
          <w:p>
            <w:pPr>
              <w:spacing w:after="0"/>
              <w:rPr>
                <w:sz w:val="7"/>
                <w:szCs w:val="7"/>
                <w:color w:val="auto"/>
              </w:rPr>
            </w:pPr>
          </w:p>
        </w:tc>
        <w:tc>
          <w:tcPr>
            <w:tcW w:w="1000" w:type="dxa"/>
            <w:vAlign w:val="bottom"/>
            <w:tcBorders>
              <w:bottom w:val="single" w:sz="8" w:color="0072AF"/>
              <w:right w:val="single" w:sz="8" w:color="0072AF"/>
            </w:tcBorders>
          </w:tcPr>
          <w:p>
            <w:pPr>
              <w:spacing w:after="0"/>
              <w:rPr>
                <w:sz w:val="7"/>
                <w:szCs w:val="7"/>
                <w:color w:val="auto"/>
              </w:rPr>
            </w:pPr>
          </w:p>
        </w:tc>
        <w:tc>
          <w:tcPr>
            <w:tcW w:w="960" w:type="dxa"/>
            <w:vAlign w:val="bottom"/>
            <w:tcBorders>
              <w:bottom w:val="single" w:sz="8" w:color="0072AF"/>
            </w:tcBorders>
            <w:shd w:val="clear" w:color="auto" w:fill="CBCEE0"/>
          </w:tcPr>
          <w:p>
            <w:pPr>
              <w:spacing w:after="0"/>
              <w:rPr>
                <w:sz w:val="7"/>
                <w:szCs w:val="7"/>
                <w:color w:val="auto"/>
              </w:rPr>
            </w:pPr>
          </w:p>
        </w:tc>
        <w:tc>
          <w:tcPr>
            <w:tcW w:w="1220" w:type="dxa"/>
            <w:vAlign w:val="bottom"/>
            <w:tcBorders>
              <w:bottom w:val="single" w:sz="8" w:color="0072AF"/>
            </w:tcBorders>
            <w:shd w:val="clear" w:color="auto" w:fill="CBCEE0"/>
          </w:tcPr>
          <w:p>
            <w:pPr>
              <w:spacing w:after="0"/>
              <w:rPr>
                <w:sz w:val="7"/>
                <w:szCs w:val="7"/>
                <w:color w:val="auto"/>
              </w:rPr>
            </w:pPr>
          </w:p>
        </w:tc>
        <w:tc>
          <w:tcPr>
            <w:tcW w:w="840" w:type="dxa"/>
            <w:vAlign w:val="bottom"/>
            <w:tcBorders>
              <w:bottom w:val="single" w:sz="8" w:color="0072AF"/>
            </w:tcBorders>
            <w:shd w:val="clear" w:color="auto" w:fill="CBCEE0"/>
          </w:tcPr>
          <w:p>
            <w:pPr>
              <w:spacing w:after="0"/>
              <w:rPr>
                <w:sz w:val="7"/>
                <w:szCs w:val="7"/>
                <w:color w:val="auto"/>
              </w:rPr>
            </w:pPr>
          </w:p>
        </w:tc>
        <w:tc>
          <w:tcPr>
            <w:tcW w:w="1120" w:type="dxa"/>
            <w:vAlign w:val="bottom"/>
            <w:tcBorders>
              <w:bottom w:val="single" w:sz="8" w:color="0072AF"/>
              <w:right w:val="single" w:sz="8" w:color="0072AF"/>
            </w:tcBorders>
            <w:shd w:val="clear" w:color="auto" w:fill="CBCEE0"/>
          </w:tcPr>
          <w:p>
            <w:pPr>
              <w:spacing w:after="0"/>
              <w:rPr>
                <w:sz w:val="7"/>
                <w:szCs w:val="7"/>
                <w:color w:val="auto"/>
              </w:rPr>
            </w:pPr>
          </w:p>
        </w:tc>
        <w:tc>
          <w:tcPr>
            <w:tcW w:w="1300" w:type="dxa"/>
            <w:vAlign w:val="bottom"/>
            <w:tcBorders>
              <w:bottom w:val="single" w:sz="8" w:color="0072AF"/>
            </w:tcBorders>
            <w:shd w:val="clear" w:color="auto" w:fill="CBCEE0"/>
          </w:tcPr>
          <w:p>
            <w:pPr>
              <w:spacing w:after="0"/>
              <w:rPr>
                <w:sz w:val="7"/>
                <w:szCs w:val="7"/>
                <w:color w:val="auto"/>
              </w:rPr>
            </w:pPr>
          </w:p>
        </w:tc>
        <w:tc>
          <w:tcPr>
            <w:tcW w:w="1260" w:type="dxa"/>
            <w:vAlign w:val="bottom"/>
            <w:tcBorders>
              <w:bottom w:val="single" w:sz="8" w:color="0072AF"/>
            </w:tcBorders>
            <w:shd w:val="clear" w:color="auto" w:fill="CBCEE0"/>
          </w:tcPr>
          <w:p>
            <w:pPr>
              <w:spacing w:after="0"/>
              <w:rPr>
                <w:sz w:val="7"/>
                <w:szCs w:val="7"/>
                <w:color w:val="auto"/>
              </w:rPr>
            </w:pPr>
          </w:p>
        </w:tc>
      </w:tr>
      <w:tr>
        <w:trPr>
          <w:trHeight w:val="289"/>
        </w:trPr>
        <w:tc>
          <w:tcPr>
            <w:tcW w:w="1480" w:type="dxa"/>
            <w:vAlign w:val="bottom"/>
          </w:tcPr>
          <w:p>
            <w:pPr>
              <w:spacing w:after="0"/>
              <w:rPr>
                <w:sz w:val="20"/>
                <w:szCs w:val="20"/>
                <w:color w:val="auto"/>
              </w:rPr>
            </w:pPr>
            <w:r>
              <w:rPr>
                <w:rFonts w:ascii="Arial" w:cs="Arial" w:eastAsia="Arial" w:hAnsi="Arial"/>
                <w:sz w:val="14"/>
                <w:szCs w:val="14"/>
                <w:b w:val="1"/>
                <w:bCs w:val="1"/>
                <w:color w:val="auto"/>
              </w:rPr>
              <w:t>Marc B. Lautenbach</w:t>
            </w: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2/8/2016</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388,693</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840" w:type="dxa"/>
            <w:vAlign w:val="bottom"/>
          </w:tcPr>
          <w:p>
            <w:pPr>
              <w:jc w:val="center"/>
              <w:ind w:left="128"/>
              <w:spacing w:after="0"/>
              <w:rPr>
                <w:sz w:val="20"/>
                <w:szCs w:val="20"/>
                <w:color w:val="auto"/>
              </w:rPr>
            </w:pPr>
            <w:r>
              <w:rPr>
                <w:rFonts w:ascii="Arial" w:cs="Arial" w:eastAsia="Arial" w:hAnsi="Arial"/>
                <w:sz w:val="14"/>
                <w:szCs w:val="14"/>
                <w:color w:val="auto"/>
              </w:rPr>
              <w:t>16.820</w:t>
            </w:r>
          </w:p>
        </w:tc>
        <w:tc>
          <w:tcPr>
            <w:tcW w:w="112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2/7/2026</w:t>
            </w:r>
          </w:p>
        </w:tc>
        <w:tc>
          <w:tcPr>
            <w:tcW w:w="13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r>
      <w:tr>
        <w:trPr>
          <w:trHeight w:val="210"/>
        </w:trPr>
        <w:tc>
          <w:tcPr>
            <w:tcW w:w="1480" w:type="dxa"/>
            <w:vAlign w:val="bottom"/>
          </w:tcPr>
          <w:p>
            <w:pPr>
              <w:spacing w:after="0"/>
              <w:rPr>
                <w:sz w:val="18"/>
                <w:szCs w:val="18"/>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2/6/2017</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550,000</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840" w:type="dxa"/>
            <w:vAlign w:val="bottom"/>
          </w:tcPr>
          <w:p>
            <w:pPr>
              <w:jc w:val="center"/>
              <w:ind w:left="128"/>
              <w:spacing w:after="0"/>
              <w:rPr>
                <w:sz w:val="20"/>
                <w:szCs w:val="20"/>
                <w:color w:val="auto"/>
              </w:rPr>
            </w:pPr>
            <w:r>
              <w:rPr>
                <w:rFonts w:ascii="Arial" w:cs="Arial" w:eastAsia="Arial" w:hAnsi="Arial"/>
                <w:sz w:val="14"/>
                <w:szCs w:val="14"/>
                <w:color w:val="auto"/>
              </w:rPr>
              <w:t>13.160</w:t>
            </w:r>
          </w:p>
        </w:tc>
        <w:tc>
          <w:tcPr>
            <w:tcW w:w="112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2/5/2027</w:t>
            </w:r>
          </w:p>
        </w:tc>
        <w:tc>
          <w:tcPr>
            <w:tcW w:w="13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spacing w:after="0"/>
              <w:rPr>
                <w:sz w:val="18"/>
                <w:szCs w:val="18"/>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2/5/2018</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526,316</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840" w:type="dxa"/>
            <w:vAlign w:val="bottom"/>
          </w:tcPr>
          <w:p>
            <w:pPr>
              <w:jc w:val="center"/>
              <w:ind w:left="128"/>
              <w:spacing w:after="0"/>
              <w:rPr>
                <w:sz w:val="20"/>
                <w:szCs w:val="20"/>
                <w:color w:val="auto"/>
              </w:rPr>
            </w:pPr>
            <w:r>
              <w:rPr>
                <w:rFonts w:ascii="Arial" w:cs="Arial" w:eastAsia="Arial" w:hAnsi="Arial"/>
                <w:sz w:val="14"/>
                <w:szCs w:val="14"/>
                <w:color w:val="auto"/>
              </w:rPr>
              <w:t>12.640</w:t>
            </w:r>
          </w:p>
        </w:tc>
        <w:tc>
          <w:tcPr>
            <w:tcW w:w="112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2/4/2028</w:t>
            </w:r>
          </w:p>
        </w:tc>
        <w:tc>
          <w:tcPr>
            <w:tcW w:w="13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spacing w:after="0"/>
              <w:rPr>
                <w:sz w:val="18"/>
                <w:szCs w:val="18"/>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2/4/2020</w:t>
            </w:r>
          </w:p>
        </w:tc>
        <w:tc>
          <w:tcPr>
            <w:tcW w:w="960" w:type="dxa"/>
            <w:vAlign w:val="bottom"/>
          </w:tcPr>
          <w:p>
            <w:pPr>
              <w:jc w:val="center"/>
              <w:spacing w:after="0"/>
              <w:rPr>
                <w:sz w:val="20"/>
                <w:szCs w:val="20"/>
                <w:color w:val="auto"/>
              </w:rPr>
            </w:pPr>
            <w:r>
              <w:rPr>
                <w:rFonts w:ascii="Arial" w:cs="Arial" w:eastAsia="Arial" w:hAnsi="Arial"/>
                <w:sz w:val="14"/>
                <w:szCs w:val="14"/>
                <w:color w:val="auto"/>
              </w:rPr>
              <w:t>1,287,129</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840" w:type="dxa"/>
            <w:vAlign w:val="bottom"/>
          </w:tcPr>
          <w:p>
            <w:pPr>
              <w:jc w:val="center"/>
              <w:ind w:left="208"/>
              <w:spacing w:after="0"/>
              <w:rPr>
                <w:sz w:val="20"/>
                <w:szCs w:val="20"/>
                <w:color w:val="auto"/>
              </w:rPr>
            </w:pPr>
            <w:r>
              <w:rPr>
                <w:rFonts w:ascii="Arial" w:cs="Arial" w:eastAsia="Arial" w:hAnsi="Arial"/>
                <w:sz w:val="14"/>
                <w:szCs w:val="14"/>
                <w:color w:val="auto"/>
              </w:rPr>
              <w:t>3.980</w:t>
            </w:r>
          </w:p>
        </w:tc>
        <w:tc>
          <w:tcPr>
            <w:tcW w:w="112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2/3/2030</w:t>
            </w:r>
          </w:p>
        </w:tc>
        <w:tc>
          <w:tcPr>
            <w:tcW w:w="13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spacing w:after="0"/>
              <w:rPr>
                <w:sz w:val="18"/>
                <w:szCs w:val="18"/>
                <w:color w:val="auto"/>
              </w:rPr>
            </w:pPr>
          </w:p>
        </w:tc>
        <w:tc>
          <w:tcPr>
            <w:tcW w:w="100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3/3/2021</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303,879</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840" w:type="dxa"/>
            <w:vAlign w:val="bottom"/>
          </w:tcPr>
          <w:p>
            <w:pPr>
              <w:jc w:val="center"/>
              <w:ind w:left="208"/>
              <w:spacing w:after="0"/>
              <w:rPr>
                <w:sz w:val="20"/>
                <w:szCs w:val="20"/>
                <w:color w:val="auto"/>
              </w:rPr>
            </w:pPr>
            <w:r>
              <w:rPr>
                <w:rFonts w:ascii="Arial" w:cs="Arial" w:eastAsia="Arial" w:hAnsi="Arial"/>
                <w:sz w:val="14"/>
                <w:szCs w:val="14"/>
                <w:color w:val="auto"/>
              </w:rPr>
              <w:t>8.640</w:t>
            </w:r>
          </w:p>
        </w:tc>
        <w:tc>
          <w:tcPr>
            <w:tcW w:w="1120" w:type="dxa"/>
            <w:vAlign w:val="bottom"/>
            <w:tcBorders>
              <w:right w:val="single" w:sz="8" w:color="0072AF"/>
            </w:tcBorders>
          </w:tcPr>
          <w:p>
            <w:pPr>
              <w:jc w:val="right"/>
              <w:ind w:right="88"/>
              <w:spacing w:after="0"/>
              <w:rPr>
                <w:sz w:val="20"/>
                <w:szCs w:val="20"/>
                <w:color w:val="auto"/>
              </w:rPr>
            </w:pPr>
            <w:r>
              <w:rPr>
                <w:rFonts w:ascii="Arial" w:cs="Arial" w:eastAsia="Arial" w:hAnsi="Arial"/>
                <w:sz w:val="14"/>
                <w:szCs w:val="14"/>
                <w:color w:val="auto"/>
              </w:rPr>
              <w:t>3/2/2031</w:t>
            </w:r>
          </w:p>
        </w:tc>
        <w:tc>
          <w:tcPr>
            <w:tcW w:w="13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w:t>
            </w:r>
          </w:p>
        </w:tc>
      </w:tr>
      <w:tr>
        <w:trPr>
          <w:trHeight w:val="89"/>
        </w:trPr>
        <w:tc>
          <w:tcPr>
            <w:tcW w:w="1480" w:type="dxa"/>
            <w:vAlign w:val="bottom"/>
            <w:tcBorders>
              <w:bottom w:val="single" w:sz="8" w:color="0072AF"/>
            </w:tcBorders>
          </w:tcPr>
          <w:p>
            <w:pPr>
              <w:spacing w:after="0"/>
              <w:rPr>
                <w:sz w:val="7"/>
                <w:szCs w:val="7"/>
                <w:color w:val="auto"/>
              </w:rPr>
            </w:pPr>
          </w:p>
        </w:tc>
        <w:tc>
          <w:tcPr>
            <w:tcW w:w="1000" w:type="dxa"/>
            <w:vAlign w:val="bottom"/>
            <w:tcBorders>
              <w:bottom w:val="single" w:sz="8" w:color="0072AF"/>
              <w:right w:val="single" w:sz="8" w:color="0072AF"/>
            </w:tcBorders>
          </w:tcPr>
          <w:p>
            <w:pPr>
              <w:spacing w:after="0"/>
              <w:rPr>
                <w:sz w:val="7"/>
                <w:szCs w:val="7"/>
                <w:color w:val="auto"/>
              </w:rPr>
            </w:pPr>
          </w:p>
        </w:tc>
        <w:tc>
          <w:tcPr>
            <w:tcW w:w="960" w:type="dxa"/>
            <w:vAlign w:val="bottom"/>
            <w:tcBorders>
              <w:bottom w:val="single" w:sz="8" w:color="0072AF"/>
            </w:tcBorders>
          </w:tcPr>
          <w:p>
            <w:pPr>
              <w:spacing w:after="0"/>
              <w:rPr>
                <w:sz w:val="7"/>
                <w:szCs w:val="7"/>
                <w:color w:val="auto"/>
              </w:rPr>
            </w:pPr>
          </w:p>
        </w:tc>
        <w:tc>
          <w:tcPr>
            <w:tcW w:w="1220" w:type="dxa"/>
            <w:vAlign w:val="bottom"/>
            <w:tcBorders>
              <w:bottom w:val="single" w:sz="8" w:color="0072AF"/>
            </w:tcBorders>
          </w:tcPr>
          <w:p>
            <w:pPr>
              <w:spacing w:after="0"/>
              <w:rPr>
                <w:sz w:val="7"/>
                <w:szCs w:val="7"/>
                <w:color w:val="auto"/>
              </w:rPr>
            </w:pPr>
          </w:p>
        </w:tc>
        <w:tc>
          <w:tcPr>
            <w:tcW w:w="840" w:type="dxa"/>
            <w:vAlign w:val="bottom"/>
            <w:tcBorders>
              <w:bottom w:val="single" w:sz="8" w:color="0072AF"/>
            </w:tcBorders>
          </w:tcPr>
          <w:p>
            <w:pPr>
              <w:spacing w:after="0"/>
              <w:rPr>
                <w:sz w:val="7"/>
                <w:szCs w:val="7"/>
                <w:color w:val="auto"/>
              </w:rPr>
            </w:pPr>
          </w:p>
        </w:tc>
        <w:tc>
          <w:tcPr>
            <w:tcW w:w="1120" w:type="dxa"/>
            <w:vAlign w:val="bottom"/>
            <w:tcBorders>
              <w:bottom w:val="single" w:sz="8" w:color="0072AF"/>
              <w:right w:val="single" w:sz="8" w:color="0072AF"/>
            </w:tcBorders>
          </w:tcPr>
          <w:p>
            <w:pPr>
              <w:spacing w:after="0"/>
              <w:rPr>
                <w:sz w:val="7"/>
                <w:szCs w:val="7"/>
                <w:color w:val="auto"/>
              </w:rPr>
            </w:pPr>
          </w:p>
        </w:tc>
        <w:tc>
          <w:tcPr>
            <w:tcW w:w="1300" w:type="dxa"/>
            <w:vAlign w:val="bottom"/>
            <w:tcBorders>
              <w:bottom w:val="single" w:sz="8" w:color="0072AF"/>
            </w:tcBorders>
          </w:tcPr>
          <w:p>
            <w:pPr>
              <w:spacing w:after="0"/>
              <w:rPr>
                <w:sz w:val="7"/>
                <w:szCs w:val="7"/>
                <w:color w:val="auto"/>
              </w:rPr>
            </w:pPr>
          </w:p>
        </w:tc>
        <w:tc>
          <w:tcPr>
            <w:tcW w:w="1260" w:type="dxa"/>
            <w:vAlign w:val="bottom"/>
            <w:tcBorders>
              <w:bottom w:val="single" w:sz="8" w:color="0072AF"/>
            </w:tcBorders>
          </w:tcPr>
          <w:p>
            <w:pPr>
              <w:spacing w:after="0"/>
              <w:rPr>
                <w:sz w:val="7"/>
                <w:szCs w:val="7"/>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79" w:name="page80"/>
    <w:bookmarkEnd w:id="7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EXECUTIVE COMPENSATION TABLES AND RELATED NARRATIVE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0" w:lineRule="exact"/>
        <w:rPr>
          <w:sz w:val="20"/>
          <w:szCs w:val="20"/>
          <w:color w:val="auto"/>
        </w:rPr>
      </w:pPr>
    </w:p>
    <w:p>
      <w:pPr>
        <w:ind w:left="346" w:hanging="346"/>
        <w:spacing w:after="0"/>
        <w:tabs>
          <w:tab w:leader="none" w:pos="346"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NSOs and Stock Awards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73660</wp:posOffset>
            </wp:positionV>
            <wp:extent cx="5597525" cy="2228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597525" cy="22288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p>
      <w:pPr>
        <w:spacing w:after="0" w:line="144" w:lineRule="exact"/>
        <w:rPr>
          <w:sz w:val="20"/>
          <w:szCs w:val="20"/>
          <w:color w:val="auto"/>
        </w:rPr>
      </w:pPr>
    </w:p>
    <w:tbl>
      <w:tblPr>
        <w:tblLayout w:type="fixed"/>
        <w:tblInd w:w="406" w:type="dxa"/>
        <w:tblCellMar>
          <w:top w:w="0" w:type="dxa"/>
          <w:left w:w="0" w:type="dxa"/>
          <w:bottom w:w="0" w:type="dxa"/>
          <w:right w:w="0" w:type="dxa"/>
        </w:tblCellMar>
      </w:tblPr>
      <w:tr>
        <w:trPr>
          <w:trHeight w:val="171"/>
        </w:trPr>
        <w:tc>
          <w:tcPr>
            <w:tcW w:w="960" w:type="dxa"/>
            <w:vAlign w:val="bottom"/>
          </w:tcPr>
          <w:p>
            <w:pPr>
              <w:ind w:left="140"/>
              <w:spacing w:after="0"/>
              <w:rPr>
                <w:sz w:val="20"/>
                <w:szCs w:val="20"/>
                <w:color w:val="auto"/>
              </w:rPr>
            </w:pPr>
            <w:r>
              <w:rPr>
                <w:rFonts w:ascii="Arial" w:cs="Arial" w:eastAsia="Arial" w:hAnsi="Arial"/>
                <w:sz w:val="14"/>
                <w:szCs w:val="14"/>
                <w:b w:val="1"/>
                <w:bCs w:val="1"/>
                <w:color w:val="FFFFFF"/>
              </w:rPr>
              <w:t>Grant Date</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405"/>
        </w:trPr>
        <w:tc>
          <w:tcPr>
            <w:tcW w:w="960" w:type="dxa"/>
            <w:vAlign w:val="bottom"/>
          </w:tcPr>
          <w:p>
            <w:pPr>
              <w:spacing w:after="0"/>
              <w:rPr>
                <w:sz w:val="20"/>
                <w:szCs w:val="20"/>
                <w:color w:val="auto"/>
              </w:rPr>
            </w:pPr>
            <w:r>
              <w:rPr>
                <w:rFonts w:ascii="Arial" w:cs="Arial" w:eastAsia="Arial" w:hAnsi="Arial"/>
                <w:sz w:val="14"/>
                <w:szCs w:val="14"/>
                <w:color w:val="auto"/>
              </w:rPr>
              <w:t>2/16/2021</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486"/>
        </w:trPr>
        <w:tc>
          <w:tcPr>
            <w:tcW w:w="960" w:type="dxa"/>
            <w:vAlign w:val="bottom"/>
          </w:tcPr>
          <w:p>
            <w:pPr>
              <w:spacing w:after="0"/>
              <w:rPr>
                <w:sz w:val="20"/>
                <w:szCs w:val="20"/>
                <w:color w:val="auto"/>
              </w:rPr>
            </w:pPr>
            <w:r>
              <w:rPr>
                <w:rFonts w:ascii="Arial" w:cs="Arial" w:eastAsia="Arial" w:hAnsi="Arial"/>
                <w:sz w:val="14"/>
                <w:szCs w:val="14"/>
                <w:color w:val="auto"/>
              </w:rPr>
              <w:t>3/3/2021</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486"/>
        </w:trPr>
        <w:tc>
          <w:tcPr>
            <w:tcW w:w="960" w:type="dxa"/>
            <w:vAlign w:val="bottom"/>
          </w:tcPr>
          <w:p>
            <w:pPr>
              <w:spacing w:after="0"/>
              <w:rPr>
                <w:sz w:val="20"/>
                <w:szCs w:val="20"/>
                <w:color w:val="auto"/>
              </w:rPr>
            </w:pPr>
            <w:r>
              <w:rPr>
                <w:rFonts w:ascii="Arial" w:cs="Arial" w:eastAsia="Arial" w:hAnsi="Arial"/>
                <w:sz w:val="14"/>
                <w:szCs w:val="14"/>
                <w:color w:val="auto"/>
              </w:rPr>
              <w:t>3/3/2021</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567"/>
        </w:trPr>
        <w:tc>
          <w:tcPr>
            <w:tcW w:w="960" w:type="dxa"/>
            <w:vAlign w:val="bottom"/>
          </w:tcPr>
          <w:p>
            <w:pPr>
              <w:spacing w:after="0"/>
              <w:rPr>
                <w:sz w:val="20"/>
                <w:szCs w:val="20"/>
                <w:color w:val="auto"/>
              </w:rPr>
            </w:pPr>
            <w:r>
              <w:rPr>
                <w:rFonts w:ascii="Arial" w:cs="Arial" w:eastAsia="Arial" w:hAnsi="Arial"/>
                <w:sz w:val="14"/>
                <w:szCs w:val="14"/>
                <w:color w:val="auto"/>
              </w:rPr>
              <w:t>2/14/2023</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567"/>
        </w:trPr>
        <w:tc>
          <w:tcPr>
            <w:tcW w:w="960" w:type="dxa"/>
            <w:vAlign w:val="bottom"/>
          </w:tcPr>
          <w:p>
            <w:pPr>
              <w:spacing w:after="0"/>
              <w:rPr>
                <w:sz w:val="20"/>
                <w:szCs w:val="20"/>
                <w:color w:val="auto"/>
              </w:rPr>
            </w:pPr>
            <w:r>
              <w:rPr>
                <w:rFonts w:ascii="Arial" w:cs="Arial" w:eastAsia="Arial" w:hAnsi="Arial"/>
                <w:sz w:val="14"/>
                <w:szCs w:val="14"/>
                <w:color w:val="auto"/>
              </w:rPr>
              <w:t>10/2/2023</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r>
    </w:tbl>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FFFFFF"/>
        </w:rPr>
        <w:t>Award Type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Time-based RSU</w:t>
      </w:r>
    </w:p>
    <w:p>
      <w:pPr>
        <w:spacing w:after="0" w:line="325" w:lineRule="exact"/>
        <w:rPr>
          <w:sz w:val="20"/>
          <w:szCs w:val="20"/>
          <w:color w:val="auto"/>
        </w:rPr>
      </w:pPr>
    </w:p>
    <w:p>
      <w:pPr>
        <w:jc w:val="center"/>
        <w:ind w:left="-39"/>
        <w:spacing w:after="0"/>
        <w:rPr>
          <w:sz w:val="20"/>
          <w:szCs w:val="20"/>
          <w:color w:val="auto"/>
        </w:rPr>
      </w:pPr>
      <w:r>
        <w:rPr>
          <w:rFonts w:ascii="Arial" w:cs="Arial" w:eastAsia="Arial" w:hAnsi="Arial"/>
          <w:sz w:val="14"/>
          <w:szCs w:val="14"/>
          <w:color w:val="auto"/>
        </w:rPr>
        <w:t>NSO</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Performance-based RSU /</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Time-based RSU</w:t>
      </w:r>
    </w:p>
    <w:p>
      <w:pPr>
        <w:spacing w:after="0" w:line="311" w:lineRule="exact"/>
        <w:rPr>
          <w:sz w:val="20"/>
          <w:szCs w:val="20"/>
          <w:color w:val="auto"/>
        </w:rPr>
      </w:pPr>
    </w:p>
    <w:p>
      <w:pPr>
        <w:ind w:left="60"/>
        <w:spacing w:after="0"/>
        <w:rPr>
          <w:sz w:val="20"/>
          <w:szCs w:val="20"/>
          <w:color w:val="auto"/>
        </w:rPr>
      </w:pPr>
      <w:r>
        <w:rPr>
          <w:rFonts w:ascii="Arial" w:cs="Arial" w:eastAsia="Arial" w:hAnsi="Arial"/>
          <w:sz w:val="14"/>
          <w:szCs w:val="14"/>
          <w:color w:val="auto"/>
        </w:rPr>
        <w:t>Performance-based RSU</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Arial" w:cs="Arial" w:eastAsia="Arial" w:hAnsi="Arial"/>
          <w:sz w:val="14"/>
          <w:szCs w:val="14"/>
          <w:color w:val="auto"/>
        </w:rPr>
        <w:t>Performance-based RSU</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71"/>
        </w:trPr>
        <w:tc>
          <w:tcPr>
            <w:tcW w:w="1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20" w:type="dxa"/>
            <w:vAlign w:val="bottom"/>
          </w:tcPr>
          <w:p>
            <w:pPr>
              <w:ind w:left="1020"/>
              <w:spacing w:after="0"/>
              <w:rPr>
                <w:sz w:val="20"/>
                <w:szCs w:val="20"/>
                <w:color w:val="auto"/>
              </w:rPr>
            </w:pPr>
            <w:r>
              <w:rPr>
                <w:rFonts w:ascii="Arial" w:cs="Arial" w:eastAsia="Arial" w:hAnsi="Arial"/>
                <w:sz w:val="14"/>
                <w:szCs w:val="14"/>
                <w:b w:val="1"/>
                <w:bCs w:val="1"/>
                <w:color w:val="FFFFFF"/>
              </w:rPr>
              <w:t>Vesting Schedule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96520</wp:posOffset>
            </wp:positionV>
            <wp:extent cx="5597525" cy="3086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597525" cy="308610"/>
                    </a:xfrm>
                    <a:prstGeom prst="rect">
                      <a:avLst/>
                    </a:prstGeom>
                    <a:noFill/>
                  </pic:spPr>
                </pic:pic>
              </a:graphicData>
            </a:graphic>
          </wp:anchor>
        </w:drawing>
      </w:r>
    </w:p>
    <w:p>
      <w:pPr>
        <w:spacing w:after="0" w:line="204" w:lineRule="exact"/>
        <w:rPr>
          <w:sz w:val="20"/>
          <w:szCs w:val="20"/>
          <w:color w:val="auto"/>
        </w:rPr>
      </w:pPr>
    </w:p>
    <w:p>
      <w:pPr>
        <w:ind w:left="190" w:right="680" w:hanging="190"/>
        <w:spacing w:after="0" w:line="285" w:lineRule="auto"/>
        <w:tabs>
          <w:tab w:leader="none" w:pos="95" w:val="left"/>
        </w:tabs>
        <w:numPr>
          <w:ilvl w:val="0"/>
          <w:numId w:val="53"/>
        </w:numPr>
        <w:rPr>
          <w:rFonts w:ascii="Times New Roman" w:cs="Times New Roman" w:eastAsia="Times New Roman" w:hAnsi="Times New Roman"/>
          <w:sz w:val="7"/>
          <w:szCs w:val="7"/>
          <w:color w:val="auto"/>
          <w:vertAlign w:val="subscript"/>
        </w:rPr>
      </w:pPr>
      <w:r>
        <w:rPr>
          <w:rFonts w:ascii="Times New Roman" w:cs="Times New Roman" w:eastAsia="Times New Roman" w:hAnsi="Times New Roman"/>
          <w:sz w:val="7"/>
          <w:szCs w:val="7"/>
          <w:color w:val="auto"/>
          <w:vertAlign w:val="subscript"/>
        </w:rPr>
        <w:t>​</w:t>
      </w:r>
      <w:r>
        <w:rPr>
          <w:rFonts w:ascii="Arial" w:cs="Arial" w:eastAsia="Arial" w:hAnsi="Arial"/>
          <w:sz w:val="14"/>
          <w:szCs w:val="14"/>
          <w:color w:val="auto"/>
        </w:rPr>
        <w:t xml:space="preserve"> Three year vesting; one-third remains unvested; final tranche vests on February 16, 2024</w:t>
      </w:r>
    </w:p>
    <w:p>
      <w:pPr>
        <w:spacing w:after="0" w:line="103" w:lineRule="exact"/>
        <w:rPr>
          <w:rFonts w:ascii="Times New Roman" w:cs="Times New Roman" w:eastAsia="Times New Roman" w:hAnsi="Times New Roman"/>
          <w:sz w:val="7"/>
          <w:szCs w:val="7"/>
          <w:color w:val="auto"/>
          <w:vertAlign w:val="subscript"/>
        </w:rPr>
      </w:pPr>
    </w:p>
    <w:p>
      <w:pPr>
        <w:ind w:left="190" w:right="680" w:hanging="190"/>
        <w:spacing w:after="0" w:line="285" w:lineRule="auto"/>
        <w:tabs>
          <w:tab w:leader="none" w:pos="95" w:val="left"/>
        </w:tabs>
        <w:numPr>
          <w:ilvl w:val="0"/>
          <w:numId w:val="53"/>
        </w:numPr>
        <w:rPr>
          <w:rFonts w:ascii="Times New Roman" w:cs="Times New Roman" w:eastAsia="Times New Roman" w:hAnsi="Times New Roman"/>
          <w:sz w:val="7"/>
          <w:szCs w:val="7"/>
          <w:color w:val="auto"/>
          <w:vertAlign w:val="subscript"/>
        </w:rPr>
      </w:pPr>
      <w:r>
        <w:rPr>
          <w:rFonts w:ascii="Times New Roman" w:cs="Times New Roman" w:eastAsia="Times New Roman" w:hAnsi="Times New Roman"/>
          <w:sz w:val="7"/>
          <w:szCs w:val="7"/>
          <w:color w:val="auto"/>
          <w:vertAlign w:val="subscript"/>
        </w:rPr>
        <w:t>​</w:t>
      </w:r>
      <w:r>
        <w:rPr>
          <w:rFonts w:ascii="Arial" w:cs="Arial" w:eastAsia="Arial" w:hAnsi="Arial"/>
          <w:sz w:val="14"/>
          <w:szCs w:val="14"/>
          <w:color w:val="auto"/>
        </w:rPr>
        <w:t xml:space="preserve"> Three year vesting; one-third remains unvested; final tranche vests on March 12, 2024</w:t>
      </w:r>
    </w:p>
    <w:p>
      <w:pPr>
        <w:spacing w:after="0" w:line="184" w:lineRule="exact"/>
        <w:rPr>
          <w:rFonts w:ascii="Times New Roman" w:cs="Times New Roman" w:eastAsia="Times New Roman" w:hAnsi="Times New Roman"/>
          <w:sz w:val="7"/>
          <w:szCs w:val="7"/>
          <w:color w:val="auto"/>
          <w:vertAlign w:val="subscript"/>
        </w:rPr>
      </w:pPr>
    </w:p>
    <w:p>
      <w:pPr>
        <w:ind w:left="90" w:hanging="90"/>
        <w:spacing w:after="0"/>
        <w:tabs>
          <w:tab w:leader="none" w:pos="90" w:val="left"/>
        </w:tabs>
        <w:numPr>
          <w:ilvl w:val="0"/>
          <w:numId w:val="53"/>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w:t>
      </w:r>
      <w:r>
        <w:rPr>
          <w:rFonts w:ascii="Arial" w:cs="Arial" w:eastAsia="Arial" w:hAnsi="Arial"/>
          <w:sz w:val="14"/>
          <w:szCs w:val="14"/>
          <w:color w:val="auto"/>
        </w:rPr>
        <w:t>Three year vesting; one-third remains unvested; vests on March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-198755</wp:posOffset>
            </wp:positionV>
            <wp:extent cx="5597525" cy="3086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597525" cy="308610"/>
                    </a:xfrm>
                    <a:prstGeom prst="rect">
                      <a:avLst/>
                    </a:prstGeom>
                    <a:noFill/>
                  </pic:spPr>
                </pic:pic>
              </a:graphicData>
            </a:graphic>
          </wp:anchor>
        </w:drawing>
      </w:r>
    </w:p>
    <w:p>
      <w:pPr>
        <w:spacing w:after="0" w:line="224" w:lineRule="exact"/>
        <w:rPr>
          <w:sz w:val="20"/>
          <w:szCs w:val="20"/>
          <w:color w:val="auto"/>
        </w:rPr>
      </w:pPr>
    </w:p>
    <w:p>
      <w:pPr>
        <w:ind w:left="190"/>
        <w:spacing w:after="0"/>
        <w:rPr>
          <w:sz w:val="20"/>
          <w:szCs w:val="20"/>
          <w:color w:val="auto"/>
        </w:rPr>
      </w:pPr>
      <w:r>
        <w:rPr>
          <w:rFonts w:ascii="Arial" w:cs="Arial" w:eastAsia="Arial" w:hAnsi="Arial"/>
          <w:sz w:val="14"/>
          <w:szCs w:val="14"/>
          <w:color w:val="auto"/>
        </w:rPr>
        <w:t>Three year vesting; 100% remain unvested; one-third vests on February 27,</w:t>
      </w:r>
    </w:p>
    <w:p>
      <w:pPr>
        <w:spacing w:after="0" w:line="15" w:lineRule="exact"/>
        <w:rPr>
          <w:sz w:val="20"/>
          <w:szCs w:val="20"/>
          <w:color w:val="auto"/>
        </w:rPr>
      </w:pPr>
    </w:p>
    <w:p>
      <w:pPr>
        <w:ind w:left="190" w:right="20" w:hanging="190"/>
        <w:spacing w:after="0" w:line="264" w:lineRule="auto"/>
        <w:tabs>
          <w:tab w:leader="none" w:pos="95" w:val="left"/>
        </w:tabs>
        <w:numPr>
          <w:ilvl w:val="0"/>
          <w:numId w:val="54"/>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w:t>
      </w:r>
      <w:r>
        <w:rPr>
          <w:rFonts w:ascii="Arial" w:cs="Arial" w:eastAsia="Arial" w:hAnsi="Arial"/>
          <w:sz w:val="14"/>
          <w:szCs w:val="14"/>
          <w:color w:val="auto"/>
        </w:rPr>
        <w:t>2024, one-third vests on February 25, 2025, and one-third vests on February 24, 2026.</w:t>
      </w:r>
    </w:p>
    <w:p>
      <w:pPr>
        <w:spacing w:after="0" w:line="117" w:lineRule="exact"/>
        <w:rPr>
          <w:rFonts w:ascii="Times New Roman" w:cs="Times New Roman" w:eastAsia="Times New Roman" w:hAnsi="Times New Roman"/>
          <w:sz w:val="4"/>
          <w:szCs w:val="4"/>
          <w:color w:val="auto"/>
        </w:rPr>
      </w:pPr>
    </w:p>
    <w:p>
      <w:pPr>
        <w:ind w:left="190" w:right="200" w:hanging="190"/>
        <w:spacing w:after="0" w:line="285" w:lineRule="auto"/>
        <w:tabs>
          <w:tab w:leader="none" w:pos="95" w:val="left"/>
        </w:tabs>
        <w:numPr>
          <w:ilvl w:val="0"/>
          <w:numId w:val="54"/>
        </w:numPr>
        <w:rPr>
          <w:rFonts w:ascii="Times New Roman" w:cs="Times New Roman" w:eastAsia="Times New Roman" w:hAnsi="Times New Roman"/>
          <w:sz w:val="7"/>
          <w:szCs w:val="7"/>
          <w:color w:val="auto"/>
          <w:vertAlign w:val="subscript"/>
        </w:rPr>
      </w:pPr>
      <w:r>
        <w:rPr>
          <w:rFonts w:ascii="Times New Roman" w:cs="Times New Roman" w:eastAsia="Times New Roman" w:hAnsi="Times New Roman"/>
          <w:sz w:val="7"/>
          <w:szCs w:val="7"/>
          <w:color w:val="auto"/>
          <w:vertAlign w:val="subscript"/>
        </w:rPr>
        <w:t>​</w:t>
      </w:r>
      <w:r>
        <w:rPr>
          <w:rFonts w:ascii="Arial" w:cs="Arial" w:eastAsia="Arial" w:hAnsi="Arial"/>
          <w:sz w:val="14"/>
          <w:szCs w:val="14"/>
          <w:color w:val="auto"/>
        </w:rPr>
        <w:t xml:space="preserve"> 100% remain unvested; one-third vests on February 27, 2024, one-third vests on February 25, 2025, and one-third vests on February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-287655</wp:posOffset>
            </wp:positionV>
            <wp:extent cx="5597525" cy="3257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597525" cy="325755"/>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3">
            <w:col w:w="1566" w:space="320"/>
            <w:col w:w="1680" w:space="290"/>
            <w:col w:w="5330"/>
          </w:cols>
          <w:pgMar w:left="1354" w:top="114" w:right="1359" w:bottom="1440" w:gutter="0" w:footer="0" w:header="0"/>
          <w:type w:val="continuous"/>
        </w:sectPr>
      </w:pPr>
    </w:p>
    <w:p>
      <w:pPr>
        <w:ind w:left="6"/>
        <w:spacing w:after="0"/>
        <w:rPr>
          <w:sz w:val="20"/>
          <w:szCs w:val="20"/>
          <w:color w:val="auto"/>
        </w:rPr>
      </w:pPr>
      <w:r>
        <w:rPr>
          <w:rFonts w:ascii="Arial" w:cs="Arial" w:eastAsia="Arial" w:hAnsi="Arial"/>
          <w:sz w:val="11"/>
          <w:szCs w:val="11"/>
          <w:color w:val="auto"/>
        </w:rPr>
        <w:t>(2)</w:t>
      </w:r>
    </w:p>
    <w:p>
      <w:pPr>
        <w:ind w:left="346"/>
        <w:spacing w:after="0" w:line="264" w:lineRule="auto"/>
        <w:rPr>
          <w:sz w:val="20"/>
          <w:szCs w:val="20"/>
          <w:color w:val="auto"/>
        </w:rPr>
      </w:pPr>
      <w:r>
        <w:rPr>
          <w:rFonts w:ascii="Arial" w:cs="Arial" w:eastAsia="Arial" w:hAnsi="Arial"/>
          <w:sz w:val="14"/>
          <w:szCs w:val="14"/>
          <w:color w:val="auto"/>
        </w:rPr>
        <w:t>These amounts were calculated based on the closing price of the Company’s Common Stock of $4.40 per share as of December 29, 2023, the last trading day of 2023.</w:t>
      </w:r>
    </w:p>
    <w:p>
      <w:pPr>
        <w:spacing w:after="0" w:line="162"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120650</wp:posOffset>
            </wp:positionV>
            <wp:extent cx="699516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EXECUTIVE COMPENSATION TABLES AND RELATED NARRATIVE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72AF"/>
        </w:rPr>
        <w:t>OPTION EXERCISES AND STOCK VESTED DURING 2023 FISCAL</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418"/>
        </w:trPr>
        <w:tc>
          <w:tcPr>
            <w:tcW w:w="2980" w:type="dxa"/>
            <w:vAlign w:val="bottom"/>
            <w:tcBorders>
              <w:bottom w:val="single" w:sz="8" w:color="0072AF"/>
            </w:tcBorders>
          </w:tcPr>
          <w:p>
            <w:pPr>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0072AF"/>
            </w:tcBorders>
          </w:tcPr>
          <w:p>
            <w:pPr>
              <w:spacing w:after="0"/>
              <w:rPr>
                <w:sz w:val="24"/>
                <w:szCs w:val="24"/>
                <w:color w:val="auto"/>
              </w:rPr>
            </w:pPr>
          </w:p>
        </w:tc>
        <w:tc>
          <w:tcPr>
            <w:tcW w:w="2100" w:type="dxa"/>
            <w:vAlign w:val="bottom"/>
            <w:tcBorders>
              <w:bottom w:val="single" w:sz="8" w:color="0072AF"/>
            </w:tcBorders>
          </w:tcPr>
          <w:p>
            <w:pPr>
              <w:ind w:left="20"/>
              <w:spacing w:after="0"/>
              <w:rPr>
                <w:sz w:val="20"/>
                <w:szCs w:val="20"/>
                <w:color w:val="auto"/>
              </w:rPr>
            </w:pPr>
            <w:r>
              <w:rPr>
                <w:rFonts w:ascii="Arial" w:cs="Arial" w:eastAsia="Arial" w:hAnsi="Arial"/>
                <w:sz w:val="29"/>
                <w:szCs w:val="29"/>
                <w:b w:val="1"/>
                <w:bCs w:val="1"/>
                <w:color w:val="0072AF"/>
              </w:rPr>
              <w:t>YEAR</w:t>
            </w:r>
          </w:p>
        </w:tc>
        <w:tc>
          <w:tcPr>
            <w:tcW w:w="1540" w:type="dxa"/>
            <w:vAlign w:val="bottom"/>
            <w:tcBorders>
              <w:bottom w:val="single" w:sz="8" w:color="0072AF"/>
            </w:tcBorders>
          </w:tcPr>
          <w:p>
            <w:pPr>
              <w:spacing w:after="0"/>
              <w:rPr>
                <w:sz w:val="24"/>
                <w:szCs w:val="24"/>
                <w:color w:val="auto"/>
              </w:rPr>
            </w:pPr>
          </w:p>
        </w:tc>
        <w:tc>
          <w:tcPr>
            <w:tcW w:w="1420" w:type="dxa"/>
            <w:vAlign w:val="bottom"/>
            <w:tcBorders>
              <w:bottom w:val="single" w:sz="8" w:color="0072AF"/>
            </w:tcBorders>
          </w:tcPr>
          <w:p>
            <w:pPr>
              <w:spacing w:after="0"/>
              <w:rPr>
                <w:sz w:val="24"/>
                <w:szCs w:val="24"/>
                <w:color w:val="auto"/>
              </w:rPr>
            </w:pPr>
          </w:p>
        </w:tc>
      </w:tr>
      <w:tr>
        <w:trPr>
          <w:trHeight w:val="106"/>
        </w:trPr>
        <w:tc>
          <w:tcPr>
            <w:tcW w:w="2980" w:type="dxa"/>
            <w:vAlign w:val="bottom"/>
            <w:tcBorders>
              <w:bottom w:val="single" w:sz="8" w:color="0072AF"/>
            </w:tcBorders>
          </w:tcPr>
          <w:p>
            <w:pPr>
              <w:spacing w:after="0"/>
              <w:rPr>
                <w:sz w:val="9"/>
                <w:szCs w:val="9"/>
                <w:color w:val="auto"/>
              </w:rPr>
            </w:pPr>
          </w:p>
        </w:tc>
        <w:tc>
          <w:tcPr>
            <w:tcW w:w="3240" w:type="dxa"/>
            <w:vAlign w:val="bottom"/>
            <w:tcBorders>
              <w:bottom w:val="single" w:sz="8" w:color="0072AF"/>
            </w:tcBorders>
            <w:gridSpan w:val="2"/>
          </w:tcPr>
          <w:p>
            <w:pPr>
              <w:spacing w:after="0"/>
              <w:rPr>
                <w:sz w:val="9"/>
                <w:szCs w:val="9"/>
                <w:color w:val="auto"/>
              </w:rPr>
            </w:pPr>
          </w:p>
        </w:tc>
        <w:tc>
          <w:tcPr>
            <w:tcW w:w="2960" w:type="dxa"/>
            <w:vAlign w:val="bottom"/>
            <w:tcBorders>
              <w:bottom w:val="single" w:sz="8" w:color="0072AF"/>
            </w:tcBorders>
            <w:gridSpan w:val="2"/>
          </w:tcPr>
          <w:p>
            <w:pPr>
              <w:spacing w:after="0"/>
              <w:rPr>
                <w:sz w:val="9"/>
                <w:szCs w:val="9"/>
                <w:color w:val="auto"/>
              </w:rPr>
            </w:pPr>
          </w:p>
        </w:tc>
      </w:tr>
      <w:tr>
        <w:trPr>
          <w:trHeight w:val="288"/>
        </w:trPr>
        <w:tc>
          <w:tcPr>
            <w:tcW w:w="2980" w:type="dxa"/>
            <w:vAlign w:val="bottom"/>
            <w:tcBorders>
              <w:right w:val="single" w:sz="8" w:color="0072AF"/>
            </w:tcBorders>
          </w:tcPr>
          <w:p>
            <w:pPr>
              <w:spacing w:after="0"/>
              <w:rPr>
                <w:sz w:val="24"/>
                <w:szCs w:val="24"/>
                <w:color w:val="auto"/>
              </w:rPr>
            </w:pPr>
          </w:p>
        </w:tc>
        <w:tc>
          <w:tcPr>
            <w:tcW w:w="3240" w:type="dxa"/>
            <w:vAlign w:val="bottom"/>
            <w:tcBorders>
              <w:right w:val="single" w:sz="8" w:color="0072AF"/>
            </w:tcBorders>
            <w:gridSpan w:val="2"/>
          </w:tcPr>
          <w:p>
            <w:pPr>
              <w:ind w:left="1080"/>
              <w:spacing w:after="0"/>
              <w:rPr>
                <w:sz w:val="20"/>
                <w:szCs w:val="20"/>
                <w:color w:val="auto"/>
              </w:rPr>
            </w:pPr>
            <w:r>
              <w:rPr>
                <w:rFonts w:ascii="Arial" w:cs="Arial" w:eastAsia="Arial" w:hAnsi="Arial"/>
                <w:sz w:val="14"/>
                <w:szCs w:val="14"/>
                <w:b w:val="1"/>
                <w:bCs w:val="1"/>
                <w:color w:val="auto"/>
              </w:rPr>
              <w:t>Option Awards</w:t>
            </w:r>
          </w:p>
        </w:tc>
        <w:tc>
          <w:tcPr>
            <w:tcW w:w="2960" w:type="dxa"/>
            <w:vAlign w:val="bottom"/>
            <w:gridSpan w:val="2"/>
          </w:tcPr>
          <w:p>
            <w:pPr>
              <w:ind w:left="1160"/>
              <w:spacing w:after="0"/>
              <w:rPr>
                <w:sz w:val="20"/>
                <w:szCs w:val="20"/>
                <w:color w:val="auto"/>
              </w:rPr>
            </w:pPr>
            <w:r>
              <w:rPr>
                <w:rFonts w:ascii="Arial" w:cs="Arial" w:eastAsia="Arial" w:hAnsi="Arial"/>
                <w:sz w:val="14"/>
                <w:szCs w:val="14"/>
                <w:b w:val="1"/>
                <w:bCs w:val="1"/>
                <w:color w:val="auto"/>
              </w:rPr>
              <w:t>Stock Awards</w:t>
            </w:r>
          </w:p>
        </w:tc>
      </w:tr>
      <w:tr>
        <w:trPr>
          <w:trHeight w:val="83"/>
        </w:trPr>
        <w:tc>
          <w:tcPr>
            <w:tcW w:w="2980" w:type="dxa"/>
            <w:vAlign w:val="bottom"/>
            <w:tcBorders>
              <w:right w:val="single" w:sz="8" w:color="0072AF"/>
            </w:tcBorders>
          </w:tcPr>
          <w:p>
            <w:pPr>
              <w:spacing w:after="0"/>
              <w:rPr>
                <w:sz w:val="7"/>
                <w:szCs w:val="7"/>
                <w:color w:val="auto"/>
              </w:rPr>
            </w:pPr>
          </w:p>
        </w:tc>
        <w:tc>
          <w:tcPr>
            <w:tcW w:w="1140" w:type="dxa"/>
            <w:vAlign w:val="bottom"/>
            <w:tcBorders>
              <w:bottom w:val="single" w:sz="8" w:color="0072AF"/>
            </w:tcBorders>
          </w:tcPr>
          <w:p>
            <w:pPr>
              <w:spacing w:after="0"/>
              <w:rPr>
                <w:sz w:val="7"/>
                <w:szCs w:val="7"/>
                <w:color w:val="auto"/>
              </w:rPr>
            </w:pPr>
          </w:p>
        </w:tc>
        <w:tc>
          <w:tcPr>
            <w:tcW w:w="2100" w:type="dxa"/>
            <w:vAlign w:val="bottom"/>
            <w:tcBorders>
              <w:bottom w:val="single" w:sz="8" w:color="0072AF"/>
              <w:right w:val="single" w:sz="8" w:color="0072AF"/>
            </w:tcBorders>
          </w:tcPr>
          <w:p>
            <w:pPr>
              <w:spacing w:after="0"/>
              <w:rPr>
                <w:sz w:val="7"/>
                <w:szCs w:val="7"/>
                <w:color w:val="auto"/>
              </w:rPr>
            </w:pPr>
          </w:p>
        </w:tc>
        <w:tc>
          <w:tcPr>
            <w:tcW w:w="1540" w:type="dxa"/>
            <w:vAlign w:val="bottom"/>
            <w:tcBorders>
              <w:bottom w:val="single" w:sz="8" w:color="0072AF"/>
            </w:tcBorders>
          </w:tcPr>
          <w:p>
            <w:pPr>
              <w:spacing w:after="0"/>
              <w:rPr>
                <w:sz w:val="7"/>
                <w:szCs w:val="7"/>
                <w:color w:val="auto"/>
              </w:rPr>
            </w:pPr>
          </w:p>
        </w:tc>
        <w:tc>
          <w:tcPr>
            <w:tcW w:w="1420" w:type="dxa"/>
            <w:vAlign w:val="bottom"/>
            <w:tcBorders>
              <w:bottom w:val="single" w:sz="8" w:color="0072AF"/>
            </w:tcBorders>
          </w:tcPr>
          <w:p>
            <w:pPr>
              <w:spacing w:after="0"/>
              <w:rPr>
                <w:sz w:val="7"/>
                <w:szCs w:val="7"/>
                <w:color w:val="auto"/>
              </w:rPr>
            </w:pPr>
          </w:p>
        </w:tc>
      </w:tr>
      <w:tr>
        <w:trPr>
          <w:trHeight w:val="263"/>
        </w:trPr>
        <w:tc>
          <w:tcPr>
            <w:tcW w:w="2980" w:type="dxa"/>
            <w:vAlign w:val="bottom"/>
            <w:tcBorders>
              <w:right w:val="single" w:sz="8" w:color="0072AF"/>
            </w:tcBorders>
          </w:tcPr>
          <w:p>
            <w:pPr>
              <w:spacing w:after="0"/>
              <w:rPr>
                <w:sz w:val="22"/>
                <w:szCs w:val="22"/>
                <w:color w:val="auto"/>
              </w:rPr>
            </w:pPr>
          </w:p>
        </w:tc>
        <w:tc>
          <w:tcPr>
            <w:tcW w:w="1140" w:type="dxa"/>
            <w:vAlign w:val="bottom"/>
          </w:tcPr>
          <w:p>
            <w:pPr>
              <w:jc w:val="center"/>
              <w:ind w:left="224"/>
              <w:spacing w:after="0"/>
              <w:rPr>
                <w:sz w:val="20"/>
                <w:szCs w:val="20"/>
                <w:color w:val="auto"/>
              </w:rPr>
            </w:pPr>
            <w:r>
              <w:rPr>
                <w:rFonts w:ascii="Arial" w:cs="Arial" w:eastAsia="Arial" w:hAnsi="Arial"/>
                <w:sz w:val="14"/>
                <w:szCs w:val="14"/>
                <w:b w:val="1"/>
                <w:bCs w:val="1"/>
                <w:color w:val="auto"/>
              </w:rPr>
              <w:t>Number of</w:t>
            </w:r>
          </w:p>
        </w:tc>
        <w:tc>
          <w:tcPr>
            <w:tcW w:w="2100" w:type="dxa"/>
            <w:vAlign w:val="bottom"/>
            <w:tcBorders>
              <w:right w:val="single" w:sz="8" w:color="0072AF"/>
            </w:tcBorders>
          </w:tcPr>
          <w:p>
            <w:pPr>
              <w:spacing w:after="0"/>
              <w:rPr>
                <w:sz w:val="22"/>
                <w:szCs w:val="22"/>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420" w:type="dxa"/>
            <w:vAlign w:val="bottom"/>
          </w:tcPr>
          <w:p>
            <w:pPr>
              <w:spacing w:after="0"/>
              <w:rPr>
                <w:sz w:val="22"/>
                <w:szCs w:val="22"/>
                <w:color w:val="auto"/>
              </w:rPr>
            </w:pPr>
          </w:p>
        </w:tc>
      </w:tr>
      <w:tr>
        <w:trPr>
          <w:trHeight w:val="162"/>
        </w:trPr>
        <w:tc>
          <w:tcPr>
            <w:tcW w:w="2980" w:type="dxa"/>
            <w:vAlign w:val="bottom"/>
            <w:tcBorders>
              <w:right w:val="single" w:sz="8" w:color="0072AF"/>
            </w:tcBorders>
          </w:tcPr>
          <w:p>
            <w:pPr>
              <w:spacing w:after="0"/>
              <w:rPr>
                <w:sz w:val="14"/>
                <w:szCs w:val="14"/>
                <w:color w:val="auto"/>
              </w:rPr>
            </w:pPr>
          </w:p>
        </w:tc>
        <w:tc>
          <w:tcPr>
            <w:tcW w:w="1140" w:type="dxa"/>
            <w:vAlign w:val="bottom"/>
          </w:tcPr>
          <w:p>
            <w:pPr>
              <w:jc w:val="center"/>
              <w:ind w:left="224"/>
              <w:spacing w:after="0"/>
              <w:rPr>
                <w:sz w:val="20"/>
                <w:szCs w:val="20"/>
                <w:color w:val="auto"/>
              </w:rPr>
            </w:pPr>
            <w:r>
              <w:rPr>
                <w:rFonts w:ascii="Arial" w:cs="Arial" w:eastAsia="Arial" w:hAnsi="Arial"/>
                <w:sz w:val="14"/>
                <w:szCs w:val="14"/>
                <w:b w:val="1"/>
                <w:bCs w:val="1"/>
                <w:color w:val="auto"/>
              </w:rPr>
              <w:t>Shares</w:t>
            </w:r>
          </w:p>
        </w:tc>
        <w:tc>
          <w:tcPr>
            <w:tcW w:w="2100" w:type="dxa"/>
            <w:vAlign w:val="bottom"/>
            <w:tcBorders>
              <w:right w:val="single" w:sz="8" w:color="0072AF"/>
            </w:tcBorders>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420" w:type="dxa"/>
            <w:vAlign w:val="bottom"/>
          </w:tcPr>
          <w:p>
            <w:pPr>
              <w:spacing w:after="0"/>
              <w:rPr>
                <w:sz w:val="14"/>
                <w:szCs w:val="14"/>
                <w:color w:val="auto"/>
              </w:rPr>
            </w:pPr>
          </w:p>
        </w:tc>
      </w:tr>
      <w:tr>
        <w:trPr>
          <w:trHeight w:val="162"/>
        </w:trPr>
        <w:tc>
          <w:tcPr>
            <w:tcW w:w="2980" w:type="dxa"/>
            <w:vAlign w:val="bottom"/>
            <w:tcBorders>
              <w:right w:val="single" w:sz="8" w:color="0072AF"/>
            </w:tcBorders>
          </w:tcPr>
          <w:p>
            <w:pPr>
              <w:spacing w:after="0"/>
              <w:rPr>
                <w:sz w:val="14"/>
                <w:szCs w:val="14"/>
                <w:color w:val="auto"/>
              </w:rPr>
            </w:pPr>
          </w:p>
        </w:tc>
        <w:tc>
          <w:tcPr>
            <w:tcW w:w="1140" w:type="dxa"/>
            <w:vAlign w:val="bottom"/>
          </w:tcPr>
          <w:p>
            <w:pPr>
              <w:jc w:val="center"/>
              <w:ind w:left="224"/>
              <w:spacing w:after="0"/>
              <w:rPr>
                <w:sz w:val="20"/>
                <w:szCs w:val="20"/>
                <w:color w:val="auto"/>
              </w:rPr>
            </w:pPr>
            <w:r>
              <w:rPr>
                <w:rFonts w:ascii="Arial" w:cs="Arial" w:eastAsia="Arial" w:hAnsi="Arial"/>
                <w:sz w:val="14"/>
                <w:szCs w:val="14"/>
                <w:b w:val="1"/>
                <w:bCs w:val="1"/>
                <w:color w:val="auto"/>
              </w:rPr>
              <w:t>Acquired</w:t>
            </w:r>
          </w:p>
        </w:tc>
        <w:tc>
          <w:tcPr>
            <w:tcW w:w="2100" w:type="dxa"/>
            <w:vAlign w:val="bottom"/>
            <w:tcBorders>
              <w:right w:val="single" w:sz="8" w:color="0072AF"/>
            </w:tcBorders>
          </w:tcPr>
          <w:p>
            <w:pPr>
              <w:jc w:val="center"/>
              <w:ind w:left="215"/>
              <w:spacing w:after="0"/>
              <w:rPr>
                <w:sz w:val="20"/>
                <w:szCs w:val="20"/>
                <w:color w:val="auto"/>
              </w:rPr>
            </w:pPr>
            <w:r>
              <w:rPr>
                <w:rFonts w:ascii="Arial" w:cs="Arial" w:eastAsia="Arial" w:hAnsi="Arial"/>
                <w:sz w:val="14"/>
                <w:szCs w:val="14"/>
                <w:b w:val="1"/>
                <w:bCs w:val="1"/>
                <w:color w:val="auto"/>
              </w:rPr>
              <w:t>Value Realized</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Acquired</w:t>
            </w:r>
          </w:p>
        </w:tc>
        <w:tc>
          <w:tcPr>
            <w:tcW w:w="1420" w:type="dxa"/>
            <w:vAlign w:val="bottom"/>
          </w:tcPr>
          <w:p>
            <w:pPr>
              <w:jc w:val="center"/>
              <w:ind w:left="223"/>
              <w:spacing w:after="0"/>
              <w:rPr>
                <w:sz w:val="20"/>
                <w:szCs w:val="20"/>
                <w:color w:val="auto"/>
              </w:rPr>
            </w:pPr>
            <w:r>
              <w:rPr>
                <w:rFonts w:ascii="Arial" w:cs="Arial" w:eastAsia="Arial" w:hAnsi="Arial"/>
                <w:sz w:val="14"/>
                <w:szCs w:val="14"/>
                <w:b w:val="1"/>
                <w:bCs w:val="1"/>
                <w:color w:val="auto"/>
              </w:rPr>
              <w:t>Value Realized</w:t>
            </w:r>
          </w:p>
        </w:tc>
      </w:tr>
      <w:tr>
        <w:trPr>
          <w:trHeight w:val="162"/>
        </w:trPr>
        <w:tc>
          <w:tcPr>
            <w:tcW w:w="2980" w:type="dxa"/>
            <w:vAlign w:val="bottom"/>
            <w:tcBorders>
              <w:right w:val="single" w:sz="8" w:color="0072AF"/>
            </w:tcBorders>
          </w:tcPr>
          <w:p>
            <w:pPr>
              <w:spacing w:after="0"/>
              <w:rPr>
                <w:sz w:val="14"/>
                <w:szCs w:val="14"/>
                <w:color w:val="auto"/>
              </w:rPr>
            </w:pPr>
          </w:p>
        </w:tc>
        <w:tc>
          <w:tcPr>
            <w:tcW w:w="1140" w:type="dxa"/>
            <w:vAlign w:val="bottom"/>
          </w:tcPr>
          <w:p>
            <w:pPr>
              <w:jc w:val="center"/>
              <w:ind w:left="224"/>
              <w:spacing w:after="0"/>
              <w:rPr>
                <w:sz w:val="20"/>
                <w:szCs w:val="20"/>
                <w:color w:val="auto"/>
              </w:rPr>
            </w:pPr>
            <w:r>
              <w:rPr>
                <w:rFonts w:ascii="Arial" w:cs="Arial" w:eastAsia="Arial" w:hAnsi="Arial"/>
                <w:sz w:val="14"/>
                <w:szCs w:val="14"/>
                <w:b w:val="1"/>
                <w:bCs w:val="1"/>
                <w:color w:val="auto"/>
              </w:rPr>
              <w:t>on Exercise</w:t>
            </w:r>
          </w:p>
        </w:tc>
        <w:tc>
          <w:tcPr>
            <w:tcW w:w="2100" w:type="dxa"/>
            <w:vAlign w:val="bottom"/>
            <w:tcBorders>
              <w:right w:val="single" w:sz="8" w:color="0072AF"/>
            </w:tcBorders>
          </w:tcPr>
          <w:p>
            <w:pPr>
              <w:jc w:val="center"/>
              <w:ind w:left="235"/>
              <w:spacing w:after="0"/>
              <w:rPr>
                <w:sz w:val="20"/>
                <w:szCs w:val="20"/>
                <w:color w:val="auto"/>
              </w:rPr>
            </w:pPr>
            <w:r>
              <w:rPr>
                <w:rFonts w:ascii="Arial" w:cs="Arial" w:eastAsia="Arial" w:hAnsi="Arial"/>
                <w:sz w:val="14"/>
                <w:szCs w:val="14"/>
                <w:b w:val="1"/>
                <w:bCs w:val="1"/>
                <w:color w:val="auto"/>
              </w:rPr>
              <w:t>on Exercise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on Vesting</w:t>
            </w:r>
          </w:p>
        </w:tc>
        <w:tc>
          <w:tcPr>
            <w:tcW w:w="1420" w:type="dxa"/>
            <w:vAlign w:val="bottom"/>
          </w:tcPr>
          <w:p>
            <w:pPr>
              <w:jc w:val="center"/>
              <w:ind w:left="223"/>
              <w:spacing w:after="0"/>
              <w:rPr>
                <w:sz w:val="20"/>
                <w:szCs w:val="20"/>
                <w:color w:val="auto"/>
              </w:rPr>
            </w:pPr>
            <w:r>
              <w:rPr>
                <w:rFonts w:ascii="Arial" w:cs="Arial" w:eastAsia="Arial" w:hAnsi="Arial"/>
                <w:sz w:val="14"/>
                <w:szCs w:val="14"/>
                <w:b w:val="1"/>
                <w:bCs w:val="1"/>
                <w:color w:val="auto"/>
              </w:rPr>
              <w:t>on Vesting</w:t>
            </w:r>
          </w:p>
        </w:tc>
      </w:tr>
      <w:tr>
        <w:trPr>
          <w:trHeight w:val="297"/>
        </w:trPr>
        <w:tc>
          <w:tcPr>
            <w:tcW w:w="2980" w:type="dxa"/>
            <w:vAlign w:val="bottom"/>
            <w:tcBorders>
              <w:bottom w:val="single" w:sz="8" w:color="0072AF"/>
              <w:right w:val="single" w:sz="8" w:color="0072AF"/>
            </w:tcBorders>
          </w:tcPr>
          <w:p>
            <w:pPr>
              <w:ind w:left="100"/>
              <w:spacing w:after="0"/>
              <w:rPr>
                <w:sz w:val="20"/>
                <w:szCs w:val="20"/>
                <w:color w:val="auto"/>
              </w:rPr>
            </w:pPr>
            <w:r>
              <w:rPr>
                <w:rFonts w:ascii="Arial" w:cs="Arial" w:eastAsia="Arial" w:hAnsi="Arial"/>
                <w:sz w:val="14"/>
                <w:szCs w:val="14"/>
                <w:b w:val="1"/>
                <w:bCs w:val="1"/>
                <w:color w:val="auto"/>
              </w:rPr>
              <w:t>Name</w:t>
            </w:r>
          </w:p>
        </w:tc>
        <w:tc>
          <w:tcPr>
            <w:tcW w:w="1140" w:type="dxa"/>
            <w:vAlign w:val="bottom"/>
            <w:tcBorders>
              <w:bottom w:val="single" w:sz="8" w:color="0072AF"/>
            </w:tcBorders>
          </w:tcPr>
          <w:p>
            <w:pPr>
              <w:jc w:val="center"/>
              <w:ind w:left="264"/>
              <w:spacing w:after="0"/>
              <w:rPr>
                <w:sz w:val="20"/>
                <w:szCs w:val="20"/>
                <w:color w:val="auto"/>
              </w:rPr>
            </w:pPr>
            <w:r>
              <w:rPr>
                <w:rFonts w:ascii="Arial" w:cs="Arial" w:eastAsia="Arial" w:hAnsi="Arial"/>
                <w:sz w:val="14"/>
                <w:szCs w:val="14"/>
                <w:b w:val="1"/>
                <w:bCs w:val="1"/>
                <w:color w:val="auto"/>
                <w:w w:val="93"/>
              </w:rPr>
              <w:t>(#)</w:t>
            </w:r>
          </w:p>
        </w:tc>
        <w:tc>
          <w:tcPr>
            <w:tcW w:w="2100" w:type="dxa"/>
            <w:vAlign w:val="bottom"/>
            <w:tcBorders>
              <w:bottom w:val="single" w:sz="8" w:color="0072AF"/>
              <w:right w:val="single" w:sz="8" w:color="0072AF"/>
            </w:tcBorders>
          </w:tcPr>
          <w:p>
            <w:pPr>
              <w:jc w:val="center"/>
              <w:ind w:left="275"/>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0072AF"/>
            </w:tcBorders>
          </w:tcPr>
          <w:p>
            <w:pPr>
              <w:jc w:val="center"/>
              <w:spacing w:after="0" w:line="297" w:lineRule="exact"/>
              <w:rPr>
                <w:sz w:val="20"/>
                <w:szCs w:val="20"/>
                <w:color w:val="auto"/>
              </w:rPr>
            </w:pPr>
            <w:r>
              <w:rPr>
                <w:rFonts w:ascii="Arial" w:cs="Arial" w:eastAsia="Arial" w:hAnsi="Arial"/>
                <w:sz w:val="28"/>
                <w:szCs w:val="28"/>
                <w:b w:val="1"/>
                <w:bCs w:val="1"/>
                <w:color w:val="auto"/>
                <w:w w:val="85"/>
                <w:vertAlign w:val="subscript"/>
              </w:rPr>
              <w:t>(#)</w:t>
            </w:r>
            <w:r>
              <w:rPr>
                <w:rFonts w:ascii="Arial" w:cs="Arial" w:eastAsia="Arial" w:hAnsi="Arial"/>
                <w:sz w:val="12"/>
                <w:szCs w:val="12"/>
                <w:b w:val="1"/>
                <w:bCs w:val="1"/>
                <w:color w:val="auto"/>
                <w:w w:val="85"/>
              </w:rPr>
              <w:t>(1)</w:t>
            </w:r>
          </w:p>
        </w:tc>
        <w:tc>
          <w:tcPr>
            <w:tcW w:w="1420" w:type="dxa"/>
            <w:vAlign w:val="bottom"/>
            <w:tcBorders>
              <w:bottom w:val="single" w:sz="8" w:color="0072AF"/>
            </w:tcBorders>
          </w:tcPr>
          <w:p>
            <w:pPr>
              <w:jc w:val="center"/>
              <w:ind w:left="263"/>
              <w:spacing w:after="0" w:line="297" w:lineRule="exact"/>
              <w:rPr>
                <w:sz w:val="20"/>
                <w:szCs w:val="20"/>
                <w:color w:val="auto"/>
              </w:rPr>
            </w:pPr>
            <w:r>
              <w:rPr>
                <w:rFonts w:ascii="Arial" w:cs="Arial" w:eastAsia="Arial" w:hAnsi="Arial"/>
                <w:sz w:val="28"/>
                <w:szCs w:val="28"/>
                <w:b w:val="1"/>
                <w:bCs w:val="1"/>
                <w:color w:val="auto"/>
                <w:w w:val="85"/>
                <w:vertAlign w:val="subscript"/>
              </w:rPr>
              <w:t>($)</w:t>
            </w:r>
            <w:r>
              <w:rPr>
                <w:rFonts w:ascii="Arial" w:cs="Arial" w:eastAsia="Arial" w:hAnsi="Arial"/>
                <w:sz w:val="12"/>
                <w:szCs w:val="12"/>
                <w:b w:val="1"/>
                <w:bCs w:val="1"/>
                <w:color w:val="auto"/>
                <w:w w:val="85"/>
              </w:rPr>
              <w:t>(2)</w:t>
            </w:r>
          </w:p>
        </w:tc>
      </w:tr>
      <w:tr>
        <w:trPr>
          <w:trHeight w:val="310"/>
        </w:trPr>
        <w:tc>
          <w:tcPr>
            <w:tcW w:w="2980" w:type="dxa"/>
            <w:vAlign w:val="bottom"/>
            <w:tcBorders>
              <w:right w:val="single" w:sz="8" w:color="0072AF"/>
            </w:tcBorders>
          </w:tcPr>
          <w:p>
            <w:pPr>
              <w:ind w:left="100"/>
              <w:spacing w:after="0"/>
              <w:rPr>
                <w:sz w:val="20"/>
                <w:szCs w:val="20"/>
                <w:color w:val="auto"/>
              </w:rPr>
            </w:pPr>
            <w:r>
              <w:rPr>
                <w:rFonts w:ascii="Arial" w:cs="Arial" w:eastAsia="Arial" w:hAnsi="Arial"/>
                <w:sz w:val="16"/>
                <w:szCs w:val="16"/>
                <w:b w:val="1"/>
                <w:bCs w:val="1"/>
                <w:color w:val="auto"/>
              </w:rPr>
              <w:t>Jason Dies</w:t>
            </w:r>
          </w:p>
        </w:tc>
        <w:tc>
          <w:tcPr>
            <w:tcW w:w="1140" w:type="dxa"/>
            <w:vAlign w:val="bottom"/>
            <w:shd w:val="clear" w:color="auto" w:fill="CBCEE0"/>
          </w:tcPr>
          <w:p>
            <w:pPr>
              <w:jc w:val="center"/>
              <w:ind w:left="284"/>
              <w:spacing w:after="0"/>
              <w:rPr>
                <w:sz w:val="20"/>
                <w:szCs w:val="20"/>
                <w:color w:val="auto"/>
              </w:rPr>
            </w:pPr>
            <w:r>
              <w:rPr>
                <w:rFonts w:ascii="Arial" w:cs="Arial" w:eastAsia="Arial" w:hAnsi="Arial"/>
                <w:sz w:val="16"/>
                <w:szCs w:val="16"/>
                <w:color w:val="auto"/>
              </w:rPr>
              <w:t>-</w:t>
            </w:r>
          </w:p>
        </w:tc>
        <w:tc>
          <w:tcPr>
            <w:tcW w:w="2100" w:type="dxa"/>
            <w:vAlign w:val="bottom"/>
            <w:tcBorders>
              <w:right w:val="single" w:sz="8" w:color="0072AF"/>
            </w:tcBorders>
            <w:shd w:val="clear" w:color="auto" w:fill="CBCEE0"/>
          </w:tcPr>
          <w:p>
            <w:pPr>
              <w:jc w:val="center"/>
              <w:ind w:left="275"/>
              <w:spacing w:after="0"/>
              <w:rPr>
                <w:sz w:val="20"/>
                <w:szCs w:val="20"/>
                <w:color w:val="auto"/>
              </w:rPr>
            </w:pPr>
            <w:r>
              <w:rPr>
                <w:rFonts w:ascii="Arial" w:cs="Arial" w:eastAsia="Arial" w:hAnsi="Arial"/>
                <w:sz w:val="16"/>
                <w:szCs w:val="16"/>
                <w:color w:val="auto"/>
              </w:rPr>
              <w:t>-</w:t>
            </w:r>
          </w:p>
        </w:tc>
        <w:tc>
          <w:tcPr>
            <w:tcW w:w="1540" w:type="dxa"/>
            <w:vAlign w:val="bottom"/>
            <w:shd w:val="clear" w:color="auto" w:fill="CBCEE0"/>
          </w:tcPr>
          <w:p>
            <w:pPr>
              <w:ind w:left="520"/>
              <w:spacing w:after="0"/>
              <w:rPr>
                <w:sz w:val="20"/>
                <w:szCs w:val="20"/>
                <w:color w:val="auto"/>
              </w:rPr>
            </w:pPr>
            <w:r>
              <w:rPr>
                <w:rFonts w:ascii="Arial" w:cs="Arial" w:eastAsia="Arial" w:hAnsi="Arial"/>
                <w:sz w:val="16"/>
                <w:szCs w:val="16"/>
                <w:color w:val="auto"/>
              </w:rPr>
              <w:t>31,546</w:t>
            </w:r>
          </w:p>
        </w:tc>
        <w:tc>
          <w:tcPr>
            <w:tcW w:w="1420" w:type="dxa"/>
            <w:vAlign w:val="bottom"/>
            <w:shd w:val="clear" w:color="auto" w:fill="CBCEE0"/>
          </w:tcPr>
          <w:p>
            <w:pPr>
              <w:ind w:left="600"/>
              <w:spacing w:after="0"/>
              <w:rPr>
                <w:sz w:val="20"/>
                <w:szCs w:val="20"/>
                <w:color w:val="auto"/>
              </w:rPr>
            </w:pPr>
            <w:r>
              <w:rPr>
                <w:rFonts w:ascii="Arial" w:cs="Arial" w:eastAsia="Arial" w:hAnsi="Arial"/>
                <w:sz w:val="16"/>
                <w:szCs w:val="16"/>
                <w:color w:val="auto"/>
              </w:rPr>
              <w:t>130,022</w:t>
            </w:r>
          </w:p>
        </w:tc>
      </w:tr>
      <w:tr>
        <w:trPr>
          <w:trHeight w:val="88"/>
        </w:trPr>
        <w:tc>
          <w:tcPr>
            <w:tcW w:w="2980" w:type="dxa"/>
            <w:vAlign w:val="bottom"/>
            <w:tcBorders>
              <w:bottom w:val="single" w:sz="8" w:color="0072AF"/>
              <w:right w:val="single" w:sz="8" w:color="0072AF"/>
            </w:tcBorders>
          </w:tcPr>
          <w:p>
            <w:pPr>
              <w:spacing w:after="0"/>
              <w:rPr>
                <w:sz w:val="7"/>
                <w:szCs w:val="7"/>
                <w:color w:val="auto"/>
              </w:rPr>
            </w:pPr>
          </w:p>
        </w:tc>
        <w:tc>
          <w:tcPr>
            <w:tcW w:w="1140" w:type="dxa"/>
            <w:vAlign w:val="bottom"/>
            <w:tcBorders>
              <w:bottom w:val="single" w:sz="8" w:color="0072AF"/>
            </w:tcBorders>
            <w:shd w:val="clear" w:color="auto" w:fill="CBCEE0"/>
          </w:tcPr>
          <w:p>
            <w:pPr>
              <w:spacing w:after="0"/>
              <w:rPr>
                <w:sz w:val="7"/>
                <w:szCs w:val="7"/>
                <w:color w:val="auto"/>
              </w:rPr>
            </w:pPr>
          </w:p>
        </w:tc>
        <w:tc>
          <w:tcPr>
            <w:tcW w:w="2100" w:type="dxa"/>
            <w:vAlign w:val="bottom"/>
            <w:tcBorders>
              <w:bottom w:val="single" w:sz="8" w:color="0072AF"/>
              <w:right w:val="single" w:sz="8" w:color="0072AF"/>
            </w:tcBorders>
            <w:shd w:val="clear" w:color="auto" w:fill="CBCEE0"/>
          </w:tcPr>
          <w:p>
            <w:pPr>
              <w:spacing w:after="0"/>
              <w:rPr>
                <w:sz w:val="7"/>
                <w:szCs w:val="7"/>
                <w:color w:val="auto"/>
              </w:rPr>
            </w:pPr>
          </w:p>
        </w:tc>
        <w:tc>
          <w:tcPr>
            <w:tcW w:w="1540" w:type="dxa"/>
            <w:vAlign w:val="bottom"/>
            <w:tcBorders>
              <w:bottom w:val="single" w:sz="8" w:color="0072AF"/>
            </w:tcBorders>
            <w:shd w:val="clear" w:color="auto" w:fill="CBCEE0"/>
          </w:tcPr>
          <w:p>
            <w:pPr>
              <w:spacing w:after="0"/>
              <w:rPr>
                <w:sz w:val="7"/>
                <w:szCs w:val="7"/>
                <w:color w:val="auto"/>
              </w:rPr>
            </w:pPr>
          </w:p>
        </w:tc>
        <w:tc>
          <w:tcPr>
            <w:tcW w:w="1420" w:type="dxa"/>
            <w:vAlign w:val="bottom"/>
            <w:tcBorders>
              <w:bottom w:val="single" w:sz="8" w:color="0072AF"/>
            </w:tcBorders>
            <w:shd w:val="clear" w:color="auto" w:fill="CBCEE0"/>
          </w:tcPr>
          <w:p>
            <w:pPr>
              <w:spacing w:after="0"/>
              <w:rPr>
                <w:sz w:val="7"/>
                <w:szCs w:val="7"/>
                <w:color w:val="auto"/>
              </w:rPr>
            </w:pPr>
          </w:p>
        </w:tc>
      </w:tr>
      <w:tr>
        <w:trPr>
          <w:trHeight w:val="310"/>
        </w:trPr>
        <w:tc>
          <w:tcPr>
            <w:tcW w:w="2980" w:type="dxa"/>
            <w:vAlign w:val="bottom"/>
            <w:tcBorders>
              <w:right w:val="single" w:sz="8" w:color="0072AF"/>
            </w:tcBorders>
          </w:tcPr>
          <w:p>
            <w:pPr>
              <w:ind w:left="100"/>
              <w:spacing w:after="0"/>
              <w:rPr>
                <w:sz w:val="20"/>
                <w:szCs w:val="20"/>
                <w:color w:val="auto"/>
              </w:rPr>
            </w:pPr>
            <w:r>
              <w:rPr>
                <w:rFonts w:ascii="Arial" w:cs="Arial" w:eastAsia="Arial" w:hAnsi="Arial"/>
                <w:sz w:val="16"/>
                <w:szCs w:val="16"/>
                <w:b w:val="1"/>
                <w:bCs w:val="1"/>
                <w:color w:val="auto"/>
              </w:rPr>
              <w:t>Ana Chadwick</w:t>
            </w:r>
          </w:p>
        </w:tc>
        <w:tc>
          <w:tcPr>
            <w:tcW w:w="1140" w:type="dxa"/>
            <w:vAlign w:val="bottom"/>
          </w:tcPr>
          <w:p>
            <w:pPr>
              <w:jc w:val="center"/>
              <w:ind w:left="284"/>
              <w:spacing w:after="0"/>
              <w:rPr>
                <w:sz w:val="20"/>
                <w:szCs w:val="20"/>
                <w:color w:val="auto"/>
              </w:rPr>
            </w:pPr>
            <w:r>
              <w:rPr>
                <w:rFonts w:ascii="Arial" w:cs="Arial" w:eastAsia="Arial" w:hAnsi="Arial"/>
                <w:sz w:val="16"/>
                <w:szCs w:val="16"/>
                <w:color w:val="auto"/>
              </w:rPr>
              <w:t>-</w:t>
            </w:r>
          </w:p>
        </w:tc>
        <w:tc>
          <w:tcPr>
            <w:tcW w:w="2100" w:type="dxa"/>
            <w:vAlign w:val="bottom"/>
            <w:tcBorders>
              <w:right w:val="single" w:sz="8" w:color="0072AF"/>
            </w:tcBorders>
          </w:tcPr>
          <w:p>
            <w:pPr>
              <w:jc w:val="center"/>
              <w:ind w:left="275"/>
              <w:spacing w:after="0"/>
              <w:rPr>
                <w:sz w:val="20"/>
                <w:szCs w:val="20"/>
                <w:color w:val="auto"/>
              </w:rPr>
            </w:pPr>
            <w:r>
              <w:rPr>
                <w:rFonts w:ascii="Arial" w:cs="Arial" w:eastAsia="Arial" w:hAnsi="Arial"/>
                <w:sz w:val="16"/>
                <w:szCs w:val="16"/>
                <w:color w:val="auto"/>
              </w:rPr>
              <w:t>-</w:t>
            </w:r>
          </w:p>
        </w:tc>
        <w:tc>
          <w:tcPr>
            <w:tcW w:w="1540" w:type="dxa"/>
            <w:vAlign w:val="bottom"/>
          </w:tcPr>
          <w:p>
            <w:pPr>
              <w:ind w:left="520"/>
              <w:spacing w:after="0"/>
              <w:rPr>
                <w:sz w:val="20"/>
                <w:szCs w:val="20"/>
                <w:color w:val="auto"/>
              </w:rPr>
            </w:pPr>
            <w:r>
              <w:rPr>
                <w:rFonts w:ascii="Arial" w:cs="Arial" w:eastAsia="Arial" w:hAnsi="Arial"/>
                <w:sz w:val="16"/>
                <w:szCs w:val="16"/>
                <w:color w:val="auto"/>
              </w:rPr>
              <w:t>28,163</w:t>
            </w:r>
          </w:p>
        </w:tc>
        <w:tc>
          <w:tcPr>
            <w:tcW w:w="1420" w:type="dxa"/>
            <w:vAlign w:val="bottom"/>
          </w:tcPr>
          <w:p>
            <w:pPr>
              <w:ind w:left="600"/>
              <w:spacing w:after="0"/>
              <w:rPr>
                <w:sz w:val="20"/>
                <w:szCs w:val="20"/>
                <w:color w:val="auto"/>
              </w:rPr>
            </w:pPr>
            <w:r>
              <w:rPr>
                <w:rFonts w:ascii="Arial" w:cs="Arial" w:eastAsia="Arial" w:hAnsi="Arial"/>
                <w:sz w:val="16"/>
                <w:szCs w:val="16"/>
                <w:color w:val="auto"/>
              </w:rPr>
              <w:t>115,747</w:t>
            </w:r>
          </w:p>
        </w:tc>
      </w:tr>
      <w:tr>
        <w:trPr>
          <w:trHeight w:val="88"/>
        </w:trPr>
        <w:tc>
          <w:tcPr>
            <w:tcW w:w="2980" w:type="dxa"/>
            <w:vAlign w:val="bottom"/>
            <w:tcBorders>
              <w:bottom w:val="single" w:sz="8" w:color="0072AF"/>
              <w:right w:val="single" w:sz="8" w:color="0072AF"/>
            </w:tcBorders>
          </w:tcPr>
          <w:p>
            <w:pPr>
              <w:spacing w:after="0"/>
              <w:rPr>
                <w:sz w:val="7"/>
                <w:szCs w:val="7"/>
                <w:color w:val="auto"/>
              </w:rPr>
            </w:pPr>
          </w:p>
        </w:tc>
        <w:tc>
          <w:tcPr>
            <w:tcW w:w="1140" w:type="dxa"/>
            <w:vAlign w:val="bottom"/>
            <w:tcBorders>
              <w:bottom w:val="single" w:sz="8" w:color="0072AF"/>
            </w:tcBorders>
          </w:tcPr>
          <w:p>
            <w:pPr>
              <w:spacing w:after="0"/>
              <w:rPr>
                <w:sz w:val="7"/>
                <w:szCs w:val="7"/>
                <w:color w:val="auto"/>
              </w:rPr>
            </w:pPr>
          </w:p>
        </w:tc>
        <w:tc>
          <w:tcPr>
            <w:tcW w:w="2100" w:type="dxa"/>
            <w:vAlign w:val="bottom"/>
            <w:tcBorders>
              <w:bottom w:val="single" w:sz="8" w:color="0072AF"/>
              <w:right w:val="single" w:sz="8" w:color="0072AF"/>
            </w:tcBorders>
          </w:tcPr>
          <w:p>
            <w:pPr>
              <w:spacing w:after="0"/>
              <w:rPr>
                <w:sz w:val="7"/>
                <w:szCs w:val="7"/>
                <w:color w:val="auto"/>
              </w:rPr>
            </w:pPr>
          </w:p>
        </w:tc>
        <w:tc>
          <w:tcPr>
            <w:tcW w:w="1540" w:type="dxa"/>
            <w:vAlign w:val="bottom"/>
            <w:tcBorders>
              <w:bottom w:val="single" w:sz="8" w:color="0072AF"/>
            </w:tcBorders>
          </w:tcPr>
          <w:p>
            <w:pPr>
              <w:spacing w:after="0"/>
              <w:rPr>
                <w:sz w:val="7"/>
                <w:szCs w:val="7"/>
                <w:color w:val="auto"/>
              </w:rPr>
            </w:pPr>
          </w:p>
        </w:tc>
        <w:tc>
          <w:tcPr>
            <w:tcW w:w="1420" w:type="dxa"/>
            <w:vAlign w:val="bottom"/>
            <w:tcBorders>
              <w:bottom w:val="single" w:sz="8" w:color="0072AF"/>
            </w:tcBorders>
          </w:tcPr>
          <w:p>
            <w:pPr>
              <w:spacing w:after="0"/>
              <w:rPr>
                <w:sz w:val="7"/>
                <w:szCs w:val="7"/>
                <w:color w:val="auto"/>
              </w:rPr>
            </w:pPr>
          </w:p>
        </w:tc>
      </w:tr>
      <w:tr>
        <w:trPr>
          <w:trHeight w:val="439"/>
        </w:trPr>
        <w:tc>
          <w:tcPr>
            <w:tcW w:w="2980" w:type="dxa"/>
            <w:vAlign w:val="bottom"/>
            <w:tcBorders>
              <w:bottom w:val="single" w:sz="8" w:color="0072AF"/>
              <w:right w:val="single" w:sz="8" w:color="0072AF"/>
            </w:tcBorders>
          </w:tcPr>
          <w:p>
            <w:pPr>
              <w:ind w:left="100"/>
              <w:spacing w:after="0"/>
              <w:rPr>
                <w:sz w:val="20"/>
                <w:szCs w:val="20"/>
                <w:color w:val="auto"/>
              </w:rPr>
            </w:pPr>
            <w:r>
              <w:rPr>
                <w:rFonts w:ascii="Arial" w:cs="Arial" w:eastAsia="Arial" w:hAnsi="Arial"/>
                <w:sz w:val="16"/>
                <w:szCs w:val="16"/>
                <w:b w:val="1"/>
                <w:bCs w:val="1"/>
                <w:color w:val="auto"/>
              </w:rPr>
              <w:t>Gregg Zegras</w:t>
            </w:r>
          </w:p>
        </w:tc>
        <w:tc>
          <w:tcPr>
            <w:tcW w:w="1140" w:type="dxa"/>
            <w:vAlign w:val="bottom"/>
            <w:tcBorders>
              <w:bottom w:val="single" w:sz="8" w:color="0072AF"/>
            </w:tcBorders>
            <w:shd w:val="clear" w:color="auto" w:fill="CBCEE0"/>
          </w:tcPr>
          <w:p>
            <w:pPr>
              <w:jc w:val="center"/>
              <w:ind w:left="284"/>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0072AF"/>
              <w:right w:val="single" w:sz="8" w:color="0072AF"/>
            </w:tcBorders>
            <w:shd w:val="clear" w:color="auto" w:fill="CBCEE0"/>
          </w:tcPr>
          <w:p>
            <w:pPr>
              <w:jc w:val="center"/>
              <w:ind w:left="275"/>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2AF"/>
            </w:tcBorders>
            <w:shd w:val="clear" w:color="auto" w:fill="CBCEE0"/>
          </w:tcPr>
          <w:p>
            <w:pPr>
              <w:ind w:left="520"/>
              <w:spacing w:after="0"/>
              <w:rPr>
                <w:sz w:val="20"/>
                <w:szCs w:val="20"/>
                <w:color w:val="auto"/>
              </w:rPr>
            </w:pPr>
            <w:r>
              <w:rPr>
                <w:rFonts w:ascii="Arial" w:cs="Arial" w:eastAsia="Arial" w:hAnsi="Arial"/>
                <w:sz w:val="16"/>
                <w:szCs w:val="16"/>
                <w:color w:val="auto"/>
              </w:rPr>
              <w:t>26,983</w:t>
            </w:r>
            <w:r>
              <w:rPr>
                <w:rFonts w:ascii="Arial" w:cs="Arial" w:eastAsia="Arial" w:hAnsi="Arial"/>
                <w:sz w:val="26"/>
                <w:szCs w:val="26"/>
                <w:color w:val="auto"/>
                <w:vertAlign w:val="superscript"/>
              </w:rPr>
              <w:t>(3)</w:t>
            </w:r>
          </w:p>
        </w:tc>
        <w:tc>
          <w:tcPr>
            <w:tcW w:w="1420" w:type="dxa"/>
            <w:vAlign w:val="bottom"/>
            <w:tcBorders>
              <w:bottom w:val="single" w:sz="8" w:color="0072AF"/>
            </w:tcBorders>
            <w:shd w:val="clear" w:color="auto" w:fill="CBCEE0"/>
          </w:tcPr>
          <w:p>
            <w:pPr>
              <w:ind w:left="600"/>
              <w:spacing w:after="0"/>
              <w:rPr>
                <w:sz w:val="20"/>
                <w:szCs w:val="20"/>
                <w:color w:val="auto"/>
              </w:rPr>
            </w:pPr>
            <w:r>
              <w:rPr>
                <w:rFonts w:ascii="Arial" w:cs="Arial" w:eastAsia="Arial" w:hAnsi="Arial"/>
                <w:sz w:val="16"/>
                <w:szCs w:val="16"/>
                <w:color w:val="auto"/>
              </w:rPr>
              <w:t>110,761</w:t>
            </w:r>
          </w:p>
        </w:tc>
      </w:tr>
      <w:tr>
        <w:trPr>
          <w:trHeight w:val="439"/>
        </w:trPr>
        <w:tc>
          <w:tcPr>
            <w:tcW w:w="2980" w:type="dxa"/>
            <w:vAlign w:val="bottom"/>
            <w:tcBorders>
              <w:bottom w:val="single" w:sz="8" w:color="0072AF"/>
              <w:right w:val="single" w:sz="8" w:color="0072AF"/>
            </w:tcBorders>
          </w:tcPr>
          <w:p>
            <w:pPr>
              <w:ind w:left="100"/>
              <w:spacing w:after="0"/>
              <w:rPr>
                <w:sz w:val="20"/>
                <w:szCs w:val="20"/>
                <w:color w:val="auto"/>
              </w:rPr>
            </w:pPr>
            <w:r>
              <w:rPr>
                <w:rFonts w:ascii="Arial" w:cs="Arial" w:eastAsia="Arial" w:hAnsi="Arial"/>
                <w:sz w:val="16"/>
                <w:szCs w:val="16"/>
                <w:b w:val="1"/>
                <w:bCs w:val="1"/>
                <w:color w:val="auto"/>
              </w:rPr>
              <w:t>Daniel J. Goldstein</w:t>
            </w:r>
          </w:p>
        </w:tc>
        <w:tc>
          <w:tcPr>
            <w:tcW w:w="1140" w:type="dxa"/>
            <w:vAlign w:val="bottom"/>
            <w:tcBorders>
              <w:bottom w:val="single" w:sz="8" w:color="0072AF"/>
            </w:tcBorders>
          </w:tcPr>
          <w:p>
            <w:pPr>
              <w:jc w:val="center"/>
              <w:ind w:left="284"/>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0072AF"/>
              <w:right w:val="single" w:sz="8" w:color="0072AF"/>
            </w:tcBorders>
          </w:tcPr>
          <w:p>
            <w:pPr>
              <w:jc w:val="center"/>
              <w:ind w:left="275"/>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2AF"/>
            </w:tcBorders>
          </w:tcPr>
          <w:p>
            <w:pPr>
              <w:ind w:left="520"/>
              <w:spacing w:after="0"/>
              <w:rPr>
                <w:sz w:val="20"/>
                <w:szCs w:val="20"/>
                <w:color w:val="auto"/>
              </w:rPr>
            </w:pPr>
            <w:r>
              <w:rPr>
                <w:rFonts w:ascii="Arial" w:cs="Arial" w:eastAsia="Arial" w:hAnsi="Arial"/>
                <w:sz w:val="16"/>
                <w:szCs w:val="16"/>
                <w:color w:val="auto"/>
              </w:rPr>
              <w:t>20,454</w:t>
            </w:r>
            <w:r>
              <w:rPr>
                <w:rFonts w:ascii="Arial" w:cs="Arial" w:eastAsia="Arial" w:hAnsi="Arial"/>
                <w:sz w:val="26"/>
                <w:szCs w:val="26"/>
                <w:color w:val="auto"/>
                <w:vertAlign w:val="superscript"/>
              </w:rPr>
              <w:t>(4)</w:t>
            </w:r>
          </w:p>
        </w:tc>
        <w:tc>
          <w:tcPr>
            <w:tcW w:w="1420" w:type="dxa"/>
            <w:vAlign w:val="bottom"/>
            <w:tcBorders>
              <w:bottom w:val="single" w:sz="8" w:color="0072AF"/>
            </w:tcBorders>
          </w:tcPr>
          <w:p>
            <w:pPr>
              <w:ind w:left="680"/>
              <w:spacing w:after="0"/>
              <w:rPr>
                <w:sz w:val="20"/>
                <w:szCs w:val="20"/>
                <w:color w:val="auto"/>
              </w:rPr>
            </w:pPr>
            <w:r>
              <w:rPr>
                <w:rFonts w:ascii="Arial" w:cs="Arial" w:eastAsia="Arial" w:hAnsi="Arial"/>
                <w:sz w:val="16"/>
                <w:szCs w:val="16"/>
                <w:color w:val="auto"/>
              </w:rPr>
              <w:t>83,658</w:t>
            </w:r>
          </w:p>
        </w:tc>
      </w:tr>
      <w:tr>
        <w:trPr>
          <w:trHeight w:val="310"/>
        </w:trPr>
        <w:tc>
          <w:tcPr>
            <w:tcW w:w="2980" w:type="dxa"/>
            <w:vAlign w:val="bottom"/>
            <w:tcBorders>
              <w:right w:val="single" w:sz="8" w:color="0072AF"/>
            </w:tcBorders>
          </w:tcPr>
          <w:p>
            <w:pPr>
              <w:ind w:left="100"/>
              <w:spacing w:after="0"/>
              <w:rPr>
                <w:sz w:val="20"/>
                <w:szCs w:val="20"/>
                <w:color w:val="auto"/>
              </w:rPr>
            </w:pPr>
            <w:r>
              <w:rPr>
                <w:rFonts w:ascii="Arial" w:cs="Arial" w:eastAsia="Arial" w:hAnsi="Arial"/>
                <w:sz w:val="16"/>
                <w:szCs w:val="16"/>
                <w:b w:val="1"/>
                <w:bCs w:val="1"/>
                <w:color w:val="auto"/>
              </w:rPr>
              <w:t>James Fairweather</w:t>
            </w:r>
          </w:p>
        </w:tc>
        <w:tc>
          <w:tcPr>
            <w:tcW w:w="1140" w:type="dxa"/>
            <w:vAlign w:val="bottom"/>
            <w:shd w:val="clear" w:color="auto" w:fill="CBCEE0"/>
          </w:tcPr>
          <w:p>
            <w:pPr>
              <w:jc w:val="center"/>
              <w:ind w:left="284"/>
              <w:spacing w:after="0"/>
              <w:rPr>
                <w:sz w:val="20"/>
                <w:szCs w:val="20"/>
                <w:color w:val="auto"/>
              </w:rPr>
            </w:pPr>
            <w:r>
              <w:rPr>
                <w:rFonts w:ascii="Arial" w:cs="Arial" w:eastAsia="Arial" w:hAnsi="Arial"/>
                <w:sz w:val="16"/>
                <w:szCs w:val="16"/>
                <w:color w:val="auto"/>
              </w:rPr>
              <w:t>-</w:t>
            </w:r>
          </w:p>
        </w:tc>
        <w:tc>
          <w:tcPr>
            <w:tcW w:w="2100" w:type="dxa"/>
            <w:vAlign w:val="bottom"/>
            <w:tcBorders>
              <w:right w:val="single" w:sz="8" w:color="0072AF"/>
            </w:tcBorders>
            <w:shd w:val="clear" w:color="auto" w:fill="CBCEE0"/>
          </w:tcPr>
          <w:p>
            <w:pPr>
              <w:jc w:val="center"/>
              <w:ind w:left="275"/>
              <w:spacing w:after="0"/>
              <w:rPr>
                <w:sz w:val="20"/>
                <w:szCs w:val="20"/>
                <w:color w:val="auto"/>
              </w:rPr>
            </w:pPr>
            <w:r>
              <w:rPr>
                <w:rFonts w:ascii="Arial" w:cs="Arial" w:eastAsia="Arial" w:hAnsi="Arial"/>
                <w:sz w:val="16"/>
                <w:szCs w:val="16"/>
                <w:color w:val="auto"/>
              </w:rPr>
              <w:t>-</w:t>
            </w:r>
          </w:p>
        </w:tc>
        <w:tc>
          <w:tcPr>
            <w:tcW w:w="1540" w:type="dxa"/>
            <w:vAlign w:val="bottom"/>
            <w:shd w:val="clear" w:color="auto" w:fill="CBCEE0"/>
          </w:tcPr>
          <w:p>
            <w:pPr>
              <w:ind w:left="520"/>
              <w:spacing w:after="0"/>
              <w:rPr>
                <w:sz w:val="20"/>
                <w:szCs w:val="20"/>
                <w:color w:val="auto"/>
              </w:rPr>
            </w:pPr>
            <w:r>
              <w:rPr>
                <w:rFonts w:ascii="Arial" w:cs="Arial" w:eastAsia="Arial" w:hAnsi="Arial"/>
                <w:sz w:val="16"/>
                <w:szCs w:val="16"/>
                <w:color w:val="auto"/>
              </w:rPr>
              <w:t>77,152</w:t>
            </w:r>
          </w:p>
        </w:tc>
        <w:tc>
          <w:tcPr>
            <w:tcW w:w="1420" w:type="dxa"/>
            <w:vAlign w:val="bottom"/>
            <w:shd w:val="clear" w:color="auto" w:fill="CBCEE0"/>
          </w:tcPr>
          <w:p>
            <w:pPr>
              <w:ind w:left="600"/>
              <w:spacing w:after="0"/>
              <w:rPr>
                <w:sz w:val="20"/>
                <w:szCs w:val="20"/>
                <w:color w:val="auto"/>
              </w:rPr>
            </w:pPr>
            <w:r>
              <w:rPr>
                <w:rFonts w:ascii="Arial" w:cs="Arial" w:eastAsia="Arial" w:hAnsi="Arial"/>
                <w:sz w:val="16"/>
                <w:szCs w:val="16"/>
                <w:color w:val="auto"/>
              </w:rPr>
              <w:t>315,216</w:t>
            </w:r>
          </w:p>
        </w:tc>
      </w:tr>
      <w:tr>
        <w:trPr>
          <w:trHeight w:val="89"/>
        </w:trPr>
        <w:tc>
          <w:tcPr>
            <w:tcW w:w="2980" w:type="dxa"/>
            <w:vAlign w:val="bottom"/>
            <w:tcBorders>
              <w:bottom w:val="single" w:sz="8" w:color="0072AF"/>
              <w:right w:val="single" w:sz="8" w:color="0072AF"/>
            </w:tcBorders>
          </w:tcPr>
          <w:p>
            <w:pPr>
              <w:spacing w:after="0"/>
              <w:rPr>
                <w:sz w:val="7"/>
                <w:szCs w:val="7"/>
                <w:color w:val="auto"/>
              </w:rPr>
            </w:pPr>
          </w:p>
        </w:tc>
        <w:tc>
          <w:tcPr>
            <w:tcW w:w="1140" w:type="dxa"/>
            <w:vAlign w:val="bottom"/>
            <w:tcBorders>
              <w:bottom w:val="single" w:sz="8" w:color="0072AF"/>
            </w:tcBorders>
            <w:shd w:val="clear" w:color="auto" w:fill="CBCEE0"/>
          </w:tcPr>
          <w:p>
            <w:pPr>
              <w:spacing w:after="0"/>
              <w:rPr>
                <w:sz w:val="7"/>
                <w:szCs w:val="7"/>
                <w:color w:val="auto"/>
              </w:rPr>
            </w:pPr>
          </w:p>
        </w:tc>
        <w:tc>
          <w:tcPr>
            <w:tcW w:w="2100" w:type="dxa"/>
            <w:vAlign w:val="bottom"/>
            <w:tcBorders>
              <w:bottom w:val="single" w:sz="8" w:color="0072AF"/>
              <w:right w:val="single" w:sz="8" w:color="0072AF"/>
            </w:tcBorders>
            <w:shd w:val="clear" w:color="auto" w:fill="CBCEE0"/>
          </w:tcPr>
          <w:p>
            <w:pPr>
              <w:spacing w:after="0"/>
              <w:rPr>
                <w:sz w:val="7"/>
                <w:szCs w:val="7"/>
                <w:color w:val="auto"/>
              </w:rPr>
            </w:pPr>
          </w:p>
        </w:tc>
        <w:tc>
          <w:tcPr>
            <w:tcW w:w="1540" w:type="dxa"/>
            <w:vAlign w:val="bottom"/>
            <w:tcBorders>
              <w:bottom w:val="single" w:sz="8" w:color="0072AF"/>
            </w:tcBorders>
            <w:shd w:val="clear" w:color="auto" w:fill="CBCEE0"/>
          </w:tcPr>
          <w:p>
            <w:pPr>
              <w:spacing w:after="0"/>
              <w:rPr>
                <w:sz w:val="7"/>
                <w:szCs w:val="7"/>
                <w:color w:val="auto"/>
              </w:rPr>
            </w:pPr>
          </w:p>
        </w:tc>
        <w:tc>
          <w:tcPr>
            <w:tcW w:w="1420" w:type="dxa"/>
            <w:vAlign w:val="bottom"/>
            <w:tcBorders>
              <w:bottom w:val="single" w:sz="8" w:color="0072AF"/>
            </w:tcBorders>
            <w:shd w:val="clear" w:color="auto" w:fill="CBCEE0"/>
          </w:tcPr>
          <w:p>
            <w:pPr>
              <w:spacing w:after="0"/>
              <w:rPr>
                <w:sz w:val="7"/>
                <w:szCs w:val="7"/>
                <w:color w:val="auto"/>
              </w:rPr>
            </w:pPr>
          </w:p>
        </w:tc>
      </w:tr>
      <w:tr>
        <w:trPr>
          <w:trHeight w:val="439"/>
        </w:trPr>
        <w:tc>
          <w:tcPr>
            <w:tcW w:w="2980" w:type="dxa"/>
            <w:vAlign w:val="bottom"/>
            <w:tcBorders>
              <w:bottom w:val="single" w:sz="8" w:color="0072AF"/>
              <w:right w:val="single" w:sz="8" w:color="0072AF"/>
            </w:tcBorders>
          </w:tcPr>
          <w:p>
            <w:pPr>
              <w:ind w:left="100"/>
              <w:spacing w:after="0"/>
              <w:rPr>
                <w:sz w:val="20"/>
                <w:szCs w:val="20"/>
                <w:color w:val="auto"/>
              </w:rPr>
            </w:pPr>
            <w:r>
              <w:rPr>
                <w:rFonts w:ascii="Arial" w:cs="Arial" w:eastAsia="Arial" w:hAnsi="Arial"/>
                <w:sz w:val="16"/>
                <w:szCs w:val="16"/>
                <w:b w:val="1"/>
                <w:bCs w:val="1"/>
                <w:color w:val="auto"/>
              </w:rPr>
              <w:t>Marc B. Lautenbach</w:t>
            </w:r>
          </w:p>
        </w:tc>
        <w:tc>
          <w:tcPr>
            <w:tcW w:w="1140" w:type="dxa"/>
            <w:vAlign w:val="bottom"/>
            <w:tcBorders>
              <w:bottom w:val="single" w:sz="8" w:color="0072AF"/>
            </w:tcBorders>
          </w:tcPr>
          <w:p>
            <w:pPr>
              <w:jc w:val="center"/>
              <w:ind w:left="284"/>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0072AF"/>
              <w:right w:val="single" w:sz="8" w:color="0072AF"/>
            </w:tcBorders>
          </w:tcPr>
          <w:p>
            <w:pPr>
              <w:jc w:val="center"/>
              <w:ind w:left="275"/>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72AF"/>
            </w:tcBorders>
          </w:tcPr>
          <w:p>
            <w:pPr>
              <w:ind w:left="440"/>
              <w:spacing w:after="0"/>
              <w:rPr>
                <w:sz w:val="20"/>
                <w:szCs w:val="20"/>
                <w:color w:val="auto"/>
              </w:rPr>
            </w:pPr>
            <w:r>
              <w:rPr>
                <w:rFonts w:ascii="Arial" w:cs="Arial" w:eastAsia="Arial" w:hAnsi="Arial"/>
                <w:sz w:val="16"/>
                <w:szCs w:val="16"/>
                <w:color w:val="auto"/>
              </w:rPr>
              <w:t>214,853</w:t>
            </w:r>
            <w:r>
              <w:rPr>
                <w:rFonts w:ascii="Arial" w:cs="Arial" w:eastAsia="Arial" w:hAnsi="Arial"/>
                <w:sz w:val="26"/>
                <w:szCs w:val="26"/>
                <w:color w:val="auto"/>
                <w:vertAlign w:val="superscript"/>
              </w:rPr>
              <w:t>(5)</w:t>
            </w:r>
          </w:p>
        </w:tc>
        <w:tc>
          <w:tcPr>
            <w:tcW w:w="1420" w:type="dxa"/>
            <w:vAlign w:val="bottom"/>
            <w:tcBorders>
              <w:bottom w:val="single" w:sz="8" w:color="0072AF"/>
            </w:tcBorders>
          </w:tcPr>
          <w:p>
            <w:pPr>
              <w:ind w:left="600"/>
              <w:spacing w:after="0"/>
              <w:rPr>
                <w:sz w:val="20"/>
                <w:szCs w:val="20"/>
                <w:color w:val="auto"/>
              </w:rPr>
            </w:pPr>
            <w:r>
              <w:rPr>
                <w:rFonts w:ascii="Arial" w:cs="Arial" w:eastAsia="Arial" w:hAnsi="Arial"/>
                <w:sz w:val="16"/>
                <w:szCs w:val="16"/>
                <w:color w:val="auto"/>
              </w:rPr>
              <w:t>829,025</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jc w:val="both"/>
        <w:ind w:left="340" w:right="20"/>
        <w:spacing w:after="0" w:line="233" w:lineRule="auto"/>
        <w:rPr>
          <w:sz w:val="20"/>
          <w:szCs w:val="20"/>
          <w:color w:val="auto"/>
        </w:rPr>
      </w:pPr>
      <w:r>
        <w:rPr>
          <w:rFonts w:ascii="Arial" w:cs="Arial" w:eastAsia="Arial" w:hAnsi="Arial"/>
          <w:sz w:val="14"/>
          <w:szCs w:val="14"/>
          <w:color w:val="auto"/>
        </w:rPr>
        <w:t>Performance-based RSUs granted in 2020 had a pro-rata vesting on February 14, 2023; performance-based RSUs granted in 2021 had a pro-rata vesting on March 14, 2023 and a vesting for outstanding shares as of October 1, 2023 for Mr. Lautenbach, who was retirement eligible at the time of his departure from the Company and therefore his third tranche fully vested as of the last day worked. Time-based special RSUs granted in 2021 had a pro-rata vesting on February 16, 2023. Figures reported include shares withheld to cover taxes.</w:t>
      </w:r>
    </w:p>
    <w:p>
      <w:pPr>
        <w:spacing w:after="0" w:line="200" w:lineRule="auto"/>
        <w:rPr>
          <w:sz w:val="20"/>
          <w:szCs w:val="20"/>
          <w:color w:val="auto"/>
        </w:rPr>
      </w:pPr>
      <w:r>
        <w:rPr>
          <w:rFonts w:ascii="Arial" w:cs="Arial" w:eastAsia="Arial" w:hAnsi="Arial"/>
          <w:sz w:val="8"/>
          <w:szCs w:val="8"/>
          <w:color w:val="auto"/>
        </w:rPr>
        <w:t>(2)</w:t>
      </w:r>
    </w:p>
    <w:p>
      <w:pPr>
        <w:jc w:val="both"/>
        <w:ind w:left="340" w:right="20"/>
        <w:spacing w:after="0" w:line="230" w:lineRule="auto"/>
        <w:rPr>
          <w:sz w:val="20"/>
          <w:szCs w:val="20"/>
          <w:color w:val="auto"/>
        </w:rPr>
      </w:pPr>
      <w:r>
        <w:rPr>
          <w:rFonts w:ascii="Arial" w:cs="Arial" w:eastAsia="Arial" w:hAnsi="Arial"/>
          <w:sz w:val="14"/>
          <w:szCs w:val="14"/>
          <w:color w:val="auto"/>
        </w:rPr>
        <w:t>These values were determined based on the average of the high and low trading price of $4.26 on the February 14, 2023 vesting date; $4.255 on the February 16, 2023 vesting date; $3.82 on the March 14, 2023 vesting date; and $3.06 on September 29, 2023, the last trading day prior to the October 1, 2023 vesting date.</w:t>
      </w:r>
    </w:p>
    <w:p>
      <w:pPr>
        <w:spacing w:after="0" w:line="201" w:lineRule="auto"/>
        <w:rPr>
          <w:sz w:val="20"/>
          <w:szCs w:val="20"/>
          <w:color w:val="auto"/>
        </w:rPr>
      </w:pPr>
      <w:r>
        <w:rPr>
          <w:rFonts w:ascii="Arial" w:cs="Arial" w:eastAsia="Arial" w:hAnsi="Arial"/>
          <w:sz w:val="8"/>
          <w:szCs w:val="8"/>
          <w:color w:val="auto"/>
        </w:rPr>
        <w:t>(3)</w:t>
      </w:r>
    </w:p>
    <w:p>
      <w:pPr>
        <w:jc w:val="both"/>
        <w:ind w:left="340"/>
        <w:spacing w:after="0" w:line="230" w:lineRule="auto"/>
        <w:rPr>
          <w:sz w:val="20"/>
          <w:szCs w:val="20"/>
          <w:color w:val="auto"/>
        </w:rPr>
      </w:pPr>
      <w:r>
        <w:rPr>
          <w:rFonts w:ascii="Arial" w:cs="Arial" w:eastAsia="Arial" w:hAnsi="Arial"/>
          <w:sz w:val="14"/>
          <w:szCs w:val="14"/>
          <w:color w:val="auto"/>
        </w:rPr>
        <w:t>The figures reported for Mr. Zegras also include 9,111 deferred shares from the 2021 RSU grant; all of which are also reflected in the Nonqualified Deferred Compensation Table as 2023 contributions. The receipt of these has been deferred until six months following Mr. Zegras’ termination or retirement from the Company.</w:t>
      </w:r>
    </w:p>
    <w:p>
      <w:pPr>
        <w:spacing w:after="0" w:line="201" w:lineRule="auto"/>
        <w:rPr>
          <w:sz w:val="20"/>
          <w:szCs w:val="20"/>
          <w:color w:val="auto"/>
        </w:rPr>
      </w:pPr>
      <w:r>
        <w:rPr>
          <w:rFonts w:ascii="Arial" w:cs="Arial" w:eastAsia="Arial" w:hAnsi="Arial"/>
          <w:sz w:val="8"/>
          <w:szCs w:val="8"/>
          <w:color w:val="auto"/>
        </w:rPr>
        <w:t>(4)</w:t>
      </w:r>
    </w:p>
    <w:p>
      <w:pPr>
        <w:jc w:val="both"/>
        <w:ind w:left="340" w:right="20"/>
        <w:spacing w:after="0" w:line="230" w:lineRule="auto"/>
        <w:rPr>
          <w:sz w:val="20"/>
          <w:szCs w:val="20"/>
          <w:color w:val="auto"/>
        </w:rPr>
      </w:pPr>
      <w:r>
        <w:rPr>
          <w:rFonts w:ascii="Arial" w:cs="Arial" w:eastAsia="Arial" w:hAnsi="Arial"/>
          <w:sz w:val="14"/>
          <w:szCs w:val="14"/>
          <w:color w:val="auto"/>
        </w:rPr>
        <w:t>The figures reported for Mr. Goldstein also include 11,199 deferred shares from the 2020 RSU grant; all of which are also reflected in the Nonqualified Deferred Compensation Table as 2023 contributions. The receipt of these has been deferred until six months following Mr. Goldstein’s termination or retirement from the Company.</w:t>
      </w:r>
    </w:p>
    <w:p>
      <w:pPr>
        <w:spacing w:after="0" w:line="201" w:lineRule="auto"/>
        <w:rPr>
          <w:sz w:val="20"/>
          <w:szCs w:val="20"/>
          <w:color w:val="auto"/>
        </w:rPr>
      </w:pPr>
      <w:r>
        <w:rPr>
          <w:rFonts w:ascii="Arial" w:cs="Arial" w:eastAsia="Arial" w:hAnsi="Arial"/>
          <w:sz w:val="8"/>
          <w:szCs w:val="8"/>
          <w:color w:val="auto"/>
        </w:rPr>
        <w:t>(5)</w:t>
      </w:r>
    </w:p>
    <w:p>
      <w:pPr>
        <w:jc w:val="both"/>
        <w:ind w:left="340" w:right="20"/>
        <w:spacing w:after="0" w:line="252" w:lineRule="auto"/>
        <w:rPr>
          <w:sz w:val="20"/>
          <w:szCs w:val="20"/>
          <w:color w:val="auto"/>
        </w:rPr>
      </w:pPr>
      <w:r>
        <w:rPr>
          <w:rFonts w:ascii="Arial" w:cs="Arial" w:eastAsia="Arial" w:hAnsi="Arial"/>
          <w:sz w:val="14"/>
          <w:szCs w:val="14"/>
          <w:color w:val="auto"/>
        </w:rPr>
        <w:t>The figures reported for Mr. Lautenbach also include 105,253 deferred shares from the 2020 RSU grant and 102,244 deferred shares from the 2021 RSU grant; all of which are also reflected in the Nonqualified Deferred Compensation Table as 2023 contributions. The receipt of these has been deferred until April 1, 2024, six months following termination or retirement from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Pension Benefits</w:t>
      </w:r>
    </w:p>
    <w:p>
      <w:pPr>
        <w:spacing w:after="0" w:line="175"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 xml:space="preserve">The qualified Pension Plan and nonqualified Pension Restoration Plan were frozen for all participants by December 31, 2014. There are no further accruals under the qualified Pension Plan or the nonqualified Pension Restoration Plan, except as required by law. For additional information, please see discussion under “Other Indirect Compensation” on page </w:t>
      </w:r>
      <w:r>
        <w:rPr>
          <w:rFonts w:ascii="Arial" w:cs="Arial" w:eastAsia="Arial" w:hAnsi="Arial"/>
          <w:sz w:val="18"/>
          <w:szCs w:val="18"/>
          <w:u w:val="single" w:color="auto"/>
          <w:color w:val="0000EE"/>
        </w:rPr>
        <w:t>68</w:t>
      </w:r>
      <w:r>
        <w:rPr>
          <w:rFonts w:ascii="Arial" w:cs="Arial" w:eastAsia="Arial" w:hAnsi="Arial"/>
          <w:sz w:val="18"/>
          <w:szCs w:val="18"/>
          <w:color w:val="auto"/>
        </w:rPr>
        <w:t xml:space="preserve"> of this Proxy Statement. Mr. Goldstein and Mr. Fairweather are the only pension-eligible NEOs and are fully vested in their pension benefits.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table provides information regarding the present value of accumulated pension benefits. It includes data regarding the Pitney Bowes Pension Plan and the Pension Restoration Plan. The Pitney Bowes Pension Plan is a broad-based tax-qualified plan under which employees hired prior to January 1, 2005 are generally eligible to retire with unreduced benefits at age 65. The Pension Restoration Plan is a nonqualified defined benefit plan, which provides benefits to employees who participate in the qualified Pension Plan with compensation greater than the applicable IRC compensation limit for the corresponding plan year, and to those employees who defer portions of their compensation under the DISP. The Pension Restoration Plan mirrors the formula in the qualified Pension Plan and does not provide above-market interest rates on deferred compensation.</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amounts reported in the table below equal the present value of the accumulated benefit on December 31, 2023 under the Pitney Bowes pension plans determined based on years of service and covered earnings (as described below). The present value has been calculated based on benefits payable commencing upon the executive attaining age 65, and in an amount consistent with the assumptions as described in Note 13 to the consolidated financial statements included in the 2023 Form 10-K.</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81" w:name="page82"/>
    <w:bookmarkEnd w:id="81"/>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EXECUTIVE COMPENSATION TABLES AND RELATED NARRATIVE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7" w:lineRule="exact"/>
        <w:rPr>
          <w:sz w:val="20"/>
          <w:szCs w:val="20"/>
          <w:color w:val="auto"/>
        </w:rPr>
      </w:pPr>
    </w:p>
    <w:p>
      <w:pPr>
        <w:ind w:left="546" w:hanging="546"/>
        <w:spacing w:after="0"/>
        <w:tabs>
          <w:tab w:leader="none" w:pos="546" w:val="left"/>
        </w:tabs>
        <w:numPr>
          <w:ilvl w:val="0"/>
          <w:numId w:val="55"/>
        </w:numPr>
        <w:rPr>
          <w:rFonts w:ascii="Arial" w:cs="Arial" w:eastAsia="Arial" w:hAnsi="Arial"/>
          <w:sz w:val="36"/>
          <w:szCs w:val="36"/>
          <w:color w:val="auto"/>
          <w:vertAlign w:val="subscript"/>
        </w:rPr>
      </w:pPr>
      <w:r>
        <w:rPr>
          <w:rFonts w:ascii="Arial" w:cs="Arial" w:eastAsia="Arial" w:hAnsi="Arial"/>
          <w:sz w:val="29"/>
          <w:szCs w:val="29"/>
          <w:b w:val="1"/>
          <w:bCs w:val="1"/>
          <w:color w:val="0072AF"/>
        </w:rPr>
        <w:t>PENSION BENEFITS TABLE AS OF DECEMBER 31, 2023</w:t>
      </w:r>
      <w:r>
        <w:rPr>
          <w:rFonts w:ascii="Arial" w:cs="Arial" w:eastAsia="Arial" w:hAnsi="Arial"/>
          <w:sz w:val="47"/>
          <w:szCs w:val="47"/>
          <w:b w:val="1"/>
          <w:bCs w:val="1"/>
          <w:color w:val="0072A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58293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72" w:lineRule="exact"/>
        <w:rPr>
          <w:sz w:val="20"/>
          <w:szCs w:val="20"/>
          <w:color w:val="auto"/>
        </w:rPr>
      </w:pPr>
    </w:p>
    <w:tbl>
      <w:tblPr>
        <w:tblLayout w:type="fixed"/>
        <w:tblInd w:w="6" w:type="dxa"/>
        <w:tblCellMar>
          <w:top w:w="0" w:type="dxa"/>
          <w:left w:w="0" w:type="dxa"/>
          <w:bottom w:w="0" w:type="dxa"/>
          <w:right w:w="0" w:type="dxa"/>
        </w:tblCellMar>
      </w:tblPr>
      <w:tr>
        <w:trPr>
          <w:trHeight w:val="263"/>
        </w:trPr>
        <w:tc>
          <w:tcPr>
            <w:tcW w:w="1700" w:type="dxa"/>
            <w:vAlign w:val="bottom"/>
            <w:tcBorders>
              <w:top w:val="single" w:sz="8" w:color="0072AF"/>
              <w:right w:val="single" w:sz="8" w:color="0072AF"/>
            </w:tcBorders>
          </w:tcPr>
          <w:p>
            <w:pPr>
              <w:spacing w:after="0"/>
              <w:rPr>
                <w:sz w:val="22"/>
                <w:szCs w:val="22"/>
                <w:color w:val="auto"/>
              </w:rPr>
            </w:pPr>
          </w:p>
        </w:tc>
        <w:tc>
          <w:tcPr>
            <w:tcW w:w="2940" w:type="dxa"/>
            <w:vAlign w:val="bottom"/>
            <w:tcBorders>
              <w:top w:val="single" w:sz="8" w:color="0072AF"/>
            </w:tcBorders>
          </w:tcPr>
          <w:p>
            <w:pPr>
              <w:spacing w:after="0"/>
              <w:rPr>
                <w:sz w:val="22"/>
                <w:szCs w:val="22"/>
                <w:color w:val="auto"/>
              </w:rPr>
            </w:pPr>
          </w:p>
        </w:tc>
        <w:tc>
          <w:tcPr>
            <w:tcW w:w="1500" w:type="dxa"/>
            <w:vAlign w:val="bottom"/>
            <w:tcBorders>
              <w:top w:val="single" w:sz="8" w:color="0072AF"/>
            </w:tcBorders>
          </w:tcPr>
          <w:p>
            <w:pPr>
              <w:spacing w:after="0"/>
              <w:rPr>
                <w:sz w:val="22"/>
                <w:szCs w:val="22"/>
                <w:color w:val="auto"/>
              </w:rPr>
            </w:pPr>
          </w:p>
        </w:tc>
        <w:tc>
          <w:tcPr>
            <w:tcW w:w="1620" w:type="dxa"/>
            <w:vAlign w:val="bottom"/>
            <w:tcBorders>
              <w:top w:val="single" w:sz="8" w:color="0072AF"/>
            </w:tcBorders>
          </w:tcPr>
          <w:p>
            <w:pPr>
              <w:jc w:val="center"/>
              <w:spacing w:after="0"/>
              <w:rPr>
                <w:sz w:val="20"/>
                <w:szCs w:val="20"/>
                <w:color w:val="auto"/>
              </w:rPr>
            </w:pPr>
            <w:r>
              <w:rPr>
                <w:rFonts w:ascii="Arial" w:cs="Arial" w:eastAsia="Arial" w:hAnsi="Arial"/>
                <w:sz w:val="14"/>
                <w:szCs w:val="14"/>
                <w:b w:val="1"/>
                <w:bCs w:val="1"/>
                <w:color w:val="auto"/>
              </w:rPr>
              <w:t>Present Value of</w:t>
            </w:r>
          </w:p>
        </w:tc>
        <w:tc>
          <w:tcPr>
            <w:tcW w:w="1420" w:type="dxa"/>
            <w:vAlign w:val="bottom"/>
            <w:tcBorders>
              <w:top w:val="single" w:sz="8" w:color="0072AF"/>
            </w:tcBorders>
          </w:tcPr>
          <w:p>
            <w:pPr>
              <w:jc w:val="center"/>
              <w:spacing w:after="0"/>
              <w:rPr>
                <w:sz w:val="20"/>
                <w:szCs w:val="20"/>
                <w:color w:val="auto"/>
              </w:rPr>
            </w:pPr>
            <w:r>
              <w:rPr>
                <w:rFonts w:ascii="Arial" w:cs="Arial" w:eastAsia="Arial" w:hAnsi="Arial"/>
                <w:sz w:val="14"/>
                <w:szCs w:val="14"/>
                <w:b w:val="1"/>
                <w:bCs w:val="1"/>
                <w:color w:val="auto"/>
              </w:rPr>
              <w:t>Payments During</w:t>
            </w:r>
          </w:p>
        </w:tc>
      </w:tr>
      <w:tr>
        <w:trPr>
          <w:trHeight w:val="162"/>
        </w:trPr>
        <w:tc>
          <w:tcPr>
            <w:tcW w:w="1700" w:type="dxa"/>
            <w:vAlign w:val="bottom"/>
            <w:tcBorders>
              <w:right w:val="single" w:sz="8" w:color="0072AF"/>
            </w:tcBorders>
          </w:tcPr>
          <w:p>
            <w:pPr>
              <w:spacing w:after="0"/>
              <w:rPr>
                <w:sz w:val="14"/>
                <w:szCs w:val="14"/>
                <w:color w:val="auto"/>
              </w:rPr>
            </w:pPr>
          </w:p>
        </w:tc>
        <w:tc>
          <w:tcPr>
            <w:tcW w:w="2940" w:type="dxa"/>
            <w:vAlign w:val="bottom"/>
          </w:tcPr>
          <w:p>
            <w:pPr>
              <w:spacing w:after="0"/>
              <w:rPr>
                <w:sz w:val="14"/>
                <w:szCs w:val="14"/>
                <w:color w:val="auto"/>
              </w:rPr>
            </w:pPr>
          </w:p>
        </w:tc>
        <w:tc>
          <w:tcPr>
            <w:tcW w:w="1500" w:type="dxa"/>
            <w:vAlign w:val="bottom"/>
          </w:tcPr>
          <w:p>
            <w:pPr>
              <w:jc w:val="right"/>
              <w:ind w:right="122"/>
              <w:spacing w:after="0"/>
              <w:rPr>
                <w:sz w:val="20"/>
                <w:szCs w:val="20"/>
                <w:color w:val="auto"/>
              </w:rPr>
            </w:pPr>
            <w:r>
              <w:rPr>
                <w:rFonts w:ascii="Arial" w:cs="Arial" w:eastAsia="Arial" w:hAnsi="Arial"/>
                <w:sz w:val="14"/>
                <w:szCs w:val="14"/>
                <w:b w:val="1"/>
                <w:bCs w:val="1"/>
                <w:color w:val="auto"/>
              </w:rPr>
              <w:t>Number of Years</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Accumulated Benefit</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7"/>
              </w:rPr>
              <w:t>Last</w:t>
            </w:r>
          </w:p>
        </w:tc>
      </w:tr>
      <w:tr>
        <w:trPr>
          <w:trHeight w:val="297"/>
        </w:trPr>
        <w:tc>
          <w:tcPr>
            <w:tcW w:w="1700" w:type="dxa"/>
            <w:vAlign w:val="bottom"/>
            <w:tcBorders>
              <w:bottom w:val="single" w:sz="8" w:color="0072AF"/>
              <w:right w:val="single" w:sz="8" w:color="0072AF"/>
            </w:tcBorders>
          </w:tcPr>
          <w:p>
            <w:pPr>
              <w:ind w:left="100"/>
              <w:spacing w:after="0"/>
              <w:rPr>
                <w:sz w:val="20"/>
                <w:szCs w:val="20"/>
                <w:color w:val="auto"/>
              </w:rPr>
            </w:pPr>
            <w:r>
              <w:rPr>
                <w:rFonts w:ascii="Arial" w:cs="Arial" w:eastAsia="Arial" w:hAnsi="Arial"/>
                <w:sz w:val="14"/>
                <w:szCs w:val="14"/>
                <w:b w:val="1"/>
                <w:bCs w:val="1"/>
                <w:color w:val="auto"/>
              </w:rPr>
              <w:t>Name</w:t>
            </w:r>
          </w:p>
        </w:tc>
        <w:tc>
          <w:tcPr>
            <w:tcW w:w="2940" w:type="dxa"/>
            <w:vAlign w:val="bottom"/>
            <w:tcBorders>
              <w:bottom w:val="single" w:sz="8" w:color="0072AF"/>
            </w:tcBorders>
          </w:tcPr>
          <w:p>
            <w:pPr>
              <w:ind w:left="20"/>
              <w:spacing w:after="0"/>
              <w:rPr>
                <w:sz w:val="20"/>
                <w:szCs w:val="20"/>
                <w:color w:val="auto"/>
              </w:rPr>
            </w:pPr>
            <w:r>
              <w:rPr>
                <w:rFonts w:ascii="Arial" w:cs="Arial" w:eastAsia="Arial" w:hAnsi="Arial"/>
                <w:sz w:val="14"/>
                <w:szCs w:val="14"/>
                <w:b w:val="1"/>
                <w:bCs w:val="1"/>
                <w:color w:val="auto"/>
              </w:rPr>
              <w:t>Plan Name</w:t>
            </w:r>
          </w:p>
        </w:tc>
        <w:tc>
          <w:tcPr>
            <w:tcW w:w="1500" w:type="dxa"/>
            <w:vAlign w:val="bottom"/>
            <w:tcBorders>
              <w:bottom w:val="single" w:sz="8" w:color="0072AF"/>
            </w:tcBorders>
          </w:tcPr>
          <w:p>
            <w:pPr>
              <w:jc w:val="right"/>
              <w:ind w:right="2"/>
              <w:spacing w:after="0"/>
              <w:rPr>
                <w:sz w:val="20"/>
                <w:szCs w:val="20"/>
                <w:color w:val="auto"/>
              </w:rPr>
            </w:pPr>
            <w:r>
              <w:rPr>
                <w:rFonts w:ascii="Arial" w:cs="Arial" w:eastAsia="Arial" w:hAnsi="Arial"/>
                <w:sz w:val="14"/>
                <w:szCs w:val="14"/>
                <w:b w:val="1"/>
                <w:bCs w:val="1"/>
                <w:color w:val="auto"/>
              </w:rPr>
              <w:t>Credited Service (#)</w:t>
            </w:r>
          </w:p>
        </w:tc>
        <w:tc>
          <w:tcPr>
            <w:tcW w:w="1620" w:type="dxa"/>
            <w:vAlign w:val="bottom"/>
            <w:tcBorders>
              <w:bottom w:val="single" w:sz="8" w:color="0072AF"/>
            </w:tcBorders>
          </w:tcPr>
          <w:p>
            <w:pPr>
              <w:jc w:val="center"/>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(2)</w:t>
            </w:r>
          </w:p>
        </w:tc>
        <w:tc>
          <w:tcPr>
            <w:tcW w:w="1420" w:type="dxa"/>
            <w:vAlign w:val="bottom"/>
            <w:tcBorders>
              <w:bottom w:val="single" w:sz="8" w:color="0072AF"/>
            </w:tcBorders>
          </w:tcPr>
          <w:p>
            <w:pPr>
              <w:jc w:val="center"/>
              <w:spacing w:after="0"/>
              <w:rPr>
                <w:sz w:val="20"/>
                <w:szCs w:val="20"/>
                <w:color w:val="auto"/>
              </w:rPr>
            </w:pPr>
            <w:r>
              <w:rPr>
                <w:rFonts w:ascii="Arial" w:cs="Arial" w:eastAsia="Arial" w:hAnsi="Arial"/>
                <w:sz w:val="14"/>
                <w:szCs w:val="14"/>
                <w:b w:val="1"/>
                <w:bCs w:val="1"/>
                <w:color w:val="auto"/>
              </w:rPr>
              <w:t>Fiscal Year ($)</w:t>
            </w:r>
          </w:p>
        </w:tc>
      </w:tr>
      <w:tr>
        <w:trPr>
          <w:trHeight w:val="310"/>
        </w:trPr>
        <w:tc>
          <w:tcPr>
            <w:tcW w:w="1700" w:type="dxa"/>
            <w:vAlign w:val="bottom"/>
            <w:tcBorders>
              <w:right w:val="single" w:sz="8" w:color="0072AF"/>
            </w:tcBorders>
          </w:tcPr>
          <w:p>
            <w:pPr>
              <w:ind w:left="100"/>
              <w:spacing w:after="0"/>
              <w:rPr>
                <w:sz w:val="20"/>
                <w:szCs w:val="20"/>
                <w:color w:val="auto"/>
              </w:rPr>
            </w:pPr>
            <w:r>
              <w:rPr>
                <w:rFonts w:ascii="Arial" w:cs="Arial" w:eastAsia="Arial" w:hAnsi="Arial"/>
                <w:sz w:val="16"/>
                <w:szCs w:val="16"/>
                <w:b w:val="1"/>
                <w:bCs w:val="1"/>
                <w:color w:val="auto"/>
              </w:rPr>
              <w:t>Daniel J. Goldstein</w:t>
            </w:r>
          </w:p>
        </w:tc>
        <w:tc>
          <w:tcPr>
            <w:tcW w:w="2940" w:type="dxa"/>
            <w:vAlign w:val="bottom"/>
            <w:shd w:val="clear" w:color="auto" w:fill="CBCEE0"/>
          </w:tcPr>
          <w:p>
            <w:pPr>
              <w:ind w:left="20"/>
              <w:spacing w:after="0"/>
              <w:rPr>
                <w:sz w:val="20"/>
                <w:szCs w:val="20"/>
                <w:color w:val="auto"/>
              </w:rPr>
            </w:pPr>
            <w:r>
              <w:rPr>
                <w:rFonts w:ascii="Arial" w:cs="Arial" w:eastAsia="Arial" w:hAnsi="Arial"/>
                <w:sz w:val="16"/>
                <w:szCs w:val="16"/>
                <w:color w:val="auto"/>
              </w:rPr>
              <w:t>Pitney Bowes Pension Plan</w:t>
            </w:r>
          </w:p>
        </w:tc>
        <w:tc>
          <w:tcPr>
            <w:tcW w:w="1500" w:type="dxa"/>
            <w:vAlign w:val="bottom"/>
            <w:shd w:val="clear" w:color="auto" w:fill="CBCEE0"/>
          </w:tcPr>
          <w:p>
            <w:pPr>
              <w:jc w:val="right"/>
              <w:ind w:right="82"/>
              <w:spacing w:after="0"/>
              <w:rPr>
                <w:sz w:val="20"/>
                <w:szCs w:val="20"/>
                <w:color w:val="auto"/>
              </w:rPr>
            </w:pPr>
            <w:r>
              <w:rPr>
                <w:rFonts w:ascii="Arial" w:cs="Arial" w:eastAsia="Arial" w:hAnsi="Arial"/>
                <w:sz w:val="16"/>
                <w:szCs w:val="16"/>
                <w:color w:val="auto"/>
              </w:rPr>
              <w:t xml:space="preserve">8.92             </w:t>
            </w:r>
          </w:p>
        </w:tc>
        <w:tc>
          <w:tcPr>
            <w:tcW w:w="1620" w:type="dxa"/>
            <w:vAlign w:val="bottom"/>
            <w:shd w:val="clear" w:color="auto" w:fill="CBCEE0"/>
          </w:tcPr>
          <w:p>
            <w:pPr>
              <w:jc w:val="center"/>
              <w:spacing w:after="0"/>
              <w:rPr>
                <w:sz w:val="20"/>
                <w:szCs w:val="20"/>
                <w:color w:val="auto"/>
              </w:rPr>
            </w:pPr>
            <w:r>
              <w:rPr>
                <w:rFonts w:ascii="Arial" w:cs="Arial" w:eastAsia="Arial" w:hAnsi="Arial"/>
                <w:sz w:val="16"/>
                <w:szCs w:val="16"/>
                <w:color w:val="auto"/>
              </w:rPr>
              <w:t>155,744</w:t>
            </w:r>
          </w:p>
        </w:tc>
        <w:tc>
          <w:tcPr>
            <w:tcW w:w="1420" w:type="dxa"/>
            <w:vAlign w:val="bottom"/>
            <w:shd w:val="clear" w:color="auto" w:fill="CBCEE0"/>
          </w:tcPr>
          <w:p>
            <w:pPr>
              <w:jc w:val="center"/>
              <w:spacing w:after="0"/>
              <w:rPr>
                <w:sz w:val="20"/>
                <w:szCs w:val="20"/>
                <w:color w:val="auto"/>
              </w:rPr>
            </w:pPr>
            <w:r>
              <w:rPr>
                <w:rFonts w:ascii="Arial" w:cs="Arial" w:eastAsia="Arial" w:hAnsi="Arial"/>
                <w:sz w:val="16"/>
                <w:szCs w:val="16"/>
                <w:color w:val="auto"/>
              </w:rPr>
              <w:t>0</w:t>
            </w:r>
          </w:p>
        </w:tc>
      </w:tr>
      <w:tr>
        <w:trPr>
          <w:trHeight w:val="397"/>
        </w:trPr>
        <w:tc>
          <w:tcPr>
            <w:tcW w:w="1700" w:type="dxa"/>
            <w:vAlign w:val="bottom"/>
            <w:tcBorders>
              <w:right w:val="single" w:sz="8" w:color="0072AF"/>
            </w:tcBorders>
          </w:tcPr>
          <w:p>
            <w:pPr>
              <w:spacing w:after="0"/>
              <w:rPr>
                <w:sz w:val="24"/>
                <w:szCs w:val="24"/>
                <w:color w:val="auto"/>
              </w:rPr>
            </w:pPr>
          </w:p>
        </w:tc>
        <w:tc>
          <w:tcPr>
            <w:tcW w:w="2940" w:type="dxa"/>
            <w:vAlign w:val="bottom"/>
            <w:shd w:val="clear" w:color="auto" w:fill="CBCEE0"/>
          </w:tcPr>
          <w:p>
            <w:pPr>
              <w:ind w:left="20"/>
              <w:spacing w:after="0"/>
              <w:rPr>
                <w:sz w:val="20"/>
                <w:szCs w:val="20"/>
                <w:color w:val="auto"/>
              </w:rPr>
            </w:pPr>
            <w:r>
              <w:rPr>
                <w:rFonts w:ascii="Arial" w:cs="Arial" w:eastAsia="Arial" w:hAnsi="Arial"/>
                <w:sz w:val="16"/>
                <w:szCs w:val="16"/>
                <w:color w:val="auto"/>
              </w:rPr>
              <w:t>Pitney Bowes Pension Restoration Plan</w:t>
            </w:r>
          </w:p>
        </w:tc>
        <w:tc>
          <w:tcPr>
            <w:tcW w:w="1500" w:type="dxa"/>
            <w:vAlign w:val="bottom"/>
            <w:shd w:val="clear" w:color="auto" w:fill="CBCEE0"/>
          </w:tcPr>
          <w:p>
            <w:pPr>
              <w:jc w:val="right"/>
              <w:ind w:right="82"/>
              <w:spacing w:after="0"/>
              <w:rPr>
                <w:sz w:val="20"/>
                <w:szCs w:val="20"/>
                <w:color w:val="auto"/>
              </w:rPr>
            </w:pPr>
            <w:r>
              <w:rPr>
                <w:rFonts w:ascii="Arial" w:cs="Arial" w:eastAsia="Arial" w:hAnsi="Arial"/>
                <w:sz w:val="16"/>
                <w:szCs w:val="16"/>
                <w:color w:val="auto"/>
              </w:rPr>
              <w:t xml:space="preserve">8.92             </w:t>
            </w:r>
          </w:p>
        </w:tc>
        <w:tc>
          <w:tcPr>
            <w:tcW w:w="1620" w:type="dxa"/>
            <w:vAlign w:val="bottom"/>
            <w:shd w:val="clear" w:color="auto" w:fill="CBCEE0"/>
          </w:tcPr>
          <w:p>
            <w:pPr>
              <w:jc w:val="center"/>
              <w:spacing w:after="0"/>
              <w:rPr>
                <w:sz w:val="20"/>
                <w:szCs w:val="20"/>
                <w:color w:val="auto"/>
              </w:rPr>
            </w:pPr>
            <w:r>
              <w:rPr>
                <w:rFonts w:ascii="Arial" w:cs="Arial" w:eastAsia="Arial" w:hAnsi="Arial"/>
                <w:sz w:val="16"/>
                <w:szCs w:val="16"/>
                <w:color w:val="auto"/>
              </w:rPr>
              <w:t>100,759</w:t>
            </w:r>
          </w:p>
        </w:tc>
        <w:tc>
          <w:tcPr>
            <w:tcW w:w="1420" w:type="dxa"/>
            <w:vAlign w:val="bottom"/>
            <w:shd w:val="clear" w:color="auto" w:fill="CBCEE0"/>
          </w:tcPr>
          <w:p>
            <w:pPr>
              <w:jc w:val="center"/>
              <w:spacing w:after="0"/>
              <w:rPr>
                <w:sz w:val="20"/>
                <w:szCs w:val="20"/>
                <w:color w:val="auto"/>
              </w:rPr>
            </w:pPr>
            <w:r>
              <w:rPr>
                <w:rFonts w:ascii="Arial" w:cs="Arial" w:eastAsia="Arial" w:hAnsi="Arial"/>
                <w:sz w:val="16"/>
                <w:szCs w:val="16"/>
                <w:color w:val="auto"/>
              </w:rPr>
              <w:t>0</w:t>
            </w:r>
          </w:p>
        </w:tc>
      </w:tr>
      <w:tr>
        <w:trPr>
          <w:trHeight w:val="97"/>
        </w:trPr>
        <w:tc>
          <w:tcPr>
            <w:tcW w:w="1700" w:type="dxa"/>
            <w:vAlign w:val="bottom"/>
            <w:tcBorders>
              <w:bottom w:val="single" w:sz="8" w:color="0072AF"/>
              <w:right w:val="single" w:sz="8" w:color="0072AF"/>
            </w:tcBorders>
          </w:tcPr>
          <w:p>
            <w:pPr>
              <w:spacing w:after="0"/>
              <w:rPr>
                <w:sz w:val="8"/>
                <w:szCs w:val="8"/>
                <w:color w:val="auto"/>
              </w:rPr>
            </w:pPr>
          </w:p>
        </w:tc>
        <w:tc>
          <w:tcPr>
            <w:tcW w:w="2940" w:type="dxa"/>
            <w:vAlign w:val="bottom"/>
            <w:tcBorders>
              <w:bottom w:val="single" w:sz="8" w:color="0072AF"/>
            </w:tcBorders>
            <w:shd w:val="clear" w:color="auto" w:fill="CBCEE0"/>
          </w:tcPr>
          <w:p>
            <w:pPr>
              <w:spacing w:after="0"/>
              <w:rPr>
                <w:sz w:val="8"/>
                <w:szCs w:val="8"/>
                <w:color w:val="auto"/>
              </w:rPr>
            </w:pPr>
          </w:p>
        </w:tc>
        <w:tc>
          <w:tcPr>
            <w:tcW w:w="1500" w:type="dxa"/>
            <w:vAlign w:val="bottom"/>
            <w:tcBorders>
              <w:bottom w:val="single" w:sz="8" w:color="0072AF"/>
            </w:tcBorders>
            <w:shd w:val="clear" w:color="auto" w:fill="CBCEE0"/>
          </w:tcPr>
          <w:p>
            <w:pPr>
              <w:spacing w:after="0"/>
              <w:rPr>
                <w:sz w:val="8"/>
                <w:szCs w:val="8"/>
                <w:color w:val="auto"/>
              </w:rPr>
            </w:pPr>
          </w:p>
        </w:tc>
        <w:tc>
          <w:tcPr>
            <w:tcW w:w="1620" w:type="dxa"/>
            <w:vAlign w:val="bottom"/>
            <w:tcBorders>
              <w:bottom w:val="single" w:sz="8" w:color="0072AF"/>
            </w:tcBorders>
            <w:shd w:val="clear" w:color="auto" w:fill="CBCEE0"/>
          </w:tcPr>
          <w:p>
            <w:pPr>
              <w:spacing w:after="0"/>
              <w:rPr>
                <w:sz w:val="8"/>
                <w:szCs w:val="8"/>
                <w:color w:val="auto"/>
              </w:rPr>
            </w:pPr>
          </w:p>
        </w:tc>
        <w:tc>
          <w:tcPr>
            <w:tcW w:w="1420" w:type="dxa"/>
            <w:vAlign w:val="bottom"/>
            <w:tcBorders>
              <w:bottom w:val="single" w:sz="8" w:color="0072AF"/>
            </w:tcBorders>
            <w:shd w:val="clear" w:color="auto" w:fill="CBCEE0"/>
          </w:tcPr>
          <w:p>
            <w:pPr>
              <w:spacing w:after="0"/>
              <w:rPr>
                <w:sz w:val="8"/>
                <w:szCs w:val="8"/>
                <w:color w:val="auto"/>
              </w:rPr>
            </w:pPr>
          </w:p>
        </w:tc>
      </w:tr>
      <w:tr>
        <w:trPr>
          <w:trHeight w:val="302"/>
        </w:trPr>
        <w:tc>
          <w:tcPr>
            <w:tcW w:w="1700" w:type="dxa"/>
            <w:vAlign w:val="bottom"/>
            <w:tcBorders>
              <w:right w:val="single" w:sz="8" w:color="0072AF"/>
            </w:tcBorders>
          </w:tcPr>
          <w:p>
            <w:pPr>
              <w:spacing w:after="0"/>
              <w:rPr>
                <w:sz w:val="24"/>
                <w:szCs w:val="24"/>
                <w:color w:val="auto"/>
              </w:rPr>
            </w:pPr>
          </w:p>
        </w:tc>
        <w:tc>
          <w:tcPr>
            <w:tcW w:w="2940" w:type="dxa"/>
            <w:vAlign w:val="bottom"/>
          </w:tcPr>
          <w:p>
            <w:pPr>
              <w:ind w:left="20"/>
              <w:spacing w:after="0"/>
              <w:rPr>
                <w:sz w:val="20"/>
                <w:szCs w:val="20"/>
                <w:color w:val="auto"/>
              </w:rPr>
            </w:pPr>
            <w:r>
              <w:rPr>
                <w:rFonts w:ascii="Arial" w:cs="Arial" w:eastAsia="Arial" w:hAnsi="Arial"/>
                <w:sz w:val="16"/>
                <w:szCs w:val="16"/>
                <w:color w:val="auto"/>
              </w:rPr>
              <w:t>Pitney Bowes Pension Plan</w:t>
            </w:r>
          </w:p>
        </w:tc>
        <w:tc>
          <w:tcPr>
            <w:tcW w:w="1500" w:type="dxa"/>
            <w:vAlign w:val="bottom"/>
          </w:tcPr>
          <w:p>
            <w:pPr>
              <w:jc w:val="right"/>
              <w:ind w:right="82"/>
              <w:spacing w:after="0"/>
              <w:rPr>
                <w:sz w:val="20"/>
                <w:szCs w:val="20"/>
                <w:color w:val="auto"/>
              </w:rPr>
            </w:pPr>
            <w:r>
              <w:rPr>
                <w:rFonts w:ascii="Arial" w:cs="Arial" w:eastAsia="Arial" w:hAnsi="Arial"/>
                <w:sz w:val="16"/>
                <w:szCs w:val="16"/>
                <w:color w:val="auto"/>
              </w:rPr>
              <w:t xml:space="preserve">13.75             </w:t>
            </w:r>
          </w:p>
        </w:tc>
        <w:tc>
          <w:tcPr>
            <w:tcW w:w="1620" w:type="dxa"/>
            <w:vAlign w:val="bottom"/>
          </w:tcPr>
          <w:p>
            <w:pPr>
              <w:jc w:val="center"/>
              <w:spacing w:after="0"/>
              <w:rPr>
                <w:sz w:val="20"/>
                <w:szCs w:val="20"/>
                <w:color w:val="auto"/>
              </w:rPr>
            </w:pPr>
            <w:r>
              <w:rPr>
                <w:rFonts w:ascii="Arial" w:cs="Arial" w:eastAsia="Arial" w:hAnsi="Arial"/>
                <w:sz w:val="16"/>
                <w:szCs w:val="16"/>
                <w:color w:val="auto"/>
              </w:rPr>
              <w:t>135,966</w:t>
            </w:r>
          </w:p>
        </w:tc>
        <w:tc>
          <w:tcPr>
            <w:tcW w:w="1420" w:type="dxa"/>
            <w:vAlign w:val="bottom"/>
          </w:tcPr>
          <w:p>
            <w:pPr>
              <w:jc w:val="center"/>
              <w:spacing w:after="0"/>
              <w:rPr>
                <w:sz w:val="20"/>
                <w:szCs w:val="20"/>
                <w:color w:val="auto"/>
              </w:rPr>
            </w:pPr>
            <w:r>
              <w:rPr>
                <w:rFonts w:ascii="Arial" w:cs="Arial" w:eastAsia="Arial" w:hAnsi="Arial"/>
                <w:sz w:val="16"/>
                <w:szCs w:val="16"/>
                <w:color w:val="auto"/>
              </w:rPr>
              <w:t>0</w:t>
            </w:r>
          </w:p>
        </w:tc>
      </w:tr>
      <w:tr>
        <w:trPr>
          <w:trHeight w:val="413"/>
        </w:trPr>
        <w:tc>
          <w:tcPr>
            <w:tcW w:w="1700" w:type="dxa"/>
            <w:vAlign w:val="bottom"/>
            <w:tcBorders>
              <w:right w:val="single" w:sz="8" w:color="0072AF"/>
            </w:tcBorders>
          </w:tcPr>
          <w:p>
            <w:pPr>
              <w:ind w:left="100"/>
              <w:spacing w:after="0"/>
              <w:rPr>
                <w:sz w:val="20"/>
                <w:szCs w:val="20"/>
                <w:color w:val="auto"/>
              </w:rPr>
            </w:pPr>
            <w:r>
              <w:rPr>
                <w:rFonts w:ascii="Arial" w:cs="Arial" w:eastAsia="Arial" w:hAnsi="Arial"/>
                <w:sz w:val="16"/>
                <w:szCs w:val="16"/>
                <w:b w:val="1"/>
                <w:bCs w:val="1"/>
                <w:color w:val="auto"/>
              </w:rPr>
              <w:t>James Fairweather</w:t>
            </w:r>
          </w:p>
        </w:tc>
        <w:tc>
          <w:tcPr>
            <w:tcW w:w="2940" w:type="dxa"/>
            <w:vAlign w:val="bottom"/>
          </w:tcPr>
          <w:p>
            <w:pPr>
              <w:ind w:left="20"/>
              <w:spacing w:after="0"/>
              <w:rPr>
                <w:sz w:val="20"/>
                <w:szCs w:val="20"/>
                <w:color w:val="auto"/>
              </w:rPr>
            </w:pPr>
            <w:r>
              <w:rPr>
                <w:rFonts w:ascii="Arial" w:cs="Arial" w:eastAsia="Arial" w:hAnsi="Arial"/>
                <w:sz w:val="16"/>
                <w:szCs w:val="16"/>
                <w:color w:val="auto"/>
              </w:rPr>
              <w:t>Pitney Bowes Pension Restoration Plan</w:t>
            </w:r>
          </w:p>
        </w:tc>
        <w:tc>
          <w:tcPr>
            <w:tcW w:w="1500" w:type="dxa"/>
            <w:vAlign w:val="bottom"/>
          </w:tcPr>
          <w:p>
            <w:pPr>
              <w:jc w:val="right"/>
              <w:ind w:right="82"/>
              <w:spacing w:after="0"/>
              <w:rPr>
                <w:sz w:val="20"/>
                <w:szCs w:val="20"/>
                <w:color w:val="auto"/>
              </w:rPr>
            </w:pPr>
            <w:r>
              <w:rPr>
                <w:rFonts w:ascii="Arial" w:cs="Arial" w:eastAsia="Arial" w:hAnsi="Arial"/>
                <w:sz w:val="16"/>
                <w:szCs w:val="16"/>
                <w:color w:val="auto"/>
              </w:rPr>
              <w:t xml:space="preserve">13.75             </w:t>
            </w:r>
          </w:p>
        </w:tc>
        <w:tc>
          <w:tcPr>
            <w:tcW w:w="1620" w:type="dxa"/>
            <w:vAlign w:val="bottom"/>
          </w:tcPr>
          <w:p>
            <w:pPr>
              <w:jc w:val="right"/>
              <w:ind w:right="483"/>
              <w:spacing w:after="0"/>
              <w:rPr>
                <w:sz w:val="20"/>
                <w:szCs w:val="20"/>
                <w:color w:val="auto"/>
              </w:rPr>
            </w:pPr>
            <w:r>
              <w:rPr>
                <w:rFonts w:ascii="Arial" w:cs="Arial" w:eastAsia="Arial" w:hAnsi="Arial"/>
                <w:sz w:val="16"/>
                <w:szCs w:val="16"/>
                <w:color w:val="auto"/>
              </w:rPr>
              <w:t>28,781</w:t>
            </w:r>
          </w:p>
        </w:tc>
        <w:tc>
          <w:tcPr>
            <w:tcW w:w="1420" w:type="dxa"/>
            <w:vAlign w:val="bottom"/>
          </w:tcPr>
          <w:p>
            <w:pPr>
              <w:jc w:val="center"/>
              <w:spacing w:after="0"/>
              <w:rPr>
                <w:sz w:val="20"/>
                <w:szCs w:val="20"/>
                <w:color w:val="auto"/>
              </w:rPr>
            </w:pPr>
            <w:r>
              <w:rPr>
                <w:rFonts w:ascii="Arial" w:cs="Arial" w:eastAsia="Arial" w:hAnsi="Arial"/>
                <w:sz w:val="16"/>
                <w:szCs w:val="16"/>
                <w:color w:val="auto"/>
              </w:rPr>
              <w:t>0</w:t>
            </w:r>
          </w:p>
        </w:tc>
      </w:tr>
      <w:tr>
        <w:trPr>
          <w:trHeight w:val="88"/>
        </w:trPr>
        <w:tc>
          <w:tcPr>
            <w:tcW w:w="1700" w:type="dxa"/>
            <w:vAlign w:val="bottom"/>
            <w:tcBorders>
              <w:bottom w:val="single" w:sz="8" w:color="0072AF"/>
              <w:right w:val="single" w:sz="8" w:color="0072AF"/>
            </w:tcBorders>
          </w:tcPr>
          <w:p>
            <w:pPr>
              <w:spacing w:after="0"/>
              <w:rPr>
                <w:sz w:val="7"/>
                <w:szCs w:val="7"/>
                <w:color w:val="auto"/>
              </w:rPr>
            </w:pPr>
          </w:p>
        </w:tc>
        <w:tc>
          <w:tcPr>
            <w:tcW w:w="2940" w:type="dxa"/>
            <w:vAlign w:val="bottom"/>
            <w:tcBorders>
              <w:bottom w:val="single" w:sz="8" w:color="0072AF"/>
            </w:tcBorders>
          </w:tcPr>
          <w:p>
            <w:pPr>
              <w:spacing w:after="0"/>
              <w:rPr>
                <w:sz w:val="7"/>
                <w:szCs w:val="7"/>
                <w:color w:val="auto"/>
              </w:rPr>
            </w:pPr>
          </w:p>
        </w:tc>
        <w:tc>
          <w:tcPr>
            <w:tcW w:w="1500" w:type="dxa"/>
            <w:vAlign w:val="bottom"/>
            <w:tcBorders>
              <w:bottom w:val="single" w:sz="8" w:color="0072AF"/>
            </w:tcBorders>
          </w:tcPr>
          <w:p>
            <w:pPr>
              <w:spacing w:after="0"/>
              <w:rPr>
                <w:sz w:val="7"/>
                <w:szCs w:val="7"/>
                <w:color w:val="auto"/>
              </w:rPr>
            </w:pPr>
          </w:p>
        </w:tc>
        <w:tc>
          <w:tcPr>
            <w:tcW w:w="1620" w:type="dxa"/>
            <w:vAlign w:val="bottom"/>
            <w:tcBorders>
              <w:bottom w:val="single" w:sz="8" w:color="0072AF"/>
            </w:tcBorders>
          </w:tcPr>
          <w:p>
            <w:pPr>
              <w:spacing w:after="0"/>
              <w:rPr>
                <w:sz w:val="7"/>
                <w:szCs w:val="7"/>
                <w:color w:val="auto"/>
              </w:rPr>
            </w:pPr>
          </w:p>
        </w:tc>
        <w:tc>
          <w:tcPr>
            <w:tcW w:w="1420" w:type="dxa"/>
            <w:vAlign w:val="bottom"/>
            <w:tcBorders>
              <w:bottom w:val="single" w:sz="8" w:color="0072AF"/>
            </w:tcBorders>
          </w:tcPr>
          <w:p>
            <w:pPr>
              <w:spacing w:after="0"/>
              <w:rPr>
                <w:sz w:val="7"/>
                <w:szCs w:val="7"/>
                <w:color w:val="auto"/>
              </w:rPr>
            </w:pPr>
          </w:p>
        </w:tc>
      </w:tr>
    </w:tbl>
    <w:p>
      <w:pPr>
        <w:spacing w:after="0" w:line="40" w:lineRule="exact"/>
        <w:rPr>
          <w:sz w:val="20"/>
          <w:szCs w:val="20"/>
          <w:color w:val="auto"/>
        </w:rPr>
      </w:pPr>
    </w:p>
    <w:p>
      <w:pPr>
        <w:ind w:left="6"/>
        <w:spacing w:after="0"/>
        <w:rPr>
          <w:sz w:val="20"/>
          <w:szCs w:val="20"/>
          <w:color w:val="auto"/>
        </w:rPr>
      </w:pPr>
      <w:r>
        <w:rPr>
          <w:rFonts w:ascii="Arial" w:cs="Arial" w:eastAsia="Arial" w:hAnsi="Arial"/>
          <w:sz w:val="11"/>
          <w:szCs w:val="11"/>
          <w:color w:val="auto"/>
        </w:rPr>
        <w:t>(1)</w:t>
      </w:r>
    </w:p>
    <w:p>
      <w:pPr>
        <w:ind w:left="346"/>
        <w:spacing w:after="0" w:line="209" w:lineRule="auto"/>
        <w:rPr>
          <w:sz w:val="20"/>
          <w:szCs w:val="20"/>
          <w:color w:val="auto"/>
        </w:rPr>
      </w:pPr>
      <w:r>
        <w:rPr>
          <w:rFonts w:ascii="Arial" w:cs="Arial" w:eastAsia="Arial" w:hAnsi="Arial"/>
          <w:sz w:val="14"/>
          <w:szCs w:val="14"/>
          <w:color w:val="auto"/>
        </w:rPr>
        <w:t>Mr. Goldstein and Mr. Fairweather are the only pension-eligible NEOs and are fully vested in their pension benefit.</w:t>
      </w:r>
    </w:p>
    <w:p>
      <w:pPr>
        <w:ind w:left="6"/>
        <w:spacing w:after="0" w:line="197" w:lineRule="auto"/>
        <w:rPr>
          <w:sz w:val="20"/>
          <w:szCs w:val="20"/>
          <w:color w:val="auto"/>
        </w:rPr>
      </w:pPr>
      <w:r>
        <w:rPr>
          <w:rFonts w:ascii="Arial" w:cs="Arial" w:eastAsia="Arial" w:hAnsi="Arial"/>
          <w:sz w:val="8"/>
          <w:szCs w:val="8"/>
          <w:color w:val="auto"/>
        </w:rPr>
        <w:t>(2)</w:t>
      </w:r>
    </w:p>
    <w:p>
      <w:pPr>
        <w:jc w:val="both"/>
        <w:ind w:left="346"/>
        <w:spacing w:after="0" w:line="252" w:lineRule="auto"/>
        <w:rPr>
          <w:sz w:val="20"/>
          <w:szCs w:val="20"/>
          <w:color w:val="auto"/>
        </w:rPr>
      </w:pPr>
      <w:r>
        <w:rPr>
          <w:rFonts w:ascii="Arial" w:cs="Arial" w:eastAsia="Arial" w:hAnsi="Arial"/>
          <w:sz w:val="14"/>
          <w:szCs w:val="14"/>
          <w:color w:val="auto"/>
        </w:rPr>
        <w:t>Material assumptions used to calculate the present value of accumulated benefits under the Pitney Bowes Pension Plan are detailed in note 13 to the financial statements included in the 2023 Form 10-K. These lump sum values are expressed as the greater of the Pension Equity Account and the Present Value of the Age 65 Accrued benefit using the PPA 417(e) Unisex Mortality table.</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material terms of the Pitney Bowes Pension Plan and Pension Restoration Plan are as follows:</w:t>
      </w:r>
    </w:p>
    <w:p>
      <w:pPr>
        <w:spacing w:after="0" w:line="50" w:lineRule="exact"/>
        <w:rPr>
          <w:sz w:val="20"/>
          <w:szCs w:val="20"/>
          <w:color w:val="auto"/>
        </w:rPr>
      </w:pPr>
    </w:p>
    <w:p>
      <w:pPr>
        <w:ind w:left="426" w:hanging="210"/>
        <w:spacing w:after="0" w:line="266" w:lineRule="auto"/>
        <w:tabs>
          <w:tab w:leader="none" w:pos="426" w:val="left"/>
        </w:tabs>
        <w:numPr>
          <w:ilvl w:val="0"/>
          <w:numId w:val="56"/>
        </w:numPr>
        <w:rPr>
          <w:rFonts w:ascii="Arial" w:cs="Arial" w:eastAsia="Arial" w:hAnsi="Arial"/>
          <w:sz w:val="18"/>
          <w:szCs w:val="18"/>
          <w:color w:val="0072AF"/>
        </w:rPr>
      </w:pPr>
      <w:r>
        <w:rPr>
          <w:rFonts w:ascii="Arial" w:cs="Arial" w:eastAsia="Arial" w:hAnsi="Arial"/>
          <w:sz w:val="18"/>
          <w:szCs w:val="18"/>
          <w:color w:val="auto"/>
        </w:rPr>
        <w:t>The Pitney Bowes Pension and Pension Restoration Plans apply only to U.S. employees hired prior to January 1, 2005 and were frozen for all participants effective December 31, 2014.</w:t>
      </w:r>
    </w:p>
    <w:p>
      <w:pPr>
        <w:ind w:left="426" w:right="20" w:hanging="210"/>
        <w:spacing w:after="0" w:line="266" w:lineRule="auto"/>
        <w:tabs>
          <w:tab w:leader="none" w:pos="426" w:val="left"/>
        </w:tabs>
        <w:numPr>
          <w:ilvl w:val="0"/>
          <w:numId w:val="56"/>
        </w:numPr>
        <w:rPr>
          <w:rFonts w:ascii="Arial" w:cs="Arial" w:eastAsia="Arial" w:hAnsi="Arial"/>
          <w:sz w:val="18"/>
          <w:szCs w:val="18"/>
          <w:color w:val="0072AF"/>
        </w:rPr>
      </w:pPr>
      <w:r>
        <w:rPr>
          <w:rFonts w:ascii="Arial" w:cs="Arial" w:eastAsia="Arial" w:hAnsi="Arial"/>
          <w:sz w:val="18"/>
          <w:szCs w:val="18"/>
          <w:color w:val="auto"/>
        </w:rPr>
        <w:t>Normal retirement age is 65 with at least three years of service, while early retirement is allowed at age 55 with at least ten years of service.</w:t>
      </w:r>
    </w:p>
    <w:p>
      <w:pPr>
        <w:ind w:left="426" w:hanging="210"/>
        <w:spacing w:after="0"/>
        <w:tabs>
          <w:tab w:leader="none" w:pos="426" w:val="left"/>
        </w:tabs>
        <w:numPr>
          <w:ilvl w:val="0"/>
          <w:numId w:val="56"/>
        </w:numPr>
        <w:rPr>
          <w:rFonts w:ascii="Arial" w:cs="Arial" w:eastAsia="Arial" w:hAnsi="Arial"/>
          <w:sz w:val="18"/>
          <w:szCs w:val="18"/>
          <w:color w:val="0072AF"/>
        </w:rPr>
      </w:pPr>
      <w:r>
        <w:rPr>
          <w:rFonts w:ascii="Arial" w:cs="Arial" w:eastAsia="Arial" w:hAnsi="Arial"/>
          <w:sz w:val="18"/>
          <w:szCs w:val="18"/>
          <w:color w:val="auto"/>
        </w:rPr>
        <w:t>The vesting period is three years.</w:t>
      </w:r>
    </w:p>
    <w:p>
      <w:pPr>
        <w:spacing w:after="0" w:line="49" w:lineRule="exact"/>
        <w:rPr>
          <w:rFonts w:ascii="Arial" w:cs="Arial" w:eastAsia="Arial" w:hAnsi="Arial"/>
          <w:sz w:val="18"/>
          <w:szCs w:val="18"/>
          <w:color w:val="0072AF"/>
        </w:rPr>
      </w:pPr>
    </w:p>
    <w:p>
      <w:pPr>
        <w:jc w:val="both"/>
        <w:ind w:left="426" w:hanging="210"/>
        <w:spacing w:after="0" w:line="247" w:lineRule="auto"/>
        <w:tabs>
          <w:tab w:leader="none" w:pos="426" w:val="left"/>
        </w:tabs>
        <w:numPr>
          <w:ilvl w:val="0"/>
          <w:numId w:val="56"/>
        </w:numPr>
        <w:rPr>
          <w:rFonts w:ascii="Arial" w:cs="Arial" w:eastAsia="Arial" w:hAnsi="Arial"/>
          <w:sz w:val="18"/>
          <w:szCs w:val="18"/>
          <w:color w:val="0072AF"/>
        </w:rPr>
      </w:pPr>
      <w:r>
        <w:rPr>
          <w:rFonts w:ascii="Arial" w:cs="Arial" w:eastAsia="Arial" w:hAnsi="Arial"/>
          <w:sz w:val="18"/>
          <w:szCs w:val="18"/>
          <w:color w:val="auto"/>
        </w:rPr>
        <w:t>Earnings include base salary, vacation, severance, before-tax plan contributions, annual incentives (paid and deferred), and certain bonuses. Earnings do not include CIU payments, NSOs, restricted stock, performance-based RSUs, time-based RSUs, PSUs, hiring bonuses, Company contributions to benefits, and expense reimbursements.</w:t>
      </w:r>
    </w:p>
    <w:p>
      <w:pPr>
        <w:spacing w:after="0" w:line="11" w:lineRule="exact"/>
        <w:rPr>
          <w:rFonts w:ascii="Arial" w:cs="Arial" w:eastAsia="Arial" w:hAnsi="Arial"/>
          <w:sz w:val="18"/>
          <w:szCs w:val="18"/>
          <w:color w:val="0072AF"/>
        </w:rPr>
      </w:pPr>
    </w:p>
    <w:p>
      <w:pPr>
        <w:ind w:left="426" w:hanging="210"/>
        <w:spacing w:after="0" w:line="266" w:lineRule="auto"/>
        <w:tabs>
          <w:tab w:leader="none" w:pos="426" w:val="left"/>
        </w:tabs>
        <w:numPr>
          <w:ilvl w:val="0"/>
          <w:numId w:val="56"/>
        </w:numPr>
        <w:rPr>
          <w:rFonts w:ascii="Arial" w:cs="Arial" w:eastAsia="Arial" w:hAnsi="Arial"/>
          <w:sz w:val="18"/>
          <w:szCs w:val="18"/>
          <w:color w:val="0072AF"/>
        </w:rPr>
      </w:pPr>
      <w:r>
        <w:rPr>
          <w:rFonts w:ascii="Arial" w:cs="Arial" w:eastAsia="Arial" w:hAnsi="Arial"/>
          <w:sz w:val="18"/>
          <w:szCs w:val="18"/>
          <w:color w:val="auto"/>
        </w:rPr>
        <w:t>The formula to determine benefits is generally based on age, years of service, and final average of the five highest consecutive calendar year earnings.</w:t>
      </w:r>
    </w:p>
    <w:p>
      <w:pPr>
        <w:jc w:val="both"/>
        <w:ind w:left="426" w:right="20" w:hanging="210"/>
        <w:spacing w:after="0" w:line="253" w:lineRule="auto"/>
        <w:tabs>
          <w:tab w:leader="none" w:pos="426" w:val="left"/>
        </w:tabs>
        <w:numPr>
          <w:ilvl w:val="0"/>
          <w:numId w:val="56"/>
        </w:numPr>
        <w:rPr>
          <w:rFonts w:ascii="Arial" w:cs="Arial" w:eastAsia="Arial" w:hAnsi="Arial"/>
          <w:sz w:val="18"/>
          <w:szCs w:val="18"/>
          <w:color w:val="0072AF"/>
        </w:rPr>
      </w:pPr>
      <w:r>
        <w:rPr>
          <w:rFonts w:ascii="Arial" w:cs="Arial" w:eastAsia="Arial" w:hAnsi="Arial"/>
          <w:sz w:val="18"/>
          <w:szCs w:val="18"/>
          <w:color w:val="auto"/>
        </w:rPr>
        <w:t>The maximum benefit accrual under the Pitney Bowes Pension Restoration Plan is an amount equal to 16.5% multiplied by the participant’s final average earnings and further multiplied by the participant’s credited service.</w:t>
      </w:r>
    </w:p>
    <w:p>
      <w:pPr>
        <w:spacing w:after="0" w:line="6" w:lineRule="exact"/>
        <w:rPr>
          <w:rFonts w:ascii="Arial" w:cs="Arial" w:eastAsia="Arial" w:hAnsi="Arial"/>
          <w:sz w:val="18"/>
          <w:szCs w:val="18"/>
          <w:color w:val="0072AF"/>
        </w:rPr>
      </w:pPr>
    </w:p>
    <w:p>
      <w:pPr>
        <w:ind w:left="426" w:right="20" w:hanging="210"/>
        <w:spacing w:after="0" w:line="266" w:lineRule="auto"/>
        <w:tabs>
          <w:tab w:leader="none" w:pos="426" w:val="left"/>
        </w:tabs>
        <w:numPr>
          <w:ilvl w:val="0"/>
          <w:numId w:val="56"/>
        </w:numPr>
        <w:rPr>
          <w:rFonts w:ascii="Arial" w:cs="Arial" w:eastAsia="Arial" w:hAnsi="Arial"/>
          <w:sz w:val="18"/>
          <w:szCs w:val="18"/>
          <w:color w:val="0072AF"/>
        </w:rPr>
      </w:pPr>
      <w:r>
        <w:rPr>
          <w:rFonts w:ascii="Arial" w:cs="Arial" w:eastAsia="Arial" w:hAnsi="Arial"/>
          <w:sz w:val="18"/>
          <w:szCs w:val="18"/>
          <w:color w:val="auto"/>
        </w:rPr>
        <w:t>Upon retirement, benefits are payable in a lump-sum or various annuity forms, including life annuity and 50% joint and survivor annuity.</w:t>
      </w:r>
    </w:p>
    <w:p>
      <w:pPr>
        <w:ind w:left="426" w:right="20" w:hanging="210"/>
        <w:spacing w:after="0" w:line="266" w:lineRule="auto"/>
        <w:tabs>
          <w:tab w:leader="none" w:pos="426" w:val="left"/>
        </w:tabs>
        <w:numPr>
          <w:ilvl w:val="0"/>
          <w:numId w:val="56"/>
        </w:numPr>
        <w:rPr>
          <w:rFonts w:ascii="Arial" w:cs="Arial" w:eastAsia="Arial" w:hAnsi="Arial"/>
          <w:sz w:val="18"/>
          <w:szCs w:val="18"/>
          <w:color w:val="0072AF"/>
        </w:rPr>
      </w:pPr>
      <w:r>
        <w:rPr>
          <w:rFonts w:ascii="Arial" w:cs="Arial" w:eastAsia="Arial" w:hAnsi="Arial"/>
          <w:sz w:val="18"/>
          <w:szCs w:val="18"/>
          <w:color w:val="auto"/>
        </w:rPr>
        <w:t>The distribution alternatives under the Pitney Bowes Pension Restoration Plan are designed to comply with the requirements of IRC 409A of the Code.</w:t>
      </w:r>
    </w:p>
    <w:p>
      <w:pPr>
        <w:ind w:left="426" w:hanging="210"/>
        <w:spacing w:after="0"/>
        <w:tabs>
          <w:tab w:leader="none" w:pos="426" w:val="left"/>
        </w:tabs>
        <w:numPr>
          <w:ilvl w:val="0"/>
          <w:numId w:val="56"/>
        </w:numPr>
        <w:rPr>
          <w:rFonts w:ascii="Arial" w:cs="Arial" w:eastAsia="Arial" w:hAnsi="Arial"/>
          <w:sz w:val="18"/>
          <w:szCs w:val="18"/>
          <w:color w:val="0072AF"/>
        </w:rPr>
      </w:pPr>
      <w:r>
        <w:rPr>
          <w:rFonts w:ascii="Arial" w:cs="Arial" w:eastAsia="Arial" w:hAnsi="Arial"/>
          <w:sz w:val="18"/>
          <w:szCs w:val="18"/>
          <w:color w:val="auto"/>
        </w:rPr>
        <w:t>No extra years of credited service are provided and no above-market earnings are credited under the plan.</w:t>
      </w:r>
    </w:p>
    <w:p>
      <w:pPr>
        <w:spacing w:after="0" w:line="22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72AF"/>
        </w:rPr>
        <w:t>Deferred Compensation</w:t>
      </w:r>
    </w:p>
    <w:p>
      <w:pPr>
        <w:spacing w:after="0" w:line="189" w:lineRule="exact"/>
        <w:rPr>
          <w:sz w:val="20"/>
          <w:szCs w:val="20"/>
          <w:color w:val="auto"/>
        </w:rPr>
      </w:pPr>
    </w:p>
    <w:p>
      <w:pPr>
        <w:jc w:val="both"/>
        <w:ind w:left="6" w:right="20"/>
        <w:spacing w:after="0" w:line="253" w:lineRule="auto"/>
        <w:rPr>
          <w:sz w:val="20"/>
          <w:szCs w:val="20"/>
          <w:color w:val="auto"/>
        </w:rPr>
      </w:pPr>
      <w:r>
        <w:rPr>
          <w:rFonts w:ascii="Arial" w:cs="Arial" w:eastAsia="Arial" w:hAnsi="Arial"/>
          <w:sz w:val="18"/>
          <w:szCs w:val="18"/>
          <w:color w:val="auto"/>
        </w:rPr>
        <w:t>Information included in the following table includes contributions, earnings, withdrawals, and balances with respect to the Pitney Bowes 401(k) Restoration Plan, the DISP, and deferrals under the Pitney Bowes Executive Equity Deferral Plan.</w:t>
      </w:r>
    </w:p>
    <w:p>
      <w:pPr>
        <w:spacing w:after="0" w:line="128" w:lineRule="exact"/>
        <w:rPr>
          <w:sz w:val="20"/>
          <w:szCs w:val="20"/>
          <w:color w:val="auto"/>
        </w:rPr>
      </w:pPr>
    </w:p>
    <w:p>
      <w:pPr>
        <w:jc w:val="both"/>
        <w:ind w:left="6"/>
        <w:spacing w:after="0"/>
        <w:rPr>
          <w:sz w:val="20"/>
          <w:szCs w:val="20"/>
          <w:color w:val="auto"/>
        </w:rPr>
      </w:pPr>
      <w:r>
        <w:rPr>
          <w:rFonts w:ascii="Arial" w:cs="Arial" w:eastAsia="Arial" w:hAnsi="Arial"/>
          <w:sz w:val="18"/>
          <w:szCs w:val="18"/>
          <w:color w:val="auto"/>
        </w:rPr>
        <w:t>The Pitney Bowes 401(k) Restoration Plan is a nonqualified deferred compensation plan restoring benefits that would have otherwise been made in the qualified 401(k) Plan but for IRC limitations. The DISP is a nonqualified deferred compensation plan where certain employees may defer their incentives and base salaries. The Pitney Bowes 401(k) Restoration Plan and DISP are unfunded plans established for a select group of management or highly compensated employees under ERISA. All payments pursuant to the plans are made from the general assets of the Company and are subject to the Company’s creditors. The Company reserves the right to fund a grantor trust to assist in accumulating funds to pay the Company’s obligations under the plans. Any assets of the grantor trusts are subject to the claims of the Company’s creditors.</w:t>
      </w:r>
    </w:p>
    <w:p>
      <w:pPr>
        <w:spacing w:after="0" w:line="140" w:lineRule="exact"/>
        <w:rPr>
          <w:sz w:val="20"/>
          <w:szCs w:val="20"/>
          <w:color w:val="auto"/>
        </w:rPr>
      </w:pPr>
    </w:p>
    <w:p>
      <w:pPr>
        <w:jc w:val="both"/>
        <w:ind w:left="6"/>
        <w:spacing w:after="0" w:line="244" w:lineRule="auto"/>
        <w:rPr>
          <w:sz w:val="20"/>
          <w:szCs w:val="20"/>
          <w:color w:val="auto"/>
        </w:rPr>
      </w:pPr>
      <w:r>
        <w:rPr>
          <w:rFonts w:ascii="Arial" w:cs="Arial" w:eastAsia="Arial" w:hAnsi="Arial"/>
          <w:sz w:val="18"/>
          <w:szCs w:val="18"/>
          <w:color w:val="auto"/>
        </w:rPr>
        <w:t>Under the Pitney Bowes Executive Equity Deferral Plan, executives who are required to own certain levels of Company stock under the executive stock ownership policy may elect to defer the settlement of performance or time-based RSUs and PSUs upon vesting until the executives terminate employment or retire. Executives who choose to defer in this manner receive dividend equivalents once the award vests, which are also deferred as RSUs. Deferred RSUs and PSUs are unfunded deferred compensation subject to the Company’s general creditors.</w:t>
      </w:r>
    </w:p>
    <w:p>
      <w:pPr>
        <w:spacing w:after="0" w:line="176"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128905</wp:posOffset>
            </wp:positionV>
            <wp:extent cx="699516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82" w:name="page83"/>
    <w:bookmarkEnd w:id="82"/>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EXECUTIVE COMPENSATION TABLES AND RELATED NARRATIVE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8" w:lineRule="exact"/>
        <w:rPr>
          <w:sz w:val="20"/>
          <w:szCs w:val="20"/>
          <w:color w:val="auto"/>
        </w:rPr>
      </w:pPr>
    </w:p>
    <w:p>
      <w:pPr>
        <w:ind w:left="206" w:hanging="206"/>
        <w:spacing w:after="0"/>
        <w:tabs>
          <w:tab w:leader="none" w:pos="206" w:val="left"/>
        </w:tabs>
        <w:numPr>
          <w:ilvl w:val="0"/>
          <w:numId w:val="57"/>
        </w:numPr>
        <w:rPr>
          <w:rFonts w:ascii="Arial" w:cs="Arial" w:eastAsia="Arial" w:hAnsi="Arial"/>
          <w:sz w:val="30"/>
          <w:szCs w:val="30"/>
          <w:color w:val="auto"/>
          <w:vertAlign w:val="subscript"/>
        </w:rPr>
      </w:pPr>
      <w:r>
        <w:rPr>
          <w:rFonts w:ascii="Arial" w:cs="Arial" w:eastAsia="Arial" w:hAnsi="Arial"/>
          <w:sz w:val="24"/>
          <w:szCs w:val="24"/>
          <w:b w:val="1"/>
          <w:bCs w:val="1"/>
          <w:color w:val="0072AF"/>
        </w:rPr>
        <w:t>NONQUALIFIED DEFERRED COMPENSATION TABLE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58293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62" w:lineRule="exact"/>
        <w:rPr>
          <w:sz w:val="20"/>
          <w:szCs w:val="20"/>
          <w:color w:val="auto"/>
        </w:rPr>
      </w:pPr>
    </w:p>
    <w:tbl>
      <w:tblPr>
        <w:tblLayout w:type="fixed"/>
        <w:tblInd w:w="6" w:type="dxa"/>
        <w:tblCellMar>
          <w:top w:w="0" w:type="dxa"/>
          <w:left w:w="0" w:type="dxa"/>
          <w:bottom w:w="0" w:type="dxa"/>
          <w:right w:w="0" w:type="dxa"/>
        </w:tblCellMar>
      </w:tblPr>
      <w:tr>
        <w:trPr>
          <w:trHeight w:val="274"/>
        </w:trPr>
        <w:tc>
          <w:tcPr>
            <w:tcW w:w="2720" w:type="dxa"/>
            <w:vAlign w:val="bottom"/>
            <w:tcBorders>
              <w:top w:val="single" w:sz="8" w:color="0072AF"/>
              <w:right w:val="single" w:sz="8" w:color="0072AF"/>
            </w:tcBorders>
          </w:tcPr>
          <w:p>
            <w:pPr>
              <w:spacing w:after="0"/>
              <w:rPr>
                <w:sz w:val="23"/>
                <w:szCs w:val="23"/>
                <w:color w:val="auto"/>
              </w:rPr>
            </w:pPr>
          </w:p>
        </w:tc>
        <w:tc>
          <w:tcPr>
            <w:tcW w:w="1220" w:type="dxa"/>
            <w:vAlign w:val="bottom"/>
            <w:tcBorders>
              <w:top w:val="single" w:sz="8" w:color="0072AF"/>
            </w:tcBorders>
          </w:tcPr>
          <w:p>
            <w:pPr>
              <w:jc w:val="right"/>
              <w:ind w:right="208"/>
              <w:spacing w:after="0"/>
              <w:rPr>
                <w:sz w:val="20"/>
                <w:szCs w:val="20"/>
                <w:color w:val="auto"/>
              </w:rPr>
            </w:pPr>
            <w:r>
              <w:rPr>
                <w:rFonts w:ascii="Arial" w:cs="Arial" w:eastAsia="Arial" w:hAnsi="Arial"/>
                <w:sz w:val="14"/>
                <w:szCs w:val="14"/>
                <w:b w:val="1"/>
                <w:bCs w:val="1"/>
                <w:color w:val="auto"/>
              </w:rPr>
              <w:t>Executive</w:t>
            </w:r>
          </w:p>
        </w:tc>
        <w:tc>
          <w:tcPr>
            <w:tcW w:w="1300" w:type="dxa"/>
            <w:vAlign w:val="bottom"/>
            <w:tcBorders>
              <w:top w:val="single" w:sz="8" w:color="0072AF"/>
            </w:tcBorders>
          </w:tcPr>
          <w:p>
            <w:pPr>
              <w:jc w:val="right"/>
              <w:ind w:right="188"/>
              <w:spacing w:after="0"/>
              <w:rPr>
                <w:sz w:val="20"/>
                <w:szCs w:val="20"/>
                <w:color w:val="auto"/>
              </w:rPr>
            </w:pPr>
            <w:r>
              <w:rPr>
                <w:rFonts w:ascii="Arial" w:cs="Arial" w:eastAsia="Arial" w:hAnsi="Arial"/>
                <w:sz w:val="14"/>
                <w:szCs w:val="14"/>
                <w:b w:val="1"/>
                <w:bCs w:val="1"/>
                <w:color w:val="auto"/>
              </w:rPr>
              <w:t>Registrant</w:t>
            </w:r>
          </w:p>
        </w:tc>
        <w:tc>
          <w:tcPr>
            <w:tcW w:w="1360" w:type="dxa"/>
            <w:vAlign w:val="bottom"/>
            <w:tcBorders>
              <w:top w:val="single" w:sz="8" w:color="0072AF"/>
            </w:tcBorders>
          </w:tcPr>
          <w:p>
            <w:pPr>
              <w:jc w:val="right"/>
              <w:ind w:right="228"/>
              <w:spacing w:after="0"/>
              <w:rPr>
                <w:sz w:val="20"/>
                <w:szCs w:val="20"/>
                <w:color w:val="auto"/>
              </w:rPr>
            </w:pPr>
            <w:r>
              <w:rPr>
                <w:rFonts w:ascii="Arial" w:cs="Arial" w:eastAsia="Arial" w:hAnsi="Arial"/>
                <w:sz w:val="14"/>
                <w:szCs w:val="14"/>
                <w:b w:val="1"/>
                <w:bCs w:val="1"/>
                <w:color w:val="auto"/>
              </w:rPr>
              <w:t>Aggregate</w:t>
            </w:r>
          </w:p>
        </w:tc>
        <w:tc>
          <w:tcPr>
            <w:tcW w:w="1380" w:type="dxa"/>
            <w:vAlign w:val="bottom"/>
            <w:tcBorders>
              <w:top w:val="single" w:sz="8" w:color="0072AF"/>
            </w:tcBorders>
          </w:tcPr>
          <w:p>
            <w:pPr>
              <w:jc w:val="center"/>
              <w:ind w:right="28"/>
              <w:spacing w:after="0"/>
              <w:rPr>
                <w:sz w:val="20"/>
                <w:szCs w:val="20"/>
                <w:color w:val="auto"/>
              </w:rPr>
            </w:pPr>
            <w:r>
              <w:rPr>
                <w:rFonts w:ascii="Arial" w:cs="Arial" w:eastAsia="Arial" w:hAnsi="Arial"/>
                <w:sz w:val="14"/>
                <w:szCs w:val="14"/>
                <w:b w:val="1"/>
                <w:bCs w:val="1"/>
                <w:color w:val="auto"/>
              </w:rPr>
              <w:t>Aggregate</w:t>
            </w:r>
          </w:p>
        </w:tc>
        <w:tc>
          <w:tcPr>
            <w:tcW w:w="1200" w:type="dxa"/>
            <w:vAlign w:val="bottom"/>
            <w:tcBorders>
              <w:top w:val="single" w:sz="8" w:color="0072AF"/>
            </w:tcBorders>
          </w:tcPr>
          <w:p>
            <w:pPr>
              <w:jc w:val="right"/>
              <w:ind w:right="208"/>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2720" w:type="dxa"/>
            <w:vAlign w:val="bottom"/>
            <w:tcBorders>
              <w:right w:val="single" w:sz="8" w:color="0072AF"/>
            </w:tcBorders>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Contributions</w:t>
            </w: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rPr>
              <w:t>Contributions</w:t>
            </w:r>
          </w:p>
        </w:tc>
        <w:tc>
          <w:tcPr>
            <w:tcW w:w="1360" w:type="dxa"/>
            <w:vAlign w:val="bottom"/>
          </w:tcPr>
          <w:p>
            <w:pPr>
              <w:jc w:val="right"/>
              <w:ind w:right="48"/>
              <w:spacing w:after="0"/>
              <w:rPr>
                <w:sz w:val="20"/>
                <w:szCs w:val="20"/>
                <w:color w:val="auto"/>
              </w:rPr>
            </w:pPr>
            <w:r>
              <w:rPr>
                <w:rFonts w:ascii="Arial" w:cs="Arial" w:eastAsia="Arial" w:hAnsi="Arial"/>
                <w:sz w:val="14"/>
                <w:szCs w:val="14"/>
                <w:b w:val="1"/>
                <w:bCs w:val="1"/>
                <w:color w:val="auto"/>
              </w:rPr>
              <w:t>Earnings/(Loss)</w:t>
            </w:r>
          </w:p>
        </w:tc>
        <w:tc>
          <w:tcPr>
            <w:tcW w:w="1380" w:type="dxa"/>
            <w:vAlign w:val="bottom"/>
          </w:tcPr>
          <w:p>
            <w:pPr>
              <w:jc w:val="center"/>
              <w:ind w:right="28"/>
              <w:spacing w:after="0"/>
              <w:rPr>
                <w:sz w:val="20"/>
                <w:szCs w:val="20"/>
                <w:color w:val="auto"/>
              </w:rPr>
            </w:pPr>
            <w:r>
              <w:rPr>
                <w:rFonts w:ascii="Arial" w:cs="Arial" w:eastAsia="Arial" w:hAnsi="Arial"/>
                <w:sz w:val="14"/>
                <w:szCs w:val="14"/>
                <w:b w:val="1"/>
                <w:bCs w:val="1"/>
                <w:color w:val="auto"/>
              </w:rPr>
              <w:t>Withdrawals/</w:t>
            </w:r>
          </w:p>
        </w:tc>
        <w:tc>
          <w:tcPr>
            <w:tcW w:w="1200" w:type="dxa"/>
            <w:vAlign w:val="bottom"/>
          </w:tcPr>
          <w:p>
            <w:pPr>
              <w:jc w:val="right"/>
              <w:ind w:right="188"/>
              <w:spacing w:after="0"/>
              <w:rPr>
                <w:sz w:val="20"/>
                <w:szCs w:val="20"/>
                <w:color w:val="auto"/>
              </w:rPr>
            </w:pPr>
            <w:r>
              <w:rPr>
                <w:rFonts w:ascii="Arial" w:cs="Arial" w:eastAsia="Arial" w:hAnsi="Arial"/>
                <w:sz w:val="14"/>
                <w:szCs w:val="14"/>
                <w:b w:val="1"/>
                <w:bCs w:val="1"/>
                <w:color w:val="auto"/>
              </w:rPr>
              <w:t>Balance at</w:t>
            </w:r>
          </w:p>
        </w:tc>
      </w:tr>
      <w:tr>
        <w:trPr>
          <w:trHeight w:val="196"/>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in Last FY ($)</w:t>
            </w: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rPr>
              <w:t>in Last FY ($)</w:t>
            </w:r>
          </w:p>
        </w:tc>
        <w:tc>
          <w:tcPr>
            <w:tcW w:w="1360" w:type="dxa"/>
            <w:vAlign w:val="bottom"/>
          </w:tcPr>
          <w:p>
            <w:pPr>
              <w:jc w:val="right"/>
              <w:ind w:right="128"/>
              <w:spacing w:after="0"/>
              <w:rPr>
                <w:sz w:val="20"/>
                <w:szCs w:val="20"/>
                <w:color w:val="auto"/>
              </w:rPr>
            </w:pPr>
            <w:r>
              <w:rPr>
                <w:rFonts w:ascii="Arial" w:cs="Arial" w:eastAsia="Arial" w:hAnsi="Arial"/>
                <w:sz w:val="14"/>
                <w:szCs w:val="14"/>
                <w:b w:val="1"/>
                <w:bCs w:val="1"/>
                <w:color w:val="auto"/>
              </w:rPr>
              <w:t>in Last FY ($)</w:t>
            </w:r>
          </w:p>
        </w:tc>
        <w:tc>
          <w:tcPr>
            <w:tcW w:w="1380" w:type="dxa"/>
            <w:vAlign w:val="bottom"/>
          </w:tcPr>
          <w:p>
            <w:pPr>
              <w:ind w:left="120"/>
              <w:spacing w:after="0"/>
              <w:rPr>
                <w:sz w:val="20"/>
                <w:szCs w:val="20"/>
                <w:color w:val="auto"/>
              </w:rPr>
            </w:pPr>
            <w:r>
              <w:rPr>
                <w:rFonts w:ascii="Arial" w:cs="Arial" w:eastAsia="Arial" w:hAnsi="Arial"/>
                <w:sz w:val="14"/>
                <w:szCs w:val="14"/>
                <w:b w:val="1"/>
                <w:bCs w:val="1"/>
                <w:color w:val="auto"/>
              </w:rPr>
              <w:t>Distributions ($)</w:t>
            </w:r>
          </w:p>
        </w:tc>
        <w:tc>
          <w:tcPr>
            <w:tcW w:w="1200" w:type="dxa"/>
            <w:vAlign w:val="bottom"/>
          </w:tcPr>
          <w:p>
            <w:pPr>
              <w:jc w:val="right"/>
              <w:ind w:right="128"/>
              <w:spacing w:after="0"/>
              <w:rPr>
                <w:sz w:val="20"/>
                <w:szCs w:val="20"/>
                <w:color w:val="auto"/>
              </w:rPr>
            </w:pPr>
            <w:r>
              <w:rPr>
                <w:rFonts w:ascii="Arial" w:cs="Arial" w:eastAsia="Arial" w:hAnsi="Arial"/>
                <w:sz w:val="14"/>
                <w:szCs w:val="14"/>
                <w:b w:val="1"/>
                <w:bCs w:val="1"/>
                <w:color w:val="auto"/>
              </w:rPr>
              <w:t>Last FYE ($)</w:t>
            </w:r>
          </w:p>
        </w:tc>
      </w:tr>
      <w:tr>
        <w:trPr>
          <w:trHeight w:val="29"/>
        </w:trPr>
        <w:tc>
          <w:tcPr>
            <w:tcW w:w="2720" w:type="dxa"/>
            <w:vAlign w:val="bottom"/>
            <w:tcBorders>
              <w:bottom w:val="single" w:sz="8" w:color="0072AF"/>
              <w:right w:val="single" w:sz="8" w:color="0072AF"/>
            </w:tcBorders>
          </w:tcPr>
          <w:p>
            <w:pPr>
              <w:spacing w:after="0"/>
              <w:rPr>
                <w:sz w:val="2"/>
                <w:szCs w:val="2"/>
                <w:color w:val="auto"/>
              </w:rPr>
            </w:pPr>
          </w:p>
        </w:tc>
        <w:tc>
          <w:tcPr>
            <w:tcW w:w="1220" w:type="dxa"/>
            <w:vAlign w:val="bottom"/>
            <w:tcBorders>
              <w:bottom w:val="single" w:sz="8" w:color="0072AF"/>
            </w:tcBorders>
          </w:tcPr>
          <w:p>
            <w:pPr>
              <w:spacing w:after="0"/>
              <w:rPr>
                <w:sz w:val="2"/>
                <w:szCs w:val="2"/>
                <w:color w:val="auto"/>
              </w:rPr>
            </w:pPr>
          </w:p>
        </w:tc>
        <w:tc>
          <w:tcPr>
            <w:tcW w:w="1300" w:type="dxa"/>
            <w:vAlign w:val="bottom"/>
            <w:tcBorders>
              <w:bottom w:val="single" w:sz="8" w:color="0072AF"/>
            </w:tcBorders>
          </w:tcPr>
          <w:p>
            <w:pPr>
              <w:spacing w:after="0"/>
              <w:rPr>
                <w:sz w:val="2"/>
                <w:szCs w:val="2"/>
                <w:color w:val="auto"/>
              </w:rPr>
            </w:pPr>
          </w:p>
        </w:tc>
        <w:tc>
          <w:tcPr>
            <w:tcW w:w="1360" w:type="dxa"/>
            <w:vAlign w:val="bottom"/>
            <w:tcBorders>
              <w:bottom w:val="single" w:sz="8" w:color="0072AF"/>
            </w:tcBorders>
          </w:tcPr>
          <w:p>
            <w:pPr>
              <w:spacing w:after="0"/>
              <w:rPr>
                <w:sz w:val="2"/>
                <w:szCs w:val="2"/>
                <w:color w:val="auto"/>
              </w:rPr>
            </w:pPr>
          </w:p>
        </w:tc>
        <w:tc>
          <w:tcPr>
            <w:tcW w:w="1380" w:type="dxa"/>
            <w:vAlign w:val="bottom"/>
            <w:tcBorders>
              <w:bottom w:val="single" w:sz="8" w:color="0072AF"/>
            </w:tcBorders>
          </w:tcPr>
          <w:p>
            <w:pPr>
              <w:spacing w:after="0"/>
              <w:rPr>
                <w:sz w:val="2"/>
                <w:szCs w:val="2"/>
                <w:color w:val="auto"/>
              </w:rPr>
            </w:pPr>
          </w:p>
        </w:tc>
        <w:tc>
          <w:tcPr>
            <w:tcW w:w="1200" w:type="dxa"/>
            <w:vAlign w:val="bottom"/>
            <w:tcBorders>
              <w:bottom w:val="single" w:sz="8" w:color="0072AF"/>
            </w:tcBorders>
          </w:tcPr>
          <w:p>
            <w:pPr>
              <w:spacing w:after="0"/>
              <w:rPr>
                <w:sz w:val="2"/>
                <w:szCs w:val="2"/>
                <w:color w:val="auto"/>
              </w:rPr>
            </w:pPr>
          </w:p>
        </w:tc>
      </w:tr>
      <w:tr>
        <w:trPr>
          <w:trHeight w:val="234"/>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b w:val="1"/>
                <w:bCs w:val="1"/>
                <w:color w:val="auto"/>
              </w:rPr>
              <w:t>Jason Dies</w:t>
            </w:r>
          </w:p>
        </w:tc>
        <w:tc>
          <w:tcPr>
            <w:tcW w:w="1220" w:type="dxa"/>
            <w:vAlign w:val="bottom"/>
            <w:shd w:val="clear" w:color="auto" w:fill="CBCEE0"/>
          </w:tcPr>
          <w:p>
            <w:pPr>
              <w:spacing w:after="0"/>
              <w:rPr>
                <w:sz w:val="20"/>
                <w:szCs w:val="20"/>
                <w:color w:val="auto"/>
              </w:rPr>
            </w:pPr>
          </w:p>
        </w:tc>
        <w:tc>
          <w:tcPr>
            <w:tcW w:w="1300" w:type="dxa"/>
            <w:vAlign w:val="bottom"/>
            <w:shd w:val="clear" w:color="auto" w:fill="CBCEE0"/>
          </w:tcPr>
          <w:p>
            <w:pPr>
              <w:spacing w:after="0"/>
              <w:rPr>
                <w:sz w:val="20"/>
                <w:szCs w:val="20"/>
                <w:color w:val="auto"/>
              </w:rPr>
            </w:pPr>
          </w:p>
        </w:tc>
        <w:tc>
          <w:tcPr>
            <w:tcW w:w="1360" w:type="dxa"/>
            <w:vAlign w:val="bottom"/>
            <w:shd w:val="clear" w:color="auto" w:fill="CBCEE0"/>
          </w:tcPr>
          <w:p>
            <w:pPr>
              <w:spacing w:after="0"/>
              <w:rPr>
                <w:sz w:val="20"/>
                <w:szCs w:val="20"/>
                <w:color w:val="auto"/>
              </w:rPr>
            </w:pPr>
          </w:p>
        </w:tc>
        <w:tc>
          <w:tcPr>
            <w:tcW w:w="1380" w:type="dxa"/>
            <w:vAlign w:val="bottom"/>
            <w:shd w:val="clear" w:color="auto" w:fill="CBCEE0"/>
          </w:tcPr>
          <w:p>
            <w:pPr>
              <w:spacing w:after="0"/>
              <w:rPr>
                <w:sz w:val="20"/>
                <w:szCs w:val="20"/>
                <w:color w:val="auto"/>
              </w:rPr>
            </w:pPr>
          </w:p>
        </w:tc>
        <w:tc>
          <w:tcPr>
            <w:tcW w:w="1200" w:type="dxa"/>
            <w:vAlign w:val="bottom"/>
            <w:shd w:val="clear" w:color="auto" w:fill="CBCEE0"/>
          </w:tcPr>
          <w:p>
            <w:pPr>
              <w:spacing w:after="0"/>
              <w:rPr>
                <w:sz w:val="20"/>
                <w:szCs w:val="20"/>
                <w:color w:val="auto"/>
              </w:rPr>
            </w:pPr>
          </w:p>
        </w:tc>
      </w:tr>
      <w:tr>
        <w:trPr>
          <w:trHeight w:val="326"/>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401(k) Restoration Plan</w:t>
            </w:r>
            <w:r>
              <w:rPr>
                <w:rFonts w:ascii="Arial" w:cs="Arial" w:eastAsia="Arial" w:hAnsi="Arial"/>
                <w:sz w:val="23"/>
                <w:szCs w:val="23"/>
                <w:color w:val="auto"/>
                <w:vertAlign w:val="superscript"/>
              </w:rPr>
              <w:t>(1)</w:t>
            </w:r>
          </w:p>
        </w:tc>
        <w:tc>
          <w:tcPr>
            <w:tcW w:w="122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BCEE0"/>
          </w:tcPr>
          <w:p>
            <w:pPr>
              <w:jc w:val="right"/>
              <w:ind w:right="268"/>
              <w:spacing w:after="0"/>
              <w:rPr>
                <w:sz w:val="20"/>
                <w:szCs w:val="20"/>
                <w:color w:val="auto"/>
              </w:rPr>
            </w:pPr>
            <w:r>
              <w:rPr>
                <w:rFonts w:ascii="Arial" w:cs="Arial" w:eastAsia="Arial" w:hAnsi="Arial"/>
                <w:sz w:val="14"/>
                <w:szCs w:val="14"/>
                <w:color w:val="auto"/>
              </w:rPr>
              <w:t>49,816</w:t>
            </w:r>
          </w:p>
        </w:tc>
        <w:tc>
          <w:tcPr>
            <w:tcW w:w="1360" w:type="dxa"/>
            <w:vAlign w:val="bottom"/>
            <w:shd w:val="clear" w:color="auto" w:fill="CBCEE0"/>
          </w:tcPr>
          <w:p>
            <w:pPr>
              <w:jc w:val="right"/>
              <w:ind w:right="328"/>
              <w:spacing w:after="0"/>
              <w:rPr>
                <w:sz w:val="20"/>
                <w:szCs w:val="20"/>
                <w:color w:val="auto"/>
              </w:rPr>
            </w:pPr>
            <w:r>
              <w:rPr>
                <w:rFonts w:ascii="Arial" w:cs="Arial" w:eastAsia="Arial" w:hAnsi="Arial"/>
                <w:sz w:val="14"/>
                <w:szCs w:val="14"/>
                <w:color w:val="auto"/>
              </w:rPr>
              <w:t>33,159</w:t>
            </w:r>
          </w:p>
        </w:tc>
        <w:tc>
          <w:tcPr>
            <w:tcW w:w="1380" w:type="dxa"/>
            <w:vAlign w:val="bottom"/>
            <w:shd w:val="clear" w:color="auto" w:fill="CBCEE0"/>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shd w:val="clear" w:color="auto" w:fill="CBCEE0"/>
          </w:tcPr>
          <w:p>
            <w:pPr>
              <w:jc w:val="right"/>
              <w:ind w:right="208"/>
              <w:spacing w:after="0"/>
              <w:rPr>
                <w:sz w:val="20"/>
                <w:szCs w:val="20"/>
                <w:color w:val="auto"/>
              </w:rPr>
            </w:pPr>
            <w:r>
              <w:rPr>
                <w:rFonts w:ascii="Arial" w:cs="Arial" w:eastAsia="Arial" w:hAnsi="Arial"/>
                <w:sz w:val="14"/>
                <w:szCs w:val="14"/>
                <w:color w:val="auto"/>
              </w:rPr>
              <w:t>230,764</w:t>
            </w:r>
          </w:p>
        </w:tc>
      </w:tr>
      <w:tr>
        <w:trPr>
          <w:trHeight w:val="297"/>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Deferred Incentive Savings Plan</w:t>
            </w:r>
            <w:r>
              <w:rPr>
                <w:rFonts w:ascii="Arial" w:cs="Arial" w:eastAsia="Arial" w:hAnsi="Arial"/>
                <w:sz w:val="23"/>
                <w:szCs w:val="23"/>
                <w:color w:val="auto"/>
                <w:vertAlign w:val="superscript"/>
              </w:rPr>
              <w:t>(2)</w:t>
            </w:r>
          </w:p>
        </w:tc>
        <w:tc>
          <w:tcPr>
            <w:tcW w:w="1220" w:type="dxa"/>
            <w:vAlign w:val="bottom"/>
            <w:shd w:val="clear" w:color="auto" w:fill="CBCEE0"/>
          </w:tcPr>
          <w:p>
            <w:pPr>
              <w:jc w:val="right"/>
              <w:ind w:right="268"/>
              <w:spacing w:after="0"/>
              <w:rPr>
                <w:sz w:val="20"/>
                <w:szCs w:val="20"/>
                <w:color w:val="auto"/>
              </w:rPr>
            </w:pPr>
            <w:r>
              <w:rPr>
                <w:rFonts w:ascii="Arial" w:cs="Arial" w:eastAsia="Arial" w:hAnsi="Arial"/>
                <w:sz w:val="14"/>
                <w:szCs w:val="14"/>
                <w:color w:val="auto"/>
              </w:rPr>
              <w:t>28,886</w:t>
            </w:r>
          </w:p>
        </w:tc>
        <w:tc>
          <w:tcPr>
            <w:tcW w:w="130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BCEE0"/>
          </w:tcPr>
          <w:p>
            <w:pPr>
              <w:jc w:val="right"/>
              <w:ind w:right="328"/>
              <w:spacing w:after="0"/>
              <w:rPr>
                <w:sz w:val="20"/>
                <w:szCs w:val="20"/>
                <w:color w:val="auto"/>
              </w:rPr>
            </w:pPr>
            <w:r>
              <w:rPr>
                <w:rFonts w:ascii="Arial" w:cs="Arial" w:eastAsia="Arial" w:hAnsi="Arial"/>
                <w:sz w:val="14"/>
                <w:szCs w:val="14"/>
                <w:color w:val="auto"/>
              </w:rPr>
              <w:t>17,833</w:t>
            </w:r>
          </w:p>
        </w:tc>
        <w:tc>
          <w:tcPr>
            <w:tcW w:w="1380" w:type="dxa"/>
            <w:vAlign w:val="bottom"/>
            <w:shd w:val="clear" w:color="auto" w:fill="CBCEE0"/>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shd w:val="clear" w:color="auto" w:fill="CBCEE0"/>
          </w:tcPr>
          <w:p>
            <w:pPr>
              <w:jc w:val="right"/>
              <w:ind w:right="208"/>
              <w:spacing w:after="0"/>
              <w:rPr>
                <w:sz w:val="20"/>
                <w:szCs w:val="20"/>
                <w:color w:val="auto"/>
              </w:rPr>
            </w:pPr>
            <w:r>
              <w:rPr>
                <w:rFonts w:ascii="Arial" w:cs="Arial" w:eastAsia="Arial" w:hAnsi="Arial"/>
                <w:sz w:val="14"/>
                <w:szCs w:val="14"/>
                <w:color w:val="auto"/>
              </w:rPr>
              <w:t>125,053</w:t>
            </w:r>
          </w:p>
        </w:tc>
      </w:tr>
      <w:tr>
        <w:trPr>
          <w:trHeight w:val="297"/>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Deferred PSUs</w:t>
            </w:r>
            <w:r>
              <w:rPr>
                <w:rFonts w:ascii="Arial" w:cs="Arial" w:eastAsia="Arial" w:hAnsi="Arial"/>
                <w:sz w:val="23"/>
                <w:szCs w:val="23"/>
                <w:color w:val="auto"/>
                <w:vertAlign w:val="superscript"/>
              </w:rPr>
              <w:t>(3)</w:t>
            </w:r>
          </w:p>
        </w:tc>
        <w:tc>
          <w:tcPr>
            <w:tcW w:w="122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BCEE0"/>
          </w:tcPr>
          <w:p>
            <w:pPr>
              <w:jc w:val="right"/>
              <w:ind w:right="328"/>
              <w:spacing w:after="0"/>
              <w:rPr>
                <w:sz w:val="20"/>
                <w:szCs w:val="20"/>
                <w:color w:val="auto"/>
              </w:rPr>
            </w:pPr>
            <w:r>
              <w:rPr>
                <w:rFonts w:ascii="Arial" w:cs="Arial" w:eastAsia="Arial" w:hAnsi="Arial"/>
                <w:sz w:val="14"/>
                <w:szCs w:val="14"/>
                <w:color w:val="auto"/>
              </w:rPr>
              <w:t>1,327</w:t>
            </w:r>
          </w:p>
        </w:tc>
        <w:tc>
          <w:tcPr>
            <w:tcW w:w="1380" w:type="dxa"/>
            <w:vAlign w:val="bottom"/>
            <w:shd w:val="clear" w:color="auto" w:fill="CBCEE0"/>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shd w:val="clear" w:color="auto" w:fill="CBCEE0"/>
          </w:tcPr>
          <w:p>
            <w:pPr>
              <w:jc w:val="right"/>
              <w:ind w:right="228"/>
              <w:spacing w:after="0"/>
              <w:rPr>
                <w:sz w:val="20"/>
                <w:szCs w:val="20"/>
                <w:color w:val="auto"/>
              </w:rPr>
            </w:pPr>
            <w:r>
              <w:rPr>
                <w:rFonts w:ascii="Arial" w:cs="Arial" w:eastAsia="Arial" w:hAnsi="Arial"/>
                <w:sz w:val="14"/>
                <w:szCs w:val="14"/>
                <w:color w:val="auto"/>
              </w:rPr>
              <w:t>9,733</w:t>
            </w:r>
          </w:p>
        </w:tc>
      </w:tr>
      <w:tr>
        <w:trPr>
          <w:trHeight w:val="297"/>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Deferred RSUs</w:t>
            </w:r>
            <w:r>
              <w:rPr>
                <w:rFonts w:ascii="Arial" w:cs="Arial" w:eastAsia="Arial" w:hAnsi="Arial"/>
                <w:sz w:val="23"/>
                <w:szCs w:val="23"/>
                <w:color w:val="auto"/>
                <w:vertAlign w:val="superscript"/>
              </w:rPr>
              <w:t>(3)</w:t>
            </w:r>
          </w:p>
        </w:tc>
        <w:tc>
          <w:tcPr>
            <w:tcW w:w="122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BCEE0"/>
          </w:tcPr>
          <w:p>
            <w:pPr>
              <w:jc w:val="right"/>
              <w:ind w:right="328"/>
              <w:spacing w:after="0"/>
              <w:rPr>
                <w:sz w:val="20"/>
                <w:szCs w:val="20"/>
                <w:color w:val="auto"/>
              </w:rPr>
            </w:pPr>
            <w:r>
              <w:rPr>
                <w:rFonts w:ascii="Arial" w:cs="Arial" w:eastAsia="Arial" w:hAnsi="Arial"/>
                <w:sz w:val="14"/>
                <w:szCs w:val="14"/>
                <w:color w:val="auto"/>
              </w:rPr>
              <w:t>1,633</w:t>
            </w:r>
          </w:p>
        </w:tc>
        <w:tc>
          <w:tcPr>
            <w:tcW w:w="1380" w:type="dxa"/>
            <w:vAlign w:val="bottom"/>
            <w:shd w:val="clear" w:color="auto" w:fill="CBCEE0"/>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shd w:val="clear" w:color="auto" w:fill="CBCEE0"/>
          </w:tcPr>
          <w:p>
            <w:pPr>
              <w:jc w:val="right"/>
              <w:ind w:right="228"/>
              <w:spacing w:after="0"/>
              <w:rPr>
                <w:sz w:val="20"/>
                <w:szCs w:val="20"/>
                <w:color w:val="auto"/>
              </w:rPr>
            </w:pPr>
            <w:r>
              <w:rPr>
                <w:rFonts w:ascii="Arial" w:cs="Arial" w:eastAsia="Arial" w:hAnsi="Arial"/>
                <w:sz w:val="14"/>
                <w:szCs w:val="14"/>
                <w:color w:val="auto"/>
              </w:rPr>
              <w:t>11,972</w:t>
            </w:r>
          </w:p>
        </w:tc>
      </w:tr>
      <w:tr>
        <w:trPr>
          <w:trHeight w:val="297"/>
        </w:trPr>
        <w:tc>
          <w:tcPr>
            <w:tcW w:w="2720" w:type="dxa"/>
            <w:vAlign w:val="bottom"/>
            <w:tcBorders>
              <w:bottom w:val="single" w:sz="8" w:color="0072AF"/>
              <w:right w:val="single" w:sz="8" w:color="0072AF"/>
            </w:tcBorders>
          </w:tcPr>
          <w:p>
            <w:pPr>
              <w:spacing w:after="0"/>
              <w:rPr>
                <w:sz w:val="20"/>
                <w:szCs w:val="20"/>
                <w:color w:val="auto"/>
              </w:rPr>
            </w:pPr>
            <w:r>
              <w:rPr>
                <w:rFonts w:ascii="Arial" w:cs="Arial" w:eastAsia="Arial" w:hAnsi="Arial"/>
                <w:sz w:val="14"/>
                <w:szCs w:val="14"/>
                <w:color w:val="auto"/>
              </w:rPr>
              <w:t>Dividend Equivalents</w:t>
            </w:r>
            <w:r>
              <w:rPr>
                <w:rFonts w:ascii="Arial" w:cs="Arial" w:eastAsia="Arial" w:hAnsi="Arial"/>
                <w:sz w:val="23"/>
                <w:szCs w:val="23"/>
                <w:color w:val="auto"/>
                <w:vertAlign w:val="superscript"/>
              </w:rPr>
              <w:t>(3)</w:t>
            </w:r>
          </w:p>
        </w:tc>
        <w:tc>
          <w:tcPr>
            <w:tcW w:w="1220" w:type="dxa"/>
            <w:vAlign w:val="bottom"/>
            <w:tcBorders>
              <w:bottom w:val="single" w:sz="8" w:color="0072AF"/>
            </w:tcBorders>
            <w:shd w:val="clear" w:color="auto" w:fill="CBCEE0"/>
          </w:tcPr>
          <w:p>
            <w:pPr>
              <w:jc w:val="right"/>
              <w:ind w:right="268"/>
              <w:spacing w:after="0"/>
              <w:rPr>
                <w:sz w:val="20"/>
                <w:szCs w:val="20"/>
                <w:color w:val="auto"/>
              </w:rPr>
            </w:pPr>
            <w:r>
              <w:rPr>
                <w:rFonts w:ascii="Arial" w:cs="Arial" w:eastAsia="Arial" w:hAnsi="Arial"/>
                <w:sz w:val="14"/>
                <w:szCs w:val="14"/>
                <w:color w:val="auto"/>
              </w:rPr>
              <w:t>1,165</w:t>
            </w:r>
          </w:p>
        </w:tc>
        <w:tc>
          <w:tcPr>
            <w:tcW w:w="1300" w:type="dxa"/>
            <w:vAlign w:val="bottom"/>
            <w:tcBorders>
              <w:bottom w:val="single" w:sz="8" w:color="0072AF"/>
            </w:tcBorders>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0072AF"/>
            </w:tcBorders>
            <w:shd w:val="clear" w:color="auto" w:fill="CBCEE0"/>
          </w:tcPr>
          <w:p>
            <w:pPr>
              <w:jc w:val="right"/>
              <w:ind w:right="328"/>
              <w:spacing w:after="0"/>
              <w:rPr>
                <w:sz w:val="20"/>
                <w:szCs w:val="20"/>
                <w:color w:val="auto"/>
              </w:rPr>
            </w:pPr>
            <w:r>
              <w:rPr>
                <w:rFonts w:ascii="Arial" w:cs="Arial" w:eastAsia="Arial" w:hAnsi="Arial"/>
                <w:sz w:val="14"/>
                <w:szCs w:val="14"/>
                <w:color w:val="auto"/>
              </w:rPr>
              <w:t>877</w:t>
            </w:r>
          </w:p>
        </w:tc>
        <w:tc>
          <w:tcPr>
            <w:tcW w:w="1380" w:type="dxa"/>
            <w:vAlign w:val="bottom"/>
            <w:tcBorders>
              <w:bottom w:val="single" w:sz="8" w:color="0072AF"/>
            </w:tcBorders>
            <w:shd w:val="clear" w:color="auto" w:fill="CBCEE0"/>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tcBorders>
              <w:bottom w:val="single" w:sz="8" w:color="0072AF"/>
            </w:tcBorders>
            <w:shd w:val="clear" w:color="auto" w:fill="CBCEE0"/>
          </w:tcPr>
          <w:p>
            <w:pPr>
              <w:jc w:val="right"/>
              <w:ind w:right="228"/>
              <w:spacing w:after="0"/>
              <w:rPr>
                <w:sz w:val="20"/>
                <w:szCs w:val="20"/>
                <w:color w:val="auto"/>
              </w:rPr>
            </w:pPr>
            <w:r>
              <w:rPr>
                <w:rFonts w:ascii="Arial" w:cs="Arial" w:eastAsia="Arial" w:hAnsi="Arial"/>
                <w:sz w:val="14"/>
                <w:szCs w:val="14"/>
                <w:color w:val="auto"/>
              </w:rPr>
              <w:t>5,862</w:t>
            </w:r>
          </w:p>
        </w:tc>
      </w:tr>
      <w:tr>
        <w:trPr>
          <w:trHeight w:val="234"/>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b w:val="1"/>
                <w:bCs w:val="1"/>
                <w:color w:val="auto"/>
              </w:rPr>
              <w:t>Ana Chadwick</w:t>
            </w:r>
          </w:p>
        </w:tc>
        <w:tc>
          <w:tcPr>
            <w:tcW w:w="1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68"/>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401(k) Restoration Plan</w:t>
            </w:r>
            <w:r>
              <w:rPr>
                <w:rFonts w:ascii="Arial" w:cs="Arial" w:eastAsia="Arial" w:hAnsi="Arial"/>
                <w:sz w:val="23"/>
                <w:szCs w:val="23"/>
                <w:color w:val="auto"/>
                <w:vertAlign w:val="superscript"/>
              </w:rPr>
              <w:t>(1)</w:t>
            </w: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68"/>
              <w:spacing w:after="0"/>
              <w:rPr>
                <w:sz w:val="20"/>
                <w:szCs w:val="20"/>
                <w:color w:val="auto"/>
              </w:rPr>
            </w:pPr>
            <w:r>
              <w:rPr>
                <w:rFonts w:ascii="Arial" w:cs="Arial" w:eastAsia="Arial" w:hAnsi="Arial"/>
                <w:sz w:val="14"/>
                <w:szCs w:val="14"/>
                <w:color w:val="auto"/>
              </w:rPr>
              <w:t>32,449</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3,847</w:t>
            </w:r>
          </w:p>
        </w:tc>
        <w:tc>
          <w:tcPr>
            <w:tcW w:w="13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36,296</w:t>
            </w:r>
          </w:p>
        </w:tc>
      </w:tr>
      <w:tr>
        <w:trPr>
          <w:trHeight w:val="297"/>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Deferred Incentive Savings Plan</w:t>
            </w:r>
            <w:r>
              <w:rPr>
                <w:rFonts w:ascii="Arial" w:cs="Arial" w:eastAsia="Arial" w:hAnsi="Arial"/>
                <w:sz w:val="23"/>
                <w:szCs w:val="23"/>
                <w:color w:val="auto"/>
                <w:vertAlign w:val="superscript"/>
              </w:rPr>
              <w:t>(2)</w:t>
            </w: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1,214</w:t>
            </w:r>
          </w:p>
        </w:tc>
        <w:tc>
          <w:tcPr>
            <w:tcW w:w="13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5,835</w:t>
            </w:r>
          </w:p>
        </w:tc>
      </w:tr>
      <w:tr>
        <w:trPr>
          <w:trHeight w:val="297"/>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Deferred PSUs</w:t>
            </w:r>
            <w:r>
              <w:rPr>
                <w:rFonts w:ascii="Arial" w:cs="Arial" w:eastAsia="Arial" w:hAnsi="Arial"/>
                <w:sz w:val="23"/>
                <w:szCs w:val="23"/>
                <w:color w:val="auto"/>
                <w:vertAlign w:val="superscript"/>
              </w:rPr>
              <w:t>(3)</w:t>
            </w: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3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w:t>
            </w:r>
          </w:p>
        </w:tc>
      </w:tr>
      <w:tr>
        <w:trPr>
          <w:trHeight w:val="297"/>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Deferred RSUs</w:t>
            </w:r>
            <w:r>
              <w:rPr>
                <w:rFonts w:ascii="Arial" w:cs="Arial" w:eastAsia="Arial" w:hAnsi="Arial"/>
                <w:sz w:val="23"/>
                <w:szCs w:val="23"/>
                <w:color w:val="auto"/>
                <w:vertAlign w:val="superscript"/>
              </w:rPr>
              <w:t>(3)</w:t>
            </w: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3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w:t>
            </w:r>
          </w:p>
        </w:tc>
      </w:tr>
      <w:tr>
        <w:trPr>
          <w:trHeight w:val="255"/>
        </w:trPr>
        <w:tc>
          <w:tcPr>
            <w:tcW w:w="2720" w:type="dxa"/>
            <w:vAlign w:val="bottom"/>
            <w:tcBorders>
              <w:bottom w:val="single" w:sz="8" w:color="0072AF"/>
              <w:right w:val="single" w:sz="8" w:color="0072AF"/>
            </w:tcBorders>
          </w:tcPr>
          <w:p>
            <w:pPr>
              <w:spacing w:after="0" w:line="255" w:lineRule="exact"/>
              <w:rPr>
                <w:sz w:val="20"/>
                <w:szCs w:val="20"/>
                <w:color w:val="auto"/>
              </w:rPr>
            </w:pPr>
            <w:r>
              <w:rPr>
                <w:rFonts w:ascii="Arial" w:cs="Arial" w:eastAsia="Arial" w:hAnsi="Arial"/>
                <w:sz w:val="14"/>
                <w:szCs w:val="14"/>
                <w:color w:val="auto"/>
              </w:rPr>
              <w:t>Dividend Equivalents</w:t>
            </w:r>
            <w:r>
              <w:rPr>
                <w:rFonts w:ascii="Arial" w:cs="Arial" w:eastAsia="Arial" w:hAnsi="Arial"/>
                <w:sz w:val="23"/>
                <w:szCs w:val="23"/>
                <w:color w:val="auto"/>
                <w:vertAlign w:val="superscript"/>
              </w:rPr>
              <w:t>(3)</w:t>
            </w:r>
          </w:p>
        </w:tc>
        <w:tc>
          <w:tcPr>
            <w:tcW w:w="1220" w:type="dxa"/>
            <w:vAlign w:val="bottom"/>
            <w:tcBorders>
              <w:bottom w:val="single" w:sz="8" w:color="0072AF"/>
            </w:tcBorders>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0072AF"/>
            </w:tcBorders>
          </w:tcPr>
          <w:p>
            <w:pPr>
              <w:jc w:val="right"/>
              <w:ind w:right="2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0072AF"/>
            </w:tcBorders>
          </w:tcPr>
          <w:p>
            <w:pPr>
              <w:jc w:val="right"/>
              <w:ind w:right="3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0072AF"/>
            </w:tcBorders>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tcBorders>
              <w:bottom w:val="single" w:sz="8" w:color="0072AF"/>
            </w:tcBorders>
          </w:tcPr>
          <w:p>
            <w:pPr>
              <w:jc w:val="right"/>
              <w:ind w:right="248"/>
              <w:spacing w:after="0"/>
              <w:rPr>
                <w:sz w:val="20"/>
                <w:szCs w:val="20"/>
                <w:color w:val="auto"/>
              </w:rPr>
            </w:pPr>
            <w:r>
              <w:rPr>
                <w:rFonts w:ascii="Arial" w:cs="Arial" w:eastAsia="Arial" w:hAnsi="Arial"/>
                <w:sz w:val="14"/>
                <w:szCs w:val="14"/>
                <w:color w:val="auto"/>
              </w:rPr>
              <w:t>-</w:t>
            </w:r>
          </w:p>
        </w:tc>
      </w:tr>
      <w:tr>
        <w:trPr>
          <w:trHeight w:val="234"/>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b w:val="1"/>
                <w:bCs w:val="1"/>
                <w:color w:val="auto"/>
              </w:rPr>
              <w:t>Gregg Zegras</w:t>
            </w:r>
          </w:p>
        </w:tc>
        <w:tc>
          <w:tcPr>
            <w:tcW w:w="1220" w:type="dxa"/>
            <w:vAlign w:val="bottom"/>
            <w:shd w:val="clear" w:color="auto" w:fill="CBCEE0"/>
          </w:tcPr>
          <w:p>
            <w:pPr>
              <w:spacing w:after="0"/>
              <w:rPr>
                <w:sz w:val="20"/>
                <w:szCs w:val="20"/>
                <w:color w:val="auto"/>
              </w:rPr>
            </w:pPr>
          </w:p>
        </w:tc>
        <w:tc>
          <w:tcPr>
            <w:tcW w:w="1300" w:type="dxa"/>
            <w:vAlign w:val="bottom"/>
            <w:shd w:val="clear" w:color="auto" w:fill="CBCEE0"/>
          </w:tcPr>
          <w:p>
            <w:pPr>
              <w:spacing w:after="0"/>
              <w:rPr>
                <w:sz w:val="20"/>
                <w:szCs w:val="20"/>
                <w:color w:val="auto"/>
              </w:rPr>
            </w:pPr>
          </w:p>
        </w:tc>
        <w:tc>
          <w:tcPr>
            <w:tcW w:w="1360" w:type="dxa"/>
            <w:vAlign w:val="bottom"/>
            <w:shd w:val="clear" w:color="auto" w:fill="CBCEE0"/>
          </w:tcPr>
          <w:p>
            <w:pPr>
              <w:spacing w:after="0"/>
              <w:rPr>
                <w:sz w:val="20"/>
                <w:szCs w:val="20"/>
                <w:color w:val="auto"/>
              </w:rPr>
            </w:pPr>
          </w:p>
        </w:tc>
        <w:tc>
          <w:tcPr>
            <w:tcW w:w="1380" w:type="dxa"/>
            <w:vAlign w:val="bottom"/>
            <w:shd w:val="clear" w:color="auto" w:fill="CBCEE0"/>
          </w:tcPr>
          <w:p>
            <w:pPr>
              <w:spacing w:after="0"/>
              <w:rPr>
                <w:sz w:val="20"/>
                <w:szCs w:val="20"/>
                <w:color w:val="auto"/>
              </w:rPr>
            </w:pPr>
          </w:p>
        </w:tc>
        <w:tc>
          <w:tcPr>
            <w:tcW w:w="1200" w:type="dxa"/>
            <w:vAlign w:val="bottom"/>
            <w:shd w:val="clear" w:color="auto" w:fill="CBCEE0"/>
          </w:tcPr>
          <w:p>
            <w:pPr>
              <w:spacing w:after="0"/>
              <w:rPr>
                <w:sz w:val="20"/>
                <w:szCs w:val="20"/>
                <w:color w:val="auto"/>
              </w:rPr>
            </w:pPr>
          </w:p>
        </w:tc>
      </w:tr>
      <w:tr>
        <w:trPr>
          <w:trHeight w:val="326"/>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401(k) Restoration Plan</w:t>
            </w:r>
            <w:r>
              <w:rPr>
                <w:rFonts w:ascii="Arial" w:cs="Arial" w:eastAsia="Arial" w:hAnsi="Arial"/>
                <w:sz w:val="23"/>
                <w:szCs w:val="23"/>
                <w:color w:val="auto"/>
                <w:vertAlign w:val="superscript"/>
              </w:rPr>
              <w:t>(1)</w:t>
            </w:r>
          </w:p>
        </w:tc>
        <w:tc>
          <w:tcPr>
            <w:tcW w:w="122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BCEE0"/>
          </w:tcPr>
          <w:p>
            <w:pPr>
              <w:jc w:val="right"/>
              <w:ind w:right="268"/>
              <w:spacing w:after="0"/>
              <w:rPr>
                <w:sz w:val="20"/>
                <w:szCs w:val="20"/>
                <w:color w:val="auto"/>
              </w:rPr>
            </w:pPr>
            <w:r>
              <w:rPr>
                <w:rFonts w:ascii="Arial" w:cs="Arial" w:eastAsia="Arial" w:hAnsi="Arial"/>
                <w:sz w:val="14"/>
                <w:szCs w:val="14"/>
                <w:color w:val="auto"/>
              </w:rPr>
              <w:t>10,821</w:t>
            </w:r>
          </w:p>
        </w:tc>
        <w:tc>
          <w:tcPr>
            <w:tcW w:w="1360" w:type="dxa"/>
            <w:vAlign w:val="bottom"/>
            <w:shd w:val="clear" w:color="auto" w:fill="CBCEE0"/>
          </w:tcPr>
          <w:p>
            <w:pPr>
              <w:jc w:val="right"/>
              <w:ind w:right="328"/>
              <w:spacing w:after="0"/>
              <w:rPr>
                <w:sz w:val="20"/>
                <w:szCs w:val="20"/>
                <w:color w:val="auto"/>
              </w:rPr>
            </w:pPr>
            <w:r>
              <w:rPr>
                <w:rFonts w:ascii="Arial" w:cs="Arial" w:eastAsia="Arial" w:hAnsi="Arial"/>
                <w:sz w:val="14"/>
                <w:szCs w:val="14"/>
                <w:color w:val="auto"/>
              </w:rPr>
              <w:t>33,152</w:t>
            </w:r>
          </w:p>
        </w:tc>
        <w:tc>
          <w:tcPr>
            <w:tcW w:w="1380" w:type="dxa"/>
            <w:vAlign w:val="bottom"/>
            <w:shd w:val="clear" w:color="auto" w:fill="CBCEE0"/>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shd w:val="clear" w:color="auto" w:fill="CBCEE0"/>
          </w:tcPr>
          <w:p>
            <w:pPr>
              <w:jc w:val="right"/>
              <w:ind w:right="208"/>
              <w:spacing w:after="0"/>
              <w:rPr>
                <w:sz w:val="20"/>
                <w:szCs w:val="20"/>
                <w:color w:val="auto"/>
              </w:rPr>
            </w:pPr>
            <w:r>
              <w:rPr>
                <w:rFonts w:ascii="Arial" w:cs="Arial" w:eastAsia="Arial" w:hAnsi="Arial"/>
                <w:sz w:val="14"/>
                <w:szCs w:val="14"/>
                <w:color w:val="auto"/>
              </w:rPr>
              <w:t>223,525</w:t>
            </w:r>
          </w:p>
        </w:tc>
      </w:tr>
      <w:tr>
        <w:trPr>
          <w:trHeight w:val="297"/>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Deferred Incentive Savings Plan</w:t>
            </w:r>
            <w:r>
              <w:rPr>
                <w:rFonts w:ascii="Arial" w:cs="Arial" w:eastAsia="Arial" w:hAnsi="Arial"/>
                <w:sz w:val="23"/>
                <w:szCs w:val="23"/>
                <w:color w:val="auto"/>
                <w:vertAlign w:val="superscript"/>
              </w:rPr>
              <w:t>(2)</w:t>
            </w:r>
          </w:p>
        </w:tc>
        <w:tc>
          <w:tcPr>
            <w:tcW w:w="1220" w:type="dxa"/>
            <w:vAlign w:val="bottom"/>
            <w:shd w:val="clear" w:color="auto" w:fill="CBCEE0"/>
          </w:tcPr>
          <w:p>
            <w:pPr>
              <w:jc w:val="right"/>
              <w:ind w:right="268"/>
              <w:spacing w:after="0"/>
              <w:rPr>
                <w:sz w:val="20"/>
                <w:szCs w:val="20"/>
                <w:color w:val="auto"/>
              </w:rPr>
            </w:pPr>
            <w:r>
              <w:rPr>
                <w:rFonts w:ascii="Arial" w:cs="Arial" w:eastAsia="Arial" w:hAnsi="Arial"/>
                <w:sz w:val="14"/>
                <w:szCs w:val="14"/>
                <w:color w:val="auto"/>
              </w:rPr>
              <w:t>10,910</w:t>
            </w:r>
          </w:p>
        </w:tc>
        <w:tc>
          <w:tcPr>
            <w:tcW w:w="130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BCEE0"/>
          </w:tcPr>
          <w:p>
            <w:pPr>
              <w:jc w:val="right"/>
              <w:ind w:right="328"/>
              <w:spacing w:after="0"/>
              <w:rPr>
                <w:sz w:val="20"/>
                <w:szCs w:val="20"/>
                <w:color w:val="auto"/>
              </w:rPr>
            </w:pPr>
            <w:r>
              <w:rPr>
                <w:rFonts w:ascii="Arial" w:cs="Arial" w:eastAsia="Arial" w:hAnsi="Arial"/>
                <w:sz w:val="14"/>
                <w:szCs w:val="14"/>
                <w:color w:val="auto"/>
              </w:rPr>
              <w:t>464</w:t>
            </w:r>
          </w:p>
        </w:tc>
        <w:tc>
          <w:tcPr>
            <w:tcW w:w="1380" w:type="dxa"/>
            <w:vAlign w:val="bottom"/>
            <w:shd w:val="clear" w:color="auto" w:fill="CBCEE0"/>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shd w:val="clear" w:color="auto" w:fill="CBCEE0"/>
          </w:tcPr>
          <w:p>
            <w:pPr>
              <w:jc w:val="right"/>
              <w:ind w:right="228"/>
              <w:spacing w:after="0"/>
              <w:rPr>
                <w:sz w:val="20"/>
                <w:szCs w:val="20"/>
                <w:color w:val="auto"/>
              </w:rPr>
            </w:pPr>
            <w:r>
              <w:rPr>
                <w:rFonts w:ascii="Arial" w:cs="Arial" w:eastAsia="Arial" w:hAnsi="Arial"/>
                <w:sz w:val="14"/>
                <w:szCs w:val="14"/>
                <w:color w:val="auto"/>
              </w:rPr>
              <w:t>11,374</w:t>
            </w:r>
          </w:p>
        </w:tc>
      </w:tr>
      <w:tr>
        <w:trPr>
          <w:trHeight w:val="297"/>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Deferred PSUs</w:t>
            </w:r>
            <w:r>
              <w:rPr>
                <w:rFonts w:ascii="Arial" w:cs="Arial" w:eastAsia="Arial" w:hAnsi="Arial"/>
                <w:sz w:val="23"/>
                <w:szCs w:val="23"/>
                <w:color w:val="auto"/>
                <w:vertAlign w:val="superscript"/>
              </w:rPr>
              <w:t>(3)</w:t>
            </w:r>
          </w:p>
        </w:tc>
        <w:tc>
          <w:tcPr>
            <w:tcW w:w="122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BCEE0"/>
          </w:tcPr>
          <w:p>
            <w:pPr>
              <w:jc w:val="right"/>
              <w:ind w:right="3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BCEE0"/>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shd w:val="clear" w:color="auto" w:fill="CBCEE0"/>
          </w:tcPr>
          <w:p>
            <w:pPr>
              <w:jc w:val="right"/>
              <w:ind w:right="248"/>
              <w:spacing w:after="0"/>
              <w:rPr>
                <w:sz w:val="20"/>
                <w:szCs w:val="20"/>
                <w:color w:val="auto"/>
              </w:rPr>
            </w:pPr>
            <w:r>
              <w:rPr>
                <w:rFonts w:ascii="Arial" w:cs="Arial" w:eastAsia="Arial" w:hAnsi="Arial"/>
                <w:sz w:val="14"/>
                <w:szCs w:val="14"/>
                <w:color w:val="auto"/>
              </w:rPr>
              <w:t>-</w:t>
            </w:r>
          </w:p>
        </w:tc>
      </w:tr>
      <w:tr>
        <w:trPr>
          <w:trHeight w:val="297"/>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Deferred RSUs</w:t>
            </w:r>
            <w:r>
              <w:rPr>
                <w:rFonts w:ascii="Arial" w:cs="Arial" w:eastAsia="Arial" w:hAnsi="Arial"/>
                <w:sz w:val="23"/>
                <w:szCs w:val="23"/>
                <w:color w:val="auto"/>
                <w:vertAlign w:val="superscript"/>
              </w:rPr>
              <w:t>(3)</w:t>
            </w:r>
          </w:p>
        </w:tc>
        <w:tc>
          <w:tcPr>
            <w:tcW w:w="1220" w:type="dxa"/>
            <w:vAlign w:val="bottom"/>
            <w:shd w:val="clear" w:color="auto" w:fill="CBCEE0"/>
          </w:tcPr>
          <w:p>
            <w:pPr>
              <w:jc w:val="right"/>
              <w:ind w:right="268"/>
              <w:spacing w:after="0"/>
              <w:rPr>
                <w:sz w:val="20"/>
                <w:szCs w:val="20"/>
                <w:color w:val="auto"/>
              </w:rPr>
            </w:pPr>
            <w:r>
              <w:rPr>
                <w:rFonts w:ascii="Arial" w:cs="Arial" w:eastAsia="Arial" w:hAnsi="Arial"/>
                <w:sz w:val="14"/>
                <w:szCs w:val="14"/>
                <w:color w:val="auto"/>
              </w:rPr>
              <w:t>34,804</w:t>
            </w:r>
          </w:p>
        </w:tc>
        <w:tc>
          <w:tcPr>
            <w:tcW w:w="130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BCEE0"/>
          </w:tcPr>
          <w:p>
            <w:pPr>
              <w:jc w:val="right"/>
              <w:ind w:right="328"/>
              <w:spacing w:after="0"/>
              <w:rPr>
                <w:sz w:val="20"/>
                <w:szCs w:val="20"/>
                <w:color w:val="auto"/>
              </w:rPr>
            </w:pPr>
            <w:r>
              <w:rPr>
                <w:rFonts w:ascii="Arial" w:cs="Arial" w:eastAsia="Arial" w:hAnsi="Arial"/>
                <w:sz w:val="14"/>
                <w:szCs w:val="14"/>
                <w:color w:val="auto"/>
              </w:rPr>
              <w:t>10,751</w:t>
            </w:r>
          </w:p>
        </w:tc>
        <w:tc>
          <w:tcPr>
            <w:tcW w:w="1380" w:type="dxa"/>
            <w:vAlign w:val="bottom"/>
            <w:shd w:val="clear" w:color="auto" w:fill="CBCEE0"/>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shd w:val="clear" w:color="auto" w:fill="CBCEE0"/>
          </w:tcPr>
          <w:p>
            <w:pPr>
              <w:jc w:val="right"/>
              <w:ind w:right="228"/>
              <w:spacing w:after="0"/>
              <w:rPr>
                <w:sz w:val="20"/>
                <w:szCs w:val="20"/>
                <w:color w:val="auto"/>
              </w:rPr>
            </w:pPr>
            <w:r>
              <w:rPr>
                <w:rFonts w:ascii="Arial" w:cs="Arial" w:eastAsia="Arial" w:hAnsi="Arial"/>
                <w:sz w:val="14"/>
                <w:szCs w:val="14"/>
                <w:color w:val="auto"/>
              </w:rPr>
              <w:t>80,177</w:t>
            </w:r>
          </w:p>
        </w:tc>
      </w:tr>
      <w:tr>
        <w:trPr>
          <w:trHeight w:val="297"/>
        </w:trPr>
        <w:tc>
          <w:tcPr>
            <w:tcW w:w="2720" w:type="dxa"/>
            <w:vAlign w:val="bottom"/>
            <w:tcBorders>
              <w:bottom w:val="single" w:sz="8" w:color="0072AF"/>
              <w:right w:val="single" w:sz="8" w:color="0072AF"/>
            </w:tcBorders>
          </w:tcPr>
          <w:p>
            <w:pPr>
              <w:spacing w:after="0"/>
              <w:rPr>
                <w:sz w:val="20"/>
                <w:szCs w:val="20"/>
                <w:color w:val="auto"/>
              </w:rPr>
            </w:pPr>
            <w:r>
              <w:rPr>
                <w:rFonts w:ascii="Arial" w:cs="Arial" w:eastAsia="Arial" w:hAnsi="Arial"/>
                <w:sz w:val="14"/>
                <w:szCs w:val="14"/>
                <w:color w:val="auto"/>
              </w:rPr>
              <w:t>Dividend Equivalents</w:t>
            </w:r>
            <w:r>
              <w:rPr>
                <w:rFonts w:ascii="Arial" w:cs="Arial" w:eastAsia="Arial" w:hAnsi="Arial"/>
                <w:sz w:val="23"/>
                <w:szCs w:val="23"/>
                <w:color w:val="auto"/>
                <w:vertAlign w:val="superscript"/>
              </w:rPr>
              <w:t>(3)</w:t>
            </w:r>
          </w:p>
        </w:tc>
        <w:tc>
          <w:tcPr>
            <w:tcW w:w="1220" w:type="dxa"/>
            <w:vAlign w:val="bottom"/>
            <w:tcBorders>
              <w:bottom w:val="single" w:sz="8" w:color="0072AF"/>
            </w:tcBorders>
            <w:shd w:val="clear" w:color="auto" w:fill="CBCEE0"/>
          </w:tcPr>
          <w:p>
            <w:pPr>
              <w:jc w:val="right"/>
              <w:ind w:right="268"/>
              <w:spacing w:after="0"/>
              <w:rPr>
                <w:sz w:val="20"/>
                <w:szCs w:val="20"/>
                <w:color w:val="auto"/>
              </w:rPr>
            </w:pPr>
            <w:r>
              <w:rPr>
                <w:rFonts w:ascii="Arial" w:cs="Arial" w:eastAsia="Arial" w:hAnsi="Arial"/>
                <w:sz w:val="14"/>
                <w:szCs w:val="14"/>
                <w:color w:val="auto"/>
              </w:rPr>
              <w:t>3,213</w:t>
            </w:r>
          </w:p>
        </w:tc>
        <w:tc>
          <w:tcPr>
            <w:tcW w:w="1300" w:type="dxa"/>
            <w:vAlign w:val="bottom"/>
            <w:tcBorders>
              <w:bottom w:val="single" w:sz="8" w:color="0072AF"/>
            </w:tcBorders>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0072AF"/>
            </w:tcBorders>
            <w:shd w:val="clear" w:color="auto" w:fill="CBCEE0"/>
          </w:tcPr>
          <w:p>
            <w:pPr>
              <w:jc w:val="right"/>
              <w:ind w:right="328"/>
              <w:spacing w:after="0"/>
              <w:rPr>
                <w:sz w:val="20"/>
                <w:szCs w:val="20"/>
                <w:color w:val="auto"/>
              </w:rPr>
            </w:pPr>
            <w:r>
              <w:rPr>
                <w:rFonts w:ascii="Arial" w:cs="Arial" w:eastAsia="Arial" w:hAnsi="Arial"/>
                <w:sz w:val="14"/>
                <w:szCs w:val="14"/>
                <w:color w:val="auto"/>
              </w:rPr>
              <w:t>1,008</w:t>
            </w:r>
          </w:p>
        </w:tc>
        <w:tc>
          <w:tcPr>
            <w:tcW w:w="1380" w:type="dxa"/>
            <w:vAlign w:val="bottom"/>
            <w:tcBorders>
              <w:bottom w:val="single" w:sz="8" w:color="0072AF"/>
            </w:tcBorders>
            <w:shd w:val="clear" w:color="auto" w:fill="CBCEE0"/>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tcBorders>
              <w:bottom w:val="single" w:sz="8" w:color="0072AF"/>
            </w:tcBorders>
            <w:shd w:val="clear" w:color="auto" w:fill="CBCEE0"/>
          </w:tcPr>
          <w:p>
            <w:pPr>
              <w:jc w:val="right"/>
              <w:ind w:right="228"/>
              <w:spacing w:after="0"/>
              <w:rPr>
                <w:sz w:val="20"/>
                <w:szCs w:val="20"/>
                <w:color w:val="auto"/>
              </w:rPr>
            </w:pPr>
            <w:r>
              <w:rPr>
                <w:rFonts w:ascii="Arial" w:cs="Arial" w:eastAsia="Arial" w:hAnsi="Arial"/>
                <w:sz w:val="14"/>
                <w:szCs w:val="14"/>
                <w:color w:val="auto"/>
              </w:rPr>
              <w:t>5,624</w:t>
            </w:r>
          </w:p>
        </w:tc>
      </w:tr>
      <w:tr>
        <w:trPr>
          <w:trHeight w:val="235"/>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b w:val="1"/>
                <w:bCs w:val="1"/>
                <w:color w:val="auto"/>
              </w:rPr>
              <w:t>Daniel J. Goldstein</w:t>
            </w:r>
          </w:p>
        </w:tc>
        <w:tc>
          <w:tcPr>
            <w:tcW w:w="1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68"/>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401(k) Restoration Plan</w:t>
            </w:r>
            <w:r>
              <w:rPr>
                <w:rFonts w:ascii="Arial" w:cs="Arial" w:eastAsia="Arial" w:hAnsi="Arial"/>
                <w:sz w:val="23"/>
                <w:szCs w:val="23"/>
                <w:color w:val="auto"/>
                <w:vertAlign w:val="superscript"/>
              </w:rPr>
              <w:t>(1)</w:t>
            </w: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68"/>
              <w:spacing w:after="0"/>
              <w:rPr>
                <w:sz w:val="20"/>
                <w:szCs w:val="20"/>
                <w:color w:val="auto"/>
              </w:rPr>
            </w:pPr>
            <w:r>
              <w:rPr>
                <w:rFonts w:ascii="Arial" w:cs="Arial" w:eastAsia="Arial" w:hAnsi="Arial"/>
                <w:sz w:val="14"/>
                <w:szCs w:val="14"/>
                <w:color w:val="auto"/>
              </w:rPr>
              <w:t>24,606</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56,546</w:t>
            </w:r>
          </w:p>
        </w:tc>
        <w:tc>
          <w:tcPr>
            <w:tcW w:w="13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448,779</w:t>
            </w:r>
          </w:p>
        </w:tc>
      </w:tr>
      <w:tr>
        <w:trPr>
          <w:trHeight w:val="297"/>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Deferred Incentive Savings Plan</w:t>
            </w:r>
            <w:r>
              <w:rPr>
                <w:rFonts w:ascii="Arial" w:cs="Arial" w:eastAsia="Arial" w:hAnsi="Arial"/>
                <w:sz w:val="23"/>
                <w:szCs w:val="23"/>
                <w:color w:val="auto"/>
                <w:vertAlign w:val="superscript"/>
              </w:rPr>
              <w:t>(2)</w:t>
            </w: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66,422</w:t>
            </w:r>
          </w:p>
        </w:tc>
        <w:tc>
          <w:tcPr>
            <w:tcW w:w="13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516,093</w:t>
            </w:r>
          </w:p>
        </w:tc>
      </w:tr>
      <w:tr>
        <w:trPr>
          <w:trHeight w:val="297"/>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Deferred PSUs</w:t>
            </w:r>
            <w:r>
              <w:rPr>
                <w:rFonts w:ascii="Arial" w:cs="Arial" w:eastAsia="Arial" w:hAnsi="Arial"/>
                <w:sz w:val="23"/>
                <w:szCs w:val="23"/>
                <w:color w:val="auto"/>
                <w:vertAlign w:val="superscript"/>
              </w:rPr>
              <w:t>(3)</w:t>
            </w: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45,023</w:t>
            </w:r>
          </w:p>
        </w:tc>
        <w:tc>
          <w:tcPr>
            <w:tcW w:w="13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330,172</w:t>
            </w:r>
          </w:p>
        </w:tc>
      </w:tr>
      <w:tr>
        <w:trPr>
          <w:trHeight w:val="297"/>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Deferred RSUs</w:t>
            </w:r>
            <w:r>
              <w:rPr>
                <w:rFonts w:ascii="Arial" w:cs="Arial" w:eastAsia="Arial" w:hAnsi="Arial"/>
                <w:sz w:val="23"/>
                <w:szCs w:val="23"/>
                <w:color w:val="auto"/>
                <w:vertAlign w:val="superscript"/>
              </w:rPr>
              <w:t>(3)</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47,708</w:t>
            </w:r>
          </w:p>
        </w:tc>
        <w:tc>
          <w:tcPr>
            <w:tcW w:w="13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48,916</w:t>
            </w:r>
          </w:p>
        </w:tc>
        <w:tc>
          <w:tcPr>
            <w:tcW w:w="13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396,493</w:t>
            </w:r>
          </w:p>
        </w:tc>
      </w:tr>
      <w:tr>
        <w:trPr>
          <w:trHeight w:val="255"/>
        </w:trPr>
        <w:tc>
          <w:tcPr>
            <w:tcW w:w="2720" w:type="dxa"/>
            <w:vAlign w:val="bottom"/>
            <w:tcBorders>
              <w:bottom w:val="single" w:sz="8" w:color="0072AF"/>
              <w:right w:val="single" w:sz="8" w:color="0072AF"/>
            </w:tcBorders>
          </w:tcPr>
          <w:p>
            <w:pPr>
              <w:spacing w:after="0" w:line="255" w:lineRule="exact"/>
              <w:rPr>
                <w:sz w:val="20"/>
                <w:szCs w:val="20"/>
                <w:color w:val="auto"/>
              </w:rPr>
            </w:pPr>
            <w:r>
              <w:rPr>
                <w:rFonts w:ascii="Arial" w:cs="Arial" w:eastAsia="Arial" w:hAnsi="Arial"/>
                <w:sz w:val="14"/>
                <w:szCs w:val="14"/>
                <w:color w:val="auto"/>
              </w:rPr>
              <w:t>Dividend Equivalents</w:t>
            </w:r>
            <w:r>
              <w:rPr>
                <w:rFonts w:ascii="Arial" w:cs="Arial" w:eastAsia="Arial" w:hAnsi="Arial"/>
                <w:sz w:val="23"/>
                <w:szCs w:val="23"/>
                <w:color w:val="auto"/>
                <w:vertAlign w:val="superscript"/>
              </w:rPr>
              <w:t>(3)</w:t>
            </w:r>
          </w:p>
        </w:tc>
        <w:tc>
          <w:tcPr>
            <w:tcW w:w="1220" w:type="dxa"/>
            <w:vAlign w:val="bottom"/>
            <w:tcBorders>
              <w:bottom w:val="single" w:sz="8" w:color="0072AF"/>
            </w:tcBorders>
          </w:tcPr>
          <w:p>
            <w:pPr>
              <w:jc w:val="right"/>
              <w:ind w:right="268"/>
              <w:spacing w:after="0"/>
              <w:rPr>
                <w:sz w:val="20"/>
                <w:szCs w:val="20"/>
                <w:color w:val="auto"/>
              </w:rPr>
            </w:pPr>
            <w:r>
              <w:rPr>
                <w:rFonts w:ascii="Arial" w:cs="Arial" w:eastAsia="Arial" w:hAnsi="Arial"/>
                <w:sz w:val="14"/>
                <w:szCs w:val="14"/>
                <w:color w:val="auto"/>
              </w:rPr>
              <w:t>35,975</w:t>
            </w:r>
          </w:p>
        </w:tc>
        <w:tc>
          <w:tcPr>
            <w:tcW w:w="1300" w:type="dxa"/>
            <w:vAlign w:val="bottom"/>
            <w:tcBorders>
              <w:bottom w:val="single" w:sz="8" w:color="0072AF"/>
            </w:tcBorders>
          </w:tcPr>
          <w:p>
            <w:pPr>
              <w:jc w:val="right"/>
              <w:ind w:right="2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0072AF"/>
            </w:tcBorders>
          </w:tcPr>
          <w:p>
            <w:pPr>
              <w:jc w:val="right"/>
              <w:ind w:right="328"/>
              <w:spacing w:after="0"/>
              <w:rPr>
                <w:sz w:val="20"/>
                <w:szCs w:val="20"/>
                <w:color w:val="auto"/>
              </w:rPr>
            </w:pPr>
            <w:r>
              <w:rPr>
                <w:rFonts w:ascii="Arial" w:cs="Arial" w:eastAsia="Arial" w:hAnsi="Arial"/>
                <w:sz w:val="14"/>
                <w:szCs w:val="14"/>
                <w:color w:val="auto"/>
              </w:rPr>
              <w:t>18,773</w:t>
            </w:r>
          </w:p>
        </w:tc>
        <w:tc>
          <w:tcPr>
            <w:tcW w:w="1380" w:type="dxa"/>
            <w:vAlign w:val="bottom"/>
            <w:tcBorders>
              <w:bottom w:val="single" w:sz="8" w:color="0072AF"/>
            </w:tcBorders>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tcBorders>
              <w:bottom w:val="single" w:sz="8" w:color="0072AF"/>
            </w:tcBorders>
          </w:tcPr>
          <w:p>
            <w:pPr>
              <w:jc w:val="right"/>
              <w:ind w:right="208"/>
              <w:spacing w:after="0"/>
              <w:rPr>
                <w:sz w:val="20"/>
                <w:szCs w:val="20"/>
                <w:color w:val="auto"/>
              </w:rPr>
            </w:pPr>
            <w:r>
              <w:rPr>
                <w:rFonts w:ascii="Arial" w:cs="Arial" w:eastAsia="Arial" w:hAnsi="Arial"/>
                <w:sz w:val="14"/>
                <w:szCs w:val="14"/>
                <w:color w:val="auto"/>
              </w:rPr>
              <w:t>120,038</w:t>
            </w:r>
          </w:p>
        </w:tc>
      </w:tr>
      <w:tr>
        <w:trPr>
          <w:trHeight w:val="235"/>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b w:val="1"/>
                <w:bCs w:val="1"/>
                <w:color w:val="auto"/>
              </w:rPr>
              <w:t>James Fairweather</w:t>
            </w:r>
          </w:p>
        </w:tc>
        <w:tc>
          <w:tcPr>
            <w:tcW w:w="1220" w:type="dxa"/>
            <w:vAlign w:val="bottom"/>
            <w:shd w:val="clear" w:color="auto" w:fill="CBCEE0"/>
          </w:tcPr>
          <w:p>
            <w:pPr>
              <w:spacing w:after="0"/>
              <w:rPr>
                <w:sz w:val="20"/>
                <w:szCs w:val="20"/>
                <w:color w:val="auto"/>
              </w:rPr>
            </w:pPr>
          </w:p>
        </w:tc>
        <w:tc>
          <w:tcPr>
            <w:tcW w:w="1300" w:type="dxa"/>
            <w:vAlign w:val="bottom"/>
            <w:shd w:val="clear" w:color="auto" w:fill="CBCEE0"/>
          </w:tcPr>
          <w:p>
            <w:pPr>
              <w:spacing w:after="0"/>
              <w:rPr>
                <w:sz w:val="20"/>
                <w:szCs w:val="20"/>
                <w:color w:val="auto"/>
              </w:rPr>
            </w:pPr>
          </w:p>
        </w:tc>
        <w:tc>
          <w:tcPr>
            <w:tcW w:w="1360" w:type="dxa"/>
            <w:vAlign w:val="bottom"/>
            <w:shd w:val="clear" w:color="auto" w:fill="CBCEE0"/>
          </w:tcPr>
          <w:p>
            <w:pPr>
              <w:spacing w:after="0"/>
              <w:rPr>
                <w:sz w:val="20"/>
                <w:szCs w:val="20"/>
                <w:color w:val="auto"/>
              </w:rPr>
            </w:pPr>
          </w:p>
        </w:tc>
        <w:tc>
          <w:tcPr>
            <w:tcW w:w="1380" w:type="dxa"/>
            <w:vAlign w:val="bottom"/>
            <w:shd w:val="clear" w:color="auto" w:fill="CBCEE0"/>
          </w:tcPr>
          <w:p>
            <w:pPr>
              <w:spacing w:after="0"/>
              <w:rPr>
                <w:sz w:val="20"/>
                <w:szCs w:val="20"/>
                <w:color w:val="auto"/>
              </w:rPr>
            </w:pPr>
          </w:p>
        </w:tc>
        <w:tc>
          <w:tcPr>
            <w:tcW w:w="1200" w:type="dxa"/>
            <w:vAlign w:val="bottom"/>
            <w:shd w:val="clear" w:color="auto" w:fill="CBCEE0"/>
          </w:tcPr>
          <w:p>
            <w:pPr>
              <w:spacing w:after="0"/>
              <w:rPr>
                <w:sz w:val="20"/>
                <w:szCs w:val="20"/>
                <w:color w:val="auto"/>
              </w:rPr>
            </w:pPr>
          </w:p>
        </w:tc>
      </w:tr>
      <w:tr>
        <w:trPr>
          <w:trHeight w:val="326"/>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401(k) Restoration Plan</w:t>
            </w:r>
            <w:r>
              <w:rPr>
                <w:rFonts w:ascii="Arial" w:cs="Arial" w:eastAsia="Arial" w:hAnsi="Arial"/>
                <w:sz w:val="23"/>
                <w:szCs w:val="23"/>
                <w:color w:val="auto"/>
                <w:vertAlign w:val="superscript"/>
              </w:rPr>
              <w:t>(1)</w:t>
            </w:r>
          </w:p>
        </w:tc>
        <w:tc>
          <w:tcPr>
            <w:tcW w:w="122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BCEE0"/>
          </w:tcPr>
          <w:p>
            <w:pPr>
              <w:jc w:val="right"/>
              <w:ind w:right="268"/>
              <w:spacing w:after="0"/>
              <w:rPr>
                <w:sz w:val="20"/>
                <w:szCs w:val="20"/>
                <w:color w:val="auto"/>
              </w:rPr>
            </w:pPr>
            <w:r>
              <w:rPr>
                <w:rFonts w:ascii="Arial" w:cs="Arial" w:eastAsia="Arial" w:hAnsi="Arial"/>
                <w:sz w:val="14"/>
                <w:szCs w:val="14"/>
                <w:color w:val="auto"/>
              </w:rPr>
              <w:t>26,346</w:t>
            </w:r>
          </w:p>
        </w:tc>
        <w:tc>
          <w:tcPr>
            <w:tcW w:w="1360" w:type="dxa"/>
            <w:vAlign w:val="bottom"/>
            <w:shd w:val="clear" w:color="auto" w:fill="CBCEE0"/>
          </w:tcPr>
          <w:p>
            <w:pPr>
              <w:jc w:val="right"/>
              <w:ind w:right="328"/>
              <w:spacing w:after="0"/>
              <w:rPr>
                <w:sz w:val="20"/>
                <w:szCs w:val="20"/>
                <w:color w:val="auto"/>
              </w:rPr>
            </w:pPr>
            <w:r>
              <w:rPr>
                <w:rFonts w:ascii="Arial" w:cs="Arial" w:eastAsia="Arial" w:hAnsi="Arial"/>
                <w:sz w:val="14"/>
                <w:szCs w:val="14"/>
                <w:color w:val="auto"/>
              </w:rPr>
              <w:t>32,773</w:t>
            </w:r>
          </w:p>
        </w:tc>
        <w:tc>
          <w:tcPr>
            <w:tcW w:w="1380" w:type="dxa"/>
            <w:vAlign w:val="bottom"/>
            <w:shd w:val="clear" w:color="auto" w:fill="CBCEE0"/>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shd w:val="clear" w:color="auto" w:fill="CBCEE0"/>
          </w:tcPr>
          <w:p>
            <w:pPr>
              <w:jc w:val="right"/>
              <w:ind w:right="208"/>
              <w:spacing w:after="0"/>
              <w:rPr>
                <w:sz w:val="20"/>
                <w:szCs w:val="20"/>
                <w:color w:val="auto"/>
              </w:rPr>
            </w:pPr>
            <w:r>
              <w:rPr>
                <w:rFonts w:ascii="Arial" w:cs="Arial" w:eastAsia="Arial" w:hAnsi="Arial"/>
                <w:sz w:val="14"/>
                <w:szCs w:val="14"/>
                <w:color w:val="auto"/>
              </w:rPr>
              <w:t>219,902</w:t>
            </w:r>
          </w:p>
        </w:tc>
      </w:tr>
      <w:tr>
        <w:trPr>
          <w:trHeight w:val="297"/>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Deferred Incentive Savings Plan</w:t>
            </w:r>
            <w:r>
              <w:rPr>
                <w:rFonts w:ascii="Arial" w:cs="Arial" w:eastAsia="Arial" w:hAnsi="Arial"/>
                <w:sz w:val="23"/>
                <w:szCs w:val="23"/>
                <w:color w:val="auto"/>
                <w:vertAlign w:val="superscript"/>
              </w:rPr>
              <w:t>(2)</w:t>
            </w:r>
          </w:p>
        </w:tc>
        <w:tc>
          <w:tcPr>
            <w:tcW w:w="122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BCEE0"/>
          </w:tcPr>
          <w:p>
            <w:pPr>
              <w:jc w:val="right"/>
              <w:ind w:right="328"/>
              <w:spacing w:after="0"/>
              <w:rPr>
                <w:sz w:val="20"/>
                <w:szCs w:val="20"/>
                <w:color w:val="auto"/>
              </w:rPr>
            </w:pPr>
            <w:r>
              <w:rPr>
                <w:rFonts w:ascii="Arial" w:cs="Arial" w:eastAsia="Arial" w:hAnsi="Arial"/>
                <w:sz w:val="14"/>
                <w:szCs w:val="14"/>
                <w:color w:val="auto"/>
              </w:rPr>
              <w:t>8,048</w:t>
            </w:r>
          </w:p>
        </w:tc>
        <w:tc>
          <w:tcPr>
            <w:tcW w:w="1380" w:type="dxa"/>
            <w:vAlign w:val="bottom"/>
            <w:shd w:val="clear" w:color="auto" w:fill="CBCEE0"/>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shd w:val="clear" w:color="auto" w:fill="CBCEE0"/>
          </w:tcPr>
          <w:p>
            <w:pPr>
              <w:jc w:val="right"/>
              <w:ind w:right="208"/>
              <w:spacing w:after="0"/>
              <w:rPr>
                <w:sz w:val="20"/>
                <w:szCs w:val="20"/>
                <w:color w:val="auto"/>
              </w:rPr>
            </w:pPr>
            <w:r>
              <w:rPr>
                <w:rFonts w:ascii="Arial" w:cs="Arial" w:eastAsia="Arial" w:hAnsi="Arial"/>
                <w:sz w:val="14"/>
                <w:szCs w:val="14"/>
                <w:color w:val="auto"/>
              </w:rPr>
              <w:t>123,856</w:t>
            </w:r>
          </w:p>
        </w:tc>
      </w:tr>
      <w:tr>
        <w:trPr>
          <w:trHeight w:val="297"/>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Deferred PSUs</w:t>
            </w:r>
            <w:r>
              <w:rPr>
                <w:rFonts w:ascii="Arial" w:cs="Arial" w:eastAsia="Arial" w:hAnsi="Arial"/>
                <w:sz w:val="23"/>
                <w:szCs w:val="23"/>
                <w:color w:val="auto"/>
                <w:vertAlign w:val="superscript"/>
              </w:rPr>
              <w:t>(3)</w:t>
            </w:r>
          </w:p>
        </w:tc>
        <w:tc>
          <w:tcPr>
            <w:tcW w:w="122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BCEE0"/>
          </w:tcPr>
          <w:p>
            <w:pPr>
              <w:jc w:val="right"/>
              <w:ind w:right="3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BCEE0"/>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shd w:val="clear" w:color="auto" w:fill="CBCEE0"/>
          </w:tcPr>
          <w:p>
            <w:pPr>
              <w:jc w:val="right"/>
              <w:ind w:right="248"/>
              <w:spacing w:after="0"/>
              <w:rPr>
                <w:sz w:val="20"/>
                <w:szCs w:val="20"/>
                <w:color w:val="auto"/>
              </w:rPr>
            </w:pPr>
            <w:r>
              <w:rPr>
                <w:rFonts w:ascii="Arial" w:cs="Arial" w:eastAsia="Arial" w:hAnsi="Arial"/>
                <w:sz w:val="14"/>
                <w:szCs w:val="14"/>
                <w:color w:val="auto"/>
              </w:rPr>
              <w:t>-</w:t>
            </w:r>
          </w:p>
        </w:tc>
      </w:tr>
      <w:tr>
        <w:trPr>
          <w:trHeight w:val="297"/>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Deferred RSUs</w:t>
            </w:r>
            <w:r>
              <w:rPr>
                <w:rFonts w:ascii="Arial" w:cs="Arial" w:eastAsia="Arial" w:hAnsi="Arial"/>
                <w:sz w:val="23"/>
                <w:szCs w:val="23"/>
                <w:color w:val="auto"/>
                <w:vertAlign w:val="superscript"/>
              </w:rPr>
              <w:t>(3)</w:t>
            </w:r>
          </w:p>
        </w:tc>
        <w:tc>
          <w:tcPr>
            <w:tcW w:w="122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BCEE0"/>
          </w:tcPr>
          <w:p>
            <w:pPr>
              <w:jc w:val="right"/>
              <w:ind w:right="328"/>
              <w:spacing w:after="0"/>
              <w:rPr>
                <w:sz w:val="20"/>
                <w:szCs w:val="20"/>
                <w:color w:val="auto"/>
              </w:rPr>
            </w:pPr>
            <w:r>
              <w:rPr>
                <w:rFonts w:ascii="Arial" w:cs="Arial" w:eastAsia="Arial" w:hAnsi="Arial"/>
                <w:sz w:val="14"/>
                <w:szCs w:val="14"/>
                <w:color w:val="auto"/>
              </w:rPr>
              <w:t>6,034</w:t>
            </w:r>
          </w:p>
        </w:tc>
        <w:tc>
          <w:tcPr>
            <w:tcW w:w="1380" w:type="dxa"/>
            <w:vAlign w:val="bottom"/>
            <w:shd w:val="clear" w:color="auto" w:fill="CBCEE0"/>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shd w:val="clear" w:color="auto" w:fill="CBCEE0"/>
          </w:tcPr>
          <w:p>
            <w:pPr>
              <w:jc w:val="right"/>
              <w:ind w:right="228"/>
              <w:spacing w:after="0"/>
              <w:rPr>
                <w:sz w:val="20"/>
                <w:szCs w:val="20"/>
                <w:color w:val="auto"/>
              </w:rPr>
            </w:pPr>
            <w:r>
              <w:rPr>
                <w:rFonts w:ascii="Arial" w:cs="Arial" w:eastAsia="Arial" w:hAnsi="Arial"/>
                <w:sz w:val="14"/>
                <w:szCs w:val="14"/>
                <w:color w:val="auto"/>
              </w:rPr>
              <w:t>44,251</w:t>
            </w:r>
          </w:p>
        </w:tc>
      </w:tr>
      <w:tr>
        <w:trPr>
          <w:trHeight w:val="297"/>
        </w:trPr>
        <w:tc>
          <w:tcPr>
            <w:tcW w:w="2720" w:type="dxa"/>
            <w:vAlign w:val="bottom"/>
            <w:tcBorders>
              <w:bottom w:val="single" w:sz="8" w:color="0072AF"/>
              <w:right w:val="single" w:sz="8" w:color="0072AF"/>
            </w:tcBorders>
          </w:tcPr>
          <w:p>
            <w:pPr>
              <w:spacing w:after="0"/>
              <w:rPr>
                <w:sz w:val="20"/>
                <w:szCs w:val="20"/>
                <w:color w:val="auto"/>
              </w:rPr>
            </w:pPr>
            <w:r>
              <w:rPr>
                <w:rFonts w:ascii="Arial" w:cs="Arial" w:eastAsia="Arial" w:hAnsi="Arial"/>
                <w:sz w:val="14"/>
                <w:szCs w:val="14"/>
                <w:color w:val="auto"/>
              </w:rPr>
              <w:t>Dividend Equivalents</w:t>
            </w:r>
            <w:r>
              <w:rPr>
                <w:rFonts w:ascii="Arial" w:cs="Arial" w:eastAsia="Arial" w:hAnsi="Arial"/>
                <w:sz w:val="23"/>
                <w:szCs w:val="23"/>
                <w:color w:val="auto"/>
                <w:vertAlign w:val="superscript"/>
              </w:rPr>
              <w:t>(3)</w:t>
            </w:r>
          </w:p>
        </w:tc>
        <w:tc>
          <w:tcPr>
            <w:tcW w:w="1220" w:type="dxa"/>
            <w:vAlign w:val="bottom"/>
            <w:tcBorders>
              <w:bottom w:val="single" w:sz="8" w:color="0072AF"/>
            </w:tcBorders>
            <w:shd w:val="clear" w:color="auto" w:fill="CBCEE0"/>
          </w:tcPr>
          <w:p>
            <w:pPr>
              <w:jc w:val="right"/>
              <w:ind w:right="268"/>
              <w:spacing w:after="0"/>
              <w:rPr>
                <w:sz w:val="20"/>
                <w:szCs w:val="20"/>
                <w:color w:val="auto"/>
              </w:rPr>
            </w:pPr>
            <w:r>
              <w:rPr>
                <w:rFonts w:ascii="Arial" w:cs="Arial" w:eastAsia="Arial" w:hAnsi="Arial"/>
                <w:sz w:val="14"/>
                <w:szCs w:val="14"/>
                <w:color w:val="auto"/>
              </w:rPr>
              <w:t>2,400</w:t>
            </w:r>
          </w:p>
        </w:tc>
        <w:tc>
          <w:tcPr>
            <w:tcW w:w="1300" w:type="dxa"/>
            <w:vAlign w:val="bottom"/>
            <w:tcBorders>
              <w:bottom w:val="single" w:sz="8" w:color="0072AF"/>
            </w:tcBorders>
            <w:shd w:val="clear" w:color="auto" w:fill="CBCEE0"/>
          </w:tcPr>
          <w:p>
            <w:pPr>
              <w:jc w:val="right"/>
              <w:ind w:right="2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0072AF"/>
            </w:tcBorders>
            <w:shd w:val="clear" w:color="auto" w:fill="CBCEE0"/>
          </w:tcPr>
          <w:p>
            <w:pPr>
              <w:jc w:val="right"/>
              <w:ind w:right="328"/>
              <w:spacing w:after="0"/>
              <w:rPr>
                <w:sz w:val="20"/>
                <w:szCs w:val="20"/>
                <w:color w:val="auto"/>
              </w:rPr>
            </w:pPr>
            <w:r>
              <w:rPr>
                <w:rFonts w:ascii="Arial" w:cs="Arial" w:eastAsia="Arial" w:hAnsi="Arial"/>
                <w:sz w:val="14"/>
                <w:szCs w:val="14"/>
                <w:color w:val="auto"/>
              </w:rPr>
              <w:t>1,860</w:t>
            </w:r>
          </w:p>
        </w:tc>
        <w:tc>
          <w:tcPr>
            <w:tcW w:w="1380" w:type="dxa"/>
            <w:vAlign w:val="bottom"/>
            <w:tcBorders>
              <w:bottom w:val="single" w:sz="8" w:color="0072AF"/>
            </w:tcBorders>
            <w:shd w:val="clear" w:color="auto" w:fill="CBCEE0"/>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tcBorders>
              <w:bottom w:val="single" w:sz="8" w:color="0072AF"/>
            </w:tcBorders>
            <w:shd w:val="clear" w:color="auto" w:fill="CBCEE0"/>
          </w:tcPr>
          <w:p>
            <w:pPr>
              <w:jc w:val="right"/>
              <w:ind w:right="228"/>
              <w:spacing w:after="0"/>
              <w:rPr>
                <w:sz w:val="20"/>
                <w:szCs w:val="20"/>
                <w:color w:val="auto"/>
              </w:rPr>
            </w:pPr>
            <w:r>
              <w:rPr>
                <w:rFonts w:ascii="Arial" w:cs="Arial" w:eastAsia="Arial" w:hAnsi="Arial"/>
                <w:sz w:val="14"/>
                <w:szCs w:val="14"/>
                <w:color w:val="auto"/>
              </w:rPr>
              <w:t>12,465</w:t>
            </w:r>
          </w:p>
        </w:tc>
      </w:tr>
      <w:tr>
        <w:trPr>
          <w:trHeight w:val="235"/>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b w:val="1"/>
                <w:bCs w:val="1"/>
                <w:color w:val="auto"/>
              </w:rPr>
              <w:t>Marc B. Lautenbach</w:t>
            </w:r>
          </w:p>
        </w:tc>
        <w:tc>
          <w:tcPr>
            <w:tcW w:w="1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68"/>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401(k) Restoration Plan</w:t>
            </w:r>
            <w:r>
              <w:rPr>
                <w:rFonts w:ascii="Arial" w:cs="Arial" w:eastAsia="Arial" w:hAnsi="Arial"/>
                <w:sz w:val="23"/>
                <w:szCs w:val="23"/>
                <w:color w:val="auto"/>
                <w:vertAlign w:val="superscript"/>
              </w:rPr>
              <w:t>(1)</w:t>
            </w: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48"/>
              <w:spacing w:after="0"/>
              <w:rPr>
                <w:sz w:val="20"/>
                <w:szCs w:val="20"/>
                <w:color w:val="auto"/>
              </w:rPr>
            </w:pPr>
            <w:r>
              <w:rPr>
                <w:rFonts w:ascii="Arial" w:cs="Arial" w:eastAsia="Arial" w:hAnsi="Arial"/>
                <w:sz w:val="14"/>
                <w:szCs w:val="14"/>
                <w:color w:val="auto"/>
              </w:rPr>
              <w:t>101,595</w:t>
            </w: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146,155</w:t>
            </w:r>
          </w:p>
        </w:tc>
        <w:tc>
          <w:tcPr>
            <w:tcW w:w="13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1,174,528</w:t>
            </w:r>
          </w:p>
        </w:tc>
      </w:tr>
      <w:tr>
        <w:trPr>
          <w:trHeight w:val="297"/>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Deferred Incentive Savings Plan</w:t>
            </w:r>
            <w:r>
              <w:rPr>
                <w:rFonts w:ascii="Arial" w:cs="Arial" w:eastAsia="Arial" w:hAnsi="Arial"/>
                <w:sz w:val="23"/>
                <w:szCs w:val="23"/>
                <w:color w:val="auto"/>
                <w:vertAlign w:val="superscript"/>
              </w:rPr>
              <w:t>(2)</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37,125</w:t>
            </w:r>
          </w:p>
        </w:tc>
        <w:tc>
          <w:tcPr>
            <w:tcW w:w="13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64,824</w:t>
            </w:r>
          </w:p>
        </w:tc>
        <w:tc>
          <w:tcPr>
            <w:tcW w:w="13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480,627</w:t>
            </w:r>
          </w:p>
        </w:tc>
      </w:tr>
      <w:tr>
        <w:trPr>
          <w:trHeight w:val="297"/>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Deferred PSUs</w:t>
            </w:r>
            <w:r>
              <w:rPr>
                <w:rFonts w:ascii="Arial" w:cs="Arial" w:eastAsia="Arial" w:hAnsi="Arial"/>
                <w:sz w:val="23"/>
                <w:szCs w:val="23"/>
                <w:color w:val="auto"/>
                <w:vertAlign w:val="superscript"/>
              </w:rPr>
              <w:t>(3)</w:t>
            </w: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394,276</w:t>
            </w:r>
          </w:p>
        </w:tc>
        <w:tc>
          <w:tcPr>
            <w:tcW w:w="13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2,891,359</w:t>
            </w:r>
          </w:p>
        </w:tc>
      </w:tr>
      <w:tr>
        <w:trPr>
          <w:trHeight w:val="297"/>
        </w:trPr>
        <w:tc>
          <w:tcPr>
            <w:tcW w:w="2720" w:type="dxa"/>
            <w:vAlign w:val="bottom"/>
            <w:tcBorders>
              <w:right w:val="single" w:sz="8" w:color="0072AF"/>
            </w:tcBorders>
          </w:tcPr>
          <w:p>
            <w:pPr>
              <w:spacing w:after="0"/>
              <w:rPr>
                <w:sz w:val="20"/>
                <w:szCs w:val="20"/>
                <w:color w:val="auto"/>
              </w:rPr>
            </w:pPr>
            <w:r>
              <w:rPr>
                <w:rFonts w:ascii="Arial" w:cs="Arial" w:eastAsia="Arial" w:hAnsi="Arial"/>
                <w:sz w:val="14"/>
                <w:szCs w:val="14"/>
                <w:color w:val="auto"/>
              </w:rPr>
              <w:t>Deferred RSUs</w:t>
            </w:r>
            <w:r>
              <w:rPr>
                <w:rFonts w:ascii="Arial" w:cs="Arial" w:eastAsia="Arial" w:hAnsi="Arial"/>
                <w:sz w:val="23"/>
                <w:szCs w:val="23"/>
                <w:color w:val="auto"/>
                <w:vertAlign w:val="superscript"/>
              </w:rPr>
              <w:t>(3)</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800,182</w:t>
            </w:r>
          </w:p>
        </w:tc>
        <w:tc>
          <w:tcPr>
            <w:tcW w:w="13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681,199</w:t>
            </w:r>
          </w:p>
        </w:tc>
        <w:tc>
          <w:tcPr>
            <w:tcW w:w="13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5,081,208</w:t>
            </w:r>
          </w:p>
        </w:tc>
      </w:tr>
      <w:tr>
        <w:trPr>
          <w:trHeight w:val="309"/>
        </w:trPr>
        <w:tc>
          <w:tcPr>
            <w:tcW w:w="2720" w:type="dxa"/>
            <w:vAlign w:val="bottom"/>
            <w:tcBorders>
              <w:bottom w:val="single" w:sz="8" w:color="0072AF"/>
              <w:right w:val="single" w:sz="8" w:color="0072AF"/>
            </w:tcBorders>
          </w:tcPr>
          <w:p>
            <w:pPr>
              <w:spacing w:after="0"/>
              <w:rPr>
                <w:sz w:val="20"/>
                <w:szCs w:val="20"/>
                <w:color w:val="auto"/>
              </w:rPr>
            </w:pPr>
            <w:r>
              <w:rPr>
                <w:rFonts w:ascii="Arial" w:cs="Arial" w:eastAsia="Arial" w:hAnsi="Arial"/>
                <w:sz w:val="14"/>
                <w:szCs w:val="14"/>
                <w:color w:val="auto"/>
              </w:rPr>
              <w:t>Dividend Equivalents</w:t>
            </w:r>
            <w:r>
              <w:rPr>
                <w:rFonts w:ascii="Arial" w:cs="Arial" w:eastAsia="Arial" w:hAnsi="Arial"/>
                <w:sz w:val="23"/>
                <w:szCs w:val="23"/>
                <w:color w:val="auto"/>
                <w:vertAlign w:val="superscript"/>
              </w:rPr>
              <w:t>(3)</w:t>
            </w:r>
          </w:p>
        </w:tc>
        <w:tc>
          <w:tcPr>
            <w:tcW w:w="1220" w:type="dxa"/>
            <w:vAlign w:val="bottom"/>
            <w:tcBorders>
              <w:bottom w:val="single" w:sz="8" w:color="0072AF"/>
            </w:tcBorders>
          </w:tcPr>
          <w:p>
            <w:pPr>
              <w:jc w:val="right"/>
              <w:ind w:right="248"/>
              <w:spacing w:after="0"/>
              <w:rPr>
                <w:sz w:val="20"/>
                <w:szCs w:val="20"/>
                <w:color w:val="auto"/>
              </w:rPr>
            </w:pPr>
            <w:r>
              <w:rPr>
                <w:rFonts w:ascii="Arial" w:cs="Arial" w:eastAsia="Arial" w:hAnsi="Arial"/>
                <w:sz w:val="14"/>
                <w:szCs w:val="14"/>
                <w:color w:val="auto"/>
              </w:rPr>
              <w:t>382,332</w:t>
            </w:r>
          </w:p>
        </w:tc>
        <w:tc>
          <w:tcPr>
            <w:tcW w:w="1300" w:type="dxa"/>
            <w:vAlign w:val="bottom"/>
            <w:tcBorders>
              <w:bottom w:val="single" w:sz="8" w:color="0072AF"/>
            </w:tcBorders>
          </w:tcPr>
          <w:p>
            <w:pPr>
              <w:jc w:val="right"/>
              <w:ind w:right="2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0072AF"/>
            </w:tcBorders>
          </w:tcPr>
          <w:p>
            <w:pPr>
              <w:jc w:val="right"/>
              <w:ind w:right="308"/>
              <w:spacing w:after="0"/>
              <w:rPr>
                <w:sz w:val="20"/>
                <w:szCs w:val="20"/>
                <w:color w:val="auto"/>
              </w:rPr>
            </w:pPr>
            <w:r>
              <w:rPr>
                <w:rFonts w:ascii="Arial" w:cs="Arial" w:eastAsia="Arial" w:hAnsi="Arial"/>
                <w:sz w:val="14"/>
                <w:szCs w:val="14"/>
                <w:color w:val="auto"/>
              </w:rPr>
              <w:t>190,185</w:t>
            </w:r>
          </w:p>
        </w:tc>
        <w:tc>
          <w:tcPr>
            <w:tcW w:w="1380" w:type="dxa"/>
            <w:vAlign w:val="bottom"/>
            <w:tcBorders>
              <w:bottom w:val="single" w:sz="8" w:color="0072AF"/>
            </w:tcBorders>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tcBorders>
              <w:bottom w:val="single" w:sz="8" w:color="0072AF"/>
            </w:tcBorders>
          </w:tcPr>
          <w:p>
            <w:pPr>
              <w:jc w:val="right"/>
              <w:ind w:right="208"/>
              <w:spacing w:after="0"/>
              <w:rPr>
                <w:sz w:val="20"/>
                <w:szCs w:val="20"/>
                <w:color w:val="auto"/>
              </w:rPr>
            </w:pPr>
            <w:r>
              <w:rPr>
                <w:rFonts w:ascii="Arial" w:cs="Arial" w:eastAsia="Arial" w:hAnsi="Arial"/>
                <w:sz w:val="14"/>
                <w:szCs w:val="14"/>
                <w:color w:val="auto"/>
              </w:rPr>
              <w:t>1,207,994</w:t>
            </w:r>
          </w:p>
        </w:tc>
      </w:tr>
    </w:tbl>
    <w:p>
      <w:pPr>
        <w:spacing w:after="0" w:line="153" w:lineRule="exact"/>
        <w:rPr>
          <w:sz w:val="20"/>
          <w:szCs w:val="20"/>
          <w:color w:val="auto"/>
        </w:rPr>
      </w:pPr>
    </w:p>
    <w:p>
      <w:pPr>
        <w:ind w:left="346" w:hanging="346"/>
        <w:spacing w:after="0" w:line="204" w:lineRule="auto"/>
        <w:tabs>
          <w:tab w:leader="none" w:pos="346"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In the Registrant Contributions in Last FY ($) column amounts shown are Company contributions to the Pitney Bowes 401(k) Restoration Plan earned in 2022 and credited under the 401(k) Restoration Plan in 2023.</w:t>
      </w:r>
    </w:p>
    <w:p>
      <w:pPr>
        <w:spacing w:after="0" w:line="26" w:lineRule="exact"/>
        <w:rPr>
          <w:sz w:val="20"/>
          <w:szCs w:val="20"/>
          <w:color w:val="auto"/>
        </w:rPr>
      </w:pPr>
    </w:p>
    <w:p>
      <w:pPr>
        <w:ind w:left="346" w:right="20" w:hanging="346"/>
        <w:spacing w:after="0" w:line="281" w:lineRule="auto"/>
        <w:tabs>
          <w:tab w:leader="none" w:pos="346"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 the Aggregate Earnings/(Loss) in Last FY ($) column amounts shown are the respective earnings or losses in the Pitney Bowes 401(k) Restoration Plan. These earnings or losses are not included in the Summary Compensation Table.</w:t>
      </w:r>
    </w:p>
    <w:p>
      <w:pPr>
        <w:spacing w:after="0" w:line="1" w:lineRule="exact"/>
        <w:rPr>
          <w:rFonts w:ascii="Arial" w:cs="Arial" w:eastAsia="Arial" w:hAnsi="Arial"/>
          <w:sz w:val="14"/>
          <w:szCs w:val="14"/>
          <w:color w:val="auto"/>
        </w:rPr>
      </w:pPr>
    </w:p>
    <w:p>
      <w:pPr>
        <w:jc w:val="both"/>
        <w:ind w:left="346" w:hanging="346"/>
        <w:spacing w:after="0" w:line="244" w:lineRule="auto"/>
        <w:tabs>
          <w:tab w:leader="none" w:pos="346"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 the Aggregate Balance at Last FYE ($) column, the aggregate balance for the 401(k) Restoration Plan includes amounts previously reported as compensation in the Summary Compensation Table as follows: $133,244 for Mr. Dies; $77,231 for Mr. Zegras; $245,556 for Mr. Goldstein; $51,543 for Mr. Fairweather; and $728,418 for Mr. Lautenbach.</w:t>
      </w:r>
    </w:p>
    <w:p>
      <w:pPr>
        <w:spacing w:after="0" w:line="49" w:lineRule="exact"/>
        <w:rPr>
          <w:sz w:val="20"/>
          <w:szCs w:val="20"/>
          <w:color w:val="auto"/>
        </w:rPr>
      </w:pPr>
    </w:p>
    <w:p>
      <w:pPr>
        <w:ind w:left="346" w:hanging="346"/>
        <w:spacing w:after="0" w:line="204" w:lineRule="auto"/>
        <w:tabs>
          <w:tab w:leader="none" w:pos="346"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In the Executive Contributions in Last FY ($) column, amounts represent the portion of the annual incentives earned in 2022 and paid in 2023 and deferred under the DISP.</w:t>
      </w:r>
    </w:p>
    <w:p>
      <w:pPr>
        <w:spacing w:after="0" w:line="26" w:lineRule="exact"/>
        <w:rPr>
          <w:sz w:val="20"/>
          <w:szCs w:val="20"/>
          <w:color w:val="auto"/>
        </w:rPr>
      </w:pPr>
    </w:p>
    <w:p>
      <w:pPr>
        <w:ind w:left="346" w:right="20" w:hanging="346"/>
        <w:spacing w:after="0" w:line="281" w:lineRule="auto"/>
        <w:tabs>
          <w:tab w:leader="none" w:pos="346"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 the Aggregate Earnings/(Loss) in Last FY ($) column, amounts shown are the respective earnings or losses in the Pitney Bowes DISP. These earnings or losses are not included in the Summary Compensation Table.</w:t>
      </w:r>
    </w:p>
    <w:p>
      <w:pPr>
        <w:spacing w:after="0" w:line="1" w:lineRule="exact"/>
        <w:rPr>
          <w:rFonts w:ascii="Arial" w:cs="Arial" w:eastAsia="Arial" w:hAnsi="Arial"/>
          <w:sz w:val="14"/>
          <w:szCs w:val="14"/>
          <w:color w:val="auto"/>
        </w:rPr>
      </w:pPr>
    </w:p>
    <w:p>
      <w:pPr>
        <w:jc w:val="both"/>
        <w:ind w:left="346" w:hanging="346"/>
        <w:spacing w:after="0" w:line="263" w:lineRule="auto"/>
        <w:tabs>
          <w:tab w:leader="none" w:pos="346"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 the Aggregate Balance at Last FYE ($) column, the aggregate balance for the DISP includes amounts previously reported as compensation in the Summary Compensation Table as follows: $140,505 for Mr. Dies; $5,139 for Ms. Chadwick; $210,000 for Mr. Goldstein; and $393,071 for Mr. Lautenbach.</w:t>
      </w:r>
    </w:p>
    <w:p>
      <w:pPr>
        <w:spacing w:after="0" w:line="163"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128905</wp:posOffset>
            </wp:positionV>
            <wp:extent cx="699516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448" w:gutter="0" w:footer="0" w:header="0"/>
        </w:sectPr>
      </w:pPr>
    </w:p>
    <w:bookmarkStart w:id="83" w:name="page84"/>
    <w:bookmarkEnd w:id="83"/>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EXECUTIVE COMPENSATION TABLES AND RELATED NARRATIVE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33" w:lineRule="exact"/>
        <w:rPr>
          <w:sz w:val="20"/>
          <w:szCs w:val="20"/>
          <w:color w:val="auto"/>
        </w:rPr>
      </w:pPr>
    </w:p>
    <w:p>
      <w:pPr>
        <w:jc w:val="both"/>
        <w:ind w:left="346" w:hanging="346"/>
        <w:spacing w:after="0" w:line="214" w:lineRule="auto"/>
        <w:tabs>
          <w:tab w:leader="none" w:pos="346"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In the Executive Contributions in Last FY column, the value of executive contributions is calculated by multiplying the number of deferred PSUs and RSUs that vested in 2023 by the average of the high and low trading price of a share of Common Stock on the vesting date, and deferred dividend equivalents by the closing price of a share of Common Stock on the dividend date.</w:t>
      </w:r>
    </w:p>
    <w:p>
      <w:pPr>
        <w:spacing w:after="0" w:line="27" w:lineRule="exact"/>
        <w:rPr>
          <w:sz w:val="20"/>
          <w:szCs w:val="20"/>
          <w:color w:val="auto"/>
        </w:rPr>
      </w:pPr>
    </w:p>
    <w:p>
      <w:pPr>
        <w:ind w:left="346" w:right="20" w:hanging="346"/>
        <w:spacing w:after="0" w:line="281" w:lineRule="auto"/>
        <w:tabs>
          <w:tab w:leader="none" w:pos="346"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 the Aggregate Earnings/(Loss) in Last FY ($) column amounts shown reflect increases and decreases in accordance with the Company stock price and the value of deferred units.</w:t>
      </w:r>
    </w:p>
    <w:p>
      <w:pPr>
        <w:spacing w:after="0" w:line="1" w:lineRule="exact"/>
        <w:rPr>
          <w:rFonts w:ascii="Arial" w:cs="Arial" w:eastAsia="Arial" w:hAnsi="Arial"/>
          <w:sz w:val="14"/>
          <w:szCs w:val="14"/>
          <w:color w:val="auto"/>
        </w:rPr>
      </w:pPr>
    </w:p>
    <w:p>
      <w:pPr>
        <w:jc w:val="both"/>
        <w:ind w:left="346" w:hanging="346"/>
        <w:spacing w:after="0" w:line="250" w:lineRule="auto"/>
        <w:tabs>
          <w:tab w:leader="none" w:pos="346"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 the Aggregate Balance at Last FYE ($) column, the amounts shown are calculated by multiplying the total number of deferred PSUs, RSUs and dividend equivalents by the stock closing price of $4.40 on December 29, 2023, the last trading day of 2023. This column reflects the following units: 2,212 PSUs, 2,721 RSUs and 1,332 dividend equivalents for Mr. Dies; 18,222 RSUs and 1,278 dividend equivalents for Mr. Zegras; 75,039 PSUs, 90,112 RSUs and 27,281 dividend equivalents for Mr. Goldstein; 10,057 RSUs and 2,833 dividend equivalents for Mr. Fairweather; and 657,127 PSUs, 1,154,820 RSUs and 274,544 dividend equivalents for Mr. Lautenbach. Ms. Chadwick has no deferred PSUs or RSUs.</w:t>
      </w:r>
    </w:p>
    <w:p>
      <w:pPr>
        <w:spacing w:after="0" w:line="172"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material terms of the Pitney Bowes 401(k) Restoration Plan are as follows:</w:t>
      </w:r>
    </w:p>
    <w:p>
      <w:pPr>
        <w:spacing w:after="0" w:line="50" w:lineRule="exact"/>
        <w:rPr>
          <w:sz w:val="20"/>
          <w:szCs w:val="20"/>
          <w:color w:val="auto"/>
        </w:rPr>
      </w:pPr>
    </w:p>
    <w:p>
      <w:pPr>
        <w:ind w:left="426" w:right="20" w:hanging="210"/>
        <w:spacing w:after="0" w:line="266" w:lineRule="auto"/>
        <w:tabs>
          <w:tab w:leader="none" w:pos="426" w:val="left"/>
        </w:tabs>
        <w:numPr>
          <w:ilvl w:val="0"/>
          <w:numId w:val="64"/>
        </w:numPr>
        <w:rPr>
          <w:rFonts w:ascii="Arial" w:cs="Arial" w:eastAsia="Arial" w:hAnsi="Arial"/>
          <w:sz w:val="18"/>
          <w:szCs w:val="18"/>
          <w:color w:val="0072AF"/>
        </w:rPr>
      </w:pPr>
      <w:r>
        <w:rPr>
          <w:rFonts w:ascii="Arial" w:cs="Arial" w:eastAsia="Arial" w:hAnsi="Arial"/>
          <w:sz w:val="18"/>
          <w:szCs w:val="18"/>
          <w:color w:val="auto"/>
        </w:rPr>
        <w:t>The goal of this plan is generally to restore benefits that would have been provided under the qualified 401(k) Plan but for certain IRC limitations placed on tax-qualified 401(k) plans.</w:t>
      </w:r>
    </w:p>
    <w:p>
      <w:pPr>
        <w:ind w:left="426" w:hanging="210"/>
        <w:spacing w:after="0"/>
        <w:tabs>
          <w:tab w:leader="none" w:pos="426" w:val="left"/>
        </w:tabs>
        <w:numPr>
          <w:ilvl w:val="0"/>
          <w:numId w:val="64"/>
        </w:numPr>
        <w:rPr>
          <w:rFonts w:ascii="Arial" w:cs="Arial" w:eastAsia="Arial" w:hAnsi="Arial"/>
          <w:sz w:val="18"/>
          <w:szCs w:val="18"/>
          <w:color w:val="0072AF"/>
        </w:rPr>
      </w:pPr>
      <w:r>
        <w:rPr>
          <w:rFonts w:ascii="Arial" w:cs="Arial" w:eastAsia="Arial" w:hAnsi="Arial"/>
          <w:sz w:val="18"/>
          <w:szCs w:val="18"/>
          <w:color w:val="auto"/>
        </w:rPr>
        <w:t>The vesting period is three years.</w:t>
      </w:r>
    </w:p>
    <w:p>
      <w:pPr>
        <w:spacing w:after="0" w:line="49" w:lineRule="exact"/>
        <w:rPr>
          <w:rFonts w:ascii="Arial" w:cs="Arial" w:eastAsia="Arial" w:hAnsi="Arial"/>
          <w:sz w:val="18"/>
          <w:szCs w:val="18"/>
          <w:color w:val="0072AF"/>
        </w:rPr>
      </w:pPr>
    </w:p>
    <w:p>
      <w:pPr>
        <w:ind w:left="426" w:right="20" w:hanging="210"/>
        <w:spacing w:after="0" w:line="266" w:lineRule="auto"/>
        <w:tabs>
          <w:tab w:leader="none" w:pos="426" w:val="left"/>
        </w:tabs>
        <w:numPr>
          <w:ilvl w:val="0"/>
          <w:numId w:val="64"/>
        </w:numPr>
        <w:rPr>
          <w:rFonts w:ascii="Arial" w:cs="Arial" w:eastAsia="Arial" w:hAnsi="Arial"/>
          <w:sz w:val="18"/>
          <w:szCs w:val="18"/>
          <w:color w:val="0072AF"/>
        </w:rPr>
      </w:pPr>
      <w:r>
        <w:rPr>
          <w:rFonts w:ascii="Arial" w:cs="Arial" w:eastAsia="Arial" w:hAnsi="Arial"/>
          <w:sz w:val="18"/>
          <w:szCs w:val="18"/>
          <w:color w:val="auto"/>
        </w:rPr>
        <w:t>For purposes of determining benefits under the 401(k) Restoration Plan, earnings are defined in the same manner as the qualified 401(k) Plan.</w:t>
      </w:r>
    </w:p>
    <w:p>
      <w:pPr>
        <w:jc w:val="both"/>
        <w:ind w:left="426" w:hanging="210"/>
        <w:spacing w:after="0" w:line="244" w:lineRule="auto"/>
        <w:tabs>
          <w:tab w:leader="none" w:pos="426" w:val="left"/>
        </w:tabs>
        <w:numPr>
          <w:ilvl w:val="0"/>
          <w:numId w:val="64"/>
        </w:numPr>
        <w:rPr>
          <w:rFonts w:ascii="Arial" w:cs="Arial" w:eastAsia="Arial" w:hAnsi="Arial"/>
          <w:sz w:val="18"/>
          <w:szCs w:val="18"/>
          <w:color w:val="0072AF"/>
        </w:rPr>
      </w:pPr>
      <w:r>
        <w:rPr>
          <w:rFonts w:ascii="Arial" w:cs="Arial" w:eastAsia="Arial" w:hAnsi="Arial"/>
          <w:sz w:val="18"/>
          <w:szCs w:val="18"/>
          <w:color w:val="auto"/>
        </w:rPr>
        <w:t>Participants need to contribute the allowable maximum pre-tax contributions to the 401(k) Plan to be eligible for any Company match in the 401(k) Restoration Plan. Once the pre-tax maximum is contributed by the participant into the qualified 401(k) Plan, the Company will match the same percentage of eligible compensation that the Participant defers under the 401(k) Plan and the DISP up to a maximum 4% of eligible compensation.</w:t>
      </w:r>
    </w:p>
    <w:p>
      <w:pPr>
        <w:spacing w:after="0" w:line="14" w:lineRule="exact"/>
        <w:rPr>
          <w:rFonts w:ascii="Arial" w:cs="Arial" w:eastAsia="Arial" w:hAnsi="Arial"/>
          <w:sz w:val="18"/>
          <w:szCs w:val="18"/>
          <w:color w:val="0072AF"/>
        </w:rPr>
      </w:pPr>
    </w:p>
    <w:p>
      <w:pPr>
        <w:jc w:val="both"/>
        <w:ind w:left="426" w:hanging="210"/>
        <w:spacing w:after="0" w:line="253" w:lineRule="auto"/>
        <w:tabs>
          <w:tab w:leader="none" w:pos="426" w:val="left"/>
        </w:tabs>
        <w:numPr>
          <w:ilvl w:val="0"/>
          <w:numId w:val="64"/>
        </w:numPr>
        <w:rPr>
          <w:rFonts w:ascii="Arial" w:cs="Arial" w:eastAsia="Arial" w:hAnsi="Arial"/>
          <w:sz w:val="18"/>
          <w:szCs w:val="18"/>
          <w:color w:val="0072AF"/>
        </w:rPr>
      </w:pPr>
      <w:r>
        <w:rPr>
          <w:rFonts w:ascii="Arial" w:cs="Arial" w:eastAsia="Arial" w:hAnsi="Arial"/>
          <w:sz w:val="18"/>
          <w:szCs w:val="18"/>
          <w:color w:val="auto"/>
        </w:rPr>
        <w:t>To the extent the participant has eligible earnings in excess of the IRC compensation limitation, the 2% core contribution is made into the 401(k) Restoration Plan. For additional information, please see discussion under “</w:t>
      </w:r>
      <w:r>
        <w:rPr>
          <w:rFonts w:ascii="Arial" w:cs="Arial" w:eastAsia="Arial" w:hAnsi="Arial"/>
          <w:sz w:val="18"/>
          <w:szCs w:val="18"/>
          <w:color w:val="0072AF"/>
        </w:rPr>
        <w:t>Other Indirect Compensation</w:t>
      </w:r>
      <w:r>
        <w:rPr>
          <w:rFonts w:ascii="Arial" w:cs="Arial" w:eastAsia="Arial" w:hAnsi="Arial"/>
          <w:sz w:val="18"/>
          <w:szCs w:val="18"/>
          <w:color w:val="auto"/>
        </w:rPr>
        <w:t xml:space="preserve">” on page </w:t>
      </w:r>
      <w:r>
        <w:rPr>
          <w:rFonts w:ascii="Arial" w:cs="Arial" w:eastAsia="Arial" w:hAnsi="Arial"/>
          <w:sz w:val="18"/>
          <w:szCs w:val="18"/>
          <w:u w:val="single" w:color="auto"/>
          <w:color w:val="0000EE"/>
        </w:rPr>
        <w:t>68</w:t>
      </w:r>
      <w:r>
        <w:rPr>
          <w:rFonts w:ascii="Arial" w:cs="Arial" w:eastAsia="Arial" w:hAnsi="Arial"/>
          <w:sz w:val="18"/>
          <w:szCs w:val="18"/>
          <w:color w:val="auto"/>
        </w:rPr>
        <w:t xml:space="preserve"> of this Proxy Statement.</w:t>
      </w:r>
    </w:p>
    <w:p>
      <w:pPr>
        <w:spacing w:after="0" w:line="6" w:lineRule="exact"/>
        <w:rPr>
          <w:rFonts w:ascii="Arial" w:cs="Arial" w:eastAsia="Arial" w:hAnsi="Arial"/>
          <w:sz w:val="18"/>
          <w:szCs w:val="18"/>
          <w:color w:val="0072AF"/>
        </w:rPr>
      </w:pPr>
    </w:p>
    <w:p>
      <w:pPr>
        <w:ind w:left="426" w:right="20" w:hanging="210"/>
        <w:spacing w:after="0" w:line="266" w:lineRule="auto"/>
        <w:tabs>
          <w:tab w:leader="none" w:pos="426" w:val="left"/>
        </w:tabs>
        <w:numPr>
          <w:ilvl w:val="0"/>
          <w:numId w:val="64"/>
        </w:numPr>
        <w:rPr>
          <w:rFonts w:ascii="Arial" w:cs="Arial" w:eastAsia="Arial" w:hAnsi="Arial"/>
          <w:sz w:val="18"/>
          <w:szCs w:val="18"/>
          <w:color w:val="0072AF"/>
        </w:rPr>
      </w:pPr>
      <w:r>
        <w:rPr>
          <w:rFonts w:ascii="Arial" w:cs="Arial" w:eastAsia="Arial" w:hAnsi="Arial"/>
          <w:sz w:val="18"/>
          <w:szCs w:val="18"/>
          <w:color w:val="auto"/>
        </w:rPr>
        <w:t>As of December 31, 2023, all eligible NEOs are fully vested in their accounts with the exception of Ms. Chadwick, who will be fully vested after three years of service (as of January 29, 2024).</w:t>
      </w:r>
    </w:p>
    <w:p>
      <w:pPr>
        <w:ind w:left="426" w:hanging="210"/>
        <w:spacing w:after="0"/>
        <w:tabs>
          <w:tab w:leader="none" w:pos="426" w:val="left"/>
        </w:tabs>
        <w:numPr>
          <w:ilvl w:val="0"/>
          <w:numId w:val="64"/>
        </w:numPr>
        <w:rPr>
          <w:rFonts w:ascii="Arial" w:cs="Arial" w:eastAsia="Arial" w:hAnsi="Arial"/>
          <w:sz w:val="18"/>
          <w:szCs w:val="18"/>
          <w:color w:val="0072AF"/>
        </w:rPr>
      </w:pPr>
      <w:r>
        <w:rPr>
          <w:rFonts w:ascii="Arial" w:cs="Arial" w:eastAsia="Arial" w:hAnsi="Arial"/>
          <w:sz w:val="18"/>
          <w:szCs w:val="18"/>
          <w:color w:val="auto"/>
        </w:rPr>
        <w:t>No above-market earnings are credited under the plan.</w:t>
      </w:r>
    </w:p>
    <w:p>
      <w:pPr>
        <w:spacing w:after="0" w:line="49" w:lineRule="exact"/>
        <w:rPr>
          <w:rFonts w:ascii="Arial" w:cs="Arial" w:eastAsia="Arial" w:hAnsi="Arial"/>
          <w:sz w:val="18"/>
          <w:szCs w:val="18"/>
          <w:color w:val="0072AF"/>
        </w:rPr>
      </w:pPr>
    </w:p>
    <w:p>
      <w:pPr>
        <w:ind w:left="426" w:hanging="210"/>
        <w:spacing w:after="0" w:line="271" w:lineRule="auto"/>
        <w:tabs>
          <w:tab w:leader="none" w:pos="426" w:val="left"/>
        </w:tabs>
        <w:numPr>
          <w:ilvl w:val="0"/>
          <w:numId w:val="64"/>
        </w:numPr>
        <w:rPr>
          <w:rFonts w:ascii="Arial" w:cs="Arial" w:eastAsia="Arial" w:hAnsi="Arial"/>
          <w:sz w:val="18"/>
          <w:szCs w:val="18"/>
          <w:color w:val="0072AF"/>
        </w:rPr>
      </w:pPr>
      <w:r>
        <w:rPr>
          <w:rFonts w:ascii="Arial" w:cs="Arial" w:eastAsia="Arial" w:hAnsi="Arial"/>
          <w:sz w:val="18"/>
          <w:szCs w:val="18"/>
          <w:color w:val="auto"/>
        </w:rPr>
        <w:t>Distributions from the 401(k) Restoration Plan are made based on elections submitted by NEOs and are compliant with IRC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-789940</wp:posOffset>
            </wp:positionV>
            <wp:extent cx="146050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20"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material terms of the DISP are as follows:</w:t>
      </w:r>
    </w:p>
    <w:p>
      <w:pPr>
        <w:spacing w:after="0" w:line="50" w:lineRule="exact"/>
        <w:rPr>
          <w:sz w:val="20"/>
          <w:szCs w:val="20"/>
          <w:color w:val="auto"/>
        </w:rPr>
      </w:pPr>
    </w:p>
    <w:p>
      <w:pPr>
        <w:ind w:left="426" w:right="20" w:hanging="210"/>
        <w:spacing w:after="0" w:line="266" w:lineRule="auto"/>
        <w:tabs>
          <w:tab w:leader="none" w:pos="426" w:val="left"/>
        </w:tabs>
        <w:numPr>
          <w:ilvl w:val="0"/>
          <w:numId w:val="65"/>
        </w:numPr>
        <w:rPr>
          <w:rFonts w:ascii="Arial" w:cs="Arial" w:eastAsia="Arial" w:hAnsi="Arial"/>
          <w:sz w:val="18"/>
          <w:szCs w:val="18"/>
          <w:color w:val="0072AF"/>
        </w:rPr>
      </w:pPr>
      <w:r>
        <w:rPr>
          <w:rFonts w:ascii="Arial" w:cs="Arial" w:eastAsia="Arial" w:hAnsi="Arial"/>
          <w:sz w:val="18"/>
          <w:szCs w:val="18"/>
          <w:color w:val="auto"/>
        </w:rPr>
        <w:t>The DISP allows “highly-compensated employees” to defer up to 100% of annual incentives and long-term cash incentives. Base salary deferral is permissible only for certain key employees.</w:t>
      </w:r>
    </w:p>
    <w:p>
      <w:pPr>
        <w:ind w:left="426" w:hanging="210"/>
        <w:spacing w:after="0"/>
        <w:tabs>
          <w:tab w:leader="none" w:pos="426" w:val="left"/>
        </w:tabs>
        <w:numPr>
          <w:ilvl w:val="0"/>
          <w:numId w:val="65"/>
        </w:numPr>
        <w:rPr>
          <w:rFonts w:ascii="Arial" w:cs="Arial" w:eastAsia="Arial" w:hAnsi="Arial"/>
          <w:sz w:val="18"/>
          <w:szCs w:val="18"/>
          <w:color w:val="0072AF"/>
        </w:rPr>
      </w:pPr>
      <w:r>
        <w:rPr>
          <w:rFonts w:ascii="Arial" w:cs="Arial" w:eastAsia="Arial" w:hAnsi="Arial"/>
          <w:sz w:val="18"/>
          <w:szCs w:val="18"/>
          <w:color w:val="auto"/>
        </w:rPr>
        <w:t>No above-market earnings are credited under the plan.</w:t>
      </w:r>
    </w:p>
    <w:p>
      <w:pPr>
        <w:spacing w:after="0" w:line="49" w:lineRule="exact"/>
        <w:rPr>
          <w:rFonts w:ascii="Arial" w:cs="Arial" w:eastAsia="Arial" w:hAnsi="Arial"/>
          <w:sz w:val="18"/>
          <w:szCs w:val="18"/>
          <w:color w:val="0072AF"/>
        </w:rPr>
      </w:pPr>
    </w:p>
    <w:p>
      <w:pPr>
        <w:ind w:left="426" w:right="420" w:hanging="210"/>
        <w:spacing w:after="0" w:line="271" w:lineRule="auto"/>
        <w:tabs>
          <w:tab w:leader="none" w:pos="426" w:val="left"/>
        </w:tabs>
        <w:numPr>
          <w:ilvl w:val="0"/>
          <w:numId w:val="65"/>
        </w:numPr>
        <w:rPr>
          <w:rFonts w:ascii="Arial" w:cs="Arial" w:eastAsia="Arial" w:hAnsi="Arial"/>
          <w:sz w:val="18"/>
          <w:szCs w:val="18"/>
          <w:color w:val="0072AF"/>
        </w:rPr>
      </w:pPr>
      <w:r>
        <w:rPr>
          <w:rFonts w:ascii="Arial" w:cs="Arial" w:eastAsia="Arial" w:hAnsi="Arial"/>
          <w:sz w:val="18"/>
          <w:szCs w:val="18"/>
          <w:color w:val="auto"/>
        </w:rPr>
        <w:t>Distributions from the DISP are made based on elections submitted by NEOs and are compliant with IRC 409A.</w:t>
      </w:r>
    </w:p>
    <w:p>
      <w:pPr>
        <w:spacing w:after="0" w:line="127" w:lineRule="exact"/>
        <w:rPr>
          <w:sz w:val="20"/>
          <w:szCs w:val="20"/>
          <w:color w:val="auto"/>
        </w:rPr>
      </w:pPr>
    </w:p>
    <w:p>
      <w:pPr>
        <w:jc w:val="both"/>
        <w:ind w:left="6" w:right="20"/>
        <w:spacing w:after="0" w:line="253" w:lineRule="auto"/>
        <w:rPr>
          <w:sz w:val="20"/>
          <w:szCs w:val="20"/>
          <w:color w:val="auto"/>
        </w:rPr>
      </w:pPr>
      <w:r>
        <w:rPr>
          <w:rFonts w:ascii="Arial" w:cs="Arial" w:eastAsia="Arial" w:hAnsi="Arial"/>
          <w:sz w:val="18"/>
          <w:szCs w:val="18"/>
          <w:color w:val="auto"/>
        </w:rPr>
        <w:t>Investment options for both the Pitney Bowes 401(k) Restoration Plan and the DISP are comparable to those offered under the qualified Pitney Bowes 401(k) Plan including a variety of publicly available bond funds, money market funds, equity funds, and blended funds.</w:t>
      </w:r>
    </w:p>
    <w:p>
      <w:pPr>
        <w:spacing w:after="0" w:line="169"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material terms of the Pitney Bowes Executive Equity Deferral Plan:</w:t>
      </w:r>
    </w:p>
    <w:p>
      <w:pPr>
        <w:spacing w:after="0" w:line="50" w:lineRule="exact"/>
        <w:rPr>
          <w:sz w:val="20"/>
          <w:szCs w:val="20"/>
          <w:color w:val="auto"/>
        </w:rPr>
      </w:pPr>
    </w:p>
    <w:p>
      <w:pPr>
        <w:ind w:left="426" w:hanging="210"/>
        <w:spacing w:after="0" w:line="266" w:lineRule="auto"/>
        <w:tabs>
          <w:tab w:leader="none" w:pos="426" w:val="left"/>
        </w:tabs>
        <w:numPr>
          <w:ilvl w:val="0"/>
          <w:numId w:val="66"/>
        </w:numPr>
        <w:rPr>
          <w:rFonts w:ascii="Arial" w:cs="Arial" w:eastAsia="Arial" w:hAnsi="Arial"/>
          <w:sz w:val="18"/>
          <w:szCs w:val="18"/>
          <w:color w:val="0072AF"/>
        </w:rPr>
      </w:pPr>
      <w:r>
        <w:rPr>
          <w:rFonts w:ascii="Arial" w:cs="Arial" w:eastAsia="Arial" w:hAnsi="Arial"/>
          <w:sz w:val="18"/>
          <w:szCs w:val="18"/>
          <w:color w:val="auto"/>
        </w:rPr>
        <w:t>Certain executives with performance or time-based RSUs and PSUs who are subject to the executive stock ownership policy may voluntarily elect to defer settlement of the awards until termination or retirement.</w:t>
      </w:r>
    </w:p>
    <w:p>
      <w:pPr>
        <w:ind w:left="426" w:hanging="210"/>
        <w:spacing w:after="0"/>
        <w:tabs>
          <w:tab w:leader="none" w:pos="426" w:val="left"/>
        </w:tabs>
        <w:numPr>
          <w:ilvl w:val="0"/>
          <w:numId w:val="66"/>
        </w:numPr>
        <w:rPr>
          <w:rFonts w:ascii="Arial" w:cs="Arial" w:eastAsia="Arial" w:hAnsi="Arial"/>
          <w:sz w:val="18"/>
          <w:szCs w:val="18"/>
          <w:color w:val="0072AF"/>
        </w:rPr>
      </w:pPr>
      <w:r>
        <w:rPr>
          <w:rFonts w:ascii="Arial" w:cs="Arial" w:eastAsia="Arial" w:hAnsi="Arial"/>
          <w:sz w:val="18"/>
          <w:szCs w:val="18"/>
          <w:color w:val="auto"/>
        </w:rPr>
        <w:t>Executives who choose deferral receive dividend equivalents after the award vests which are also deferred.</w:t>
      </w:r>
    </w:p>
    <w:p>
      <w:pPr>
        <w:spacing w:after="0" w:line="49" w:lineRule="exact"/>
        <w:rPr>
          <w:rFonts w:ascii="Arial" w:cs="Arial" w:eastAsia="Arial" w:hAnsi="Arial"/>
          <w:sz w:val="18"/>
          <w:szCs w:val="18"/>
          <w:color w:val="0072AF"/>
        </w:rPr>
      </w:pPr>
    </w:p>
    <w:p>
      <w:pPr>
        <w:ind w:left="426" w:hanging="210"/>
        <w:spacing w:after="0" w:line="271" w:lineRule="auto"/>
        <w:tabs>
          <w:tab w:leader="none" w:pos="426" w:val="left"/>
        </w:tabs>
        <w:numPr>
          <w:ilvl w:val="0"/>
          <w:numId w:val="66"/>
        </w:numPr>
        <w:rPr>
          <w:rFonts w:ascii="Arial" w:cs="Arial" w:eastAsia="Arial" w:hAnsi="Arial"/>
          <w:sz w:val="18"/>
          <w:szCs w:val="18"/>
          <w:color w:val="0072AF"/>
        </w:rPr>
      </w:pPr>
      <w:r>
        <w:rPr>
          <w:rFonts w:ascii="Arial" w:cs="Arial" w:eastAsia="Arial" w:hAnsi="Arial"/>
          <w:sz w:val="18"/>
          <w:szCs w:val="18"/>
          <w:color w:val="auto"/>
        </w:rPr>
        <w:t>Distributions from the Executive Equity Deferral Plan are made based on elections submitted by NEOs and are compliant with IRC 409A.</w:t>
      </w:r>
    </w:p>
    <w:p>
      <w:pPr>
        <w:spacing w:after="0" w:line="184"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72AF"/>
        </w:rPr>
        <w:t>Potential Payments upon Termination or Change of Control</w:t>
      </w:r>
    </w:p>
    <w:p>
      <w:pPr>
        <w:spacing w:after="0" w:line="175" w:lineRule="exact"/>
        <w:rPr>
          <w:sz w:val="20"/>
          <w:szCs w:val="20"/>
          <w:color w:val="auto"/>
        </w:rPr>
      </w:pPr>
    </w:p>
    <w:p>
      <w:pPr>
        <w:jc w:val="both"/>
        <w:ind w:left="6"/>
        <w:spacing w:after="0" w:line="247" w:lineRule="auto"/>
        <w:rPr>
          <w:sz w:val="20"/>
          <w:szCs w:val="20"/>
          <w:color w:val="auto"/>
        </w:rPr>
      </w:pPr>
      <w:r>
        <w:rPr>
          <w:rFonts w:ascii="Arial" w:cs="Arial" w:eastAsia="Arial" w:hAnsi="Arial"/>
          <w:sz w:val="18"/>
          <w:szCs w:val="18"/>
          <w:color w:val="auto"/>
        </w:rPr>
        <w:t>The following table reflects the amount of compensation that would become payable to each of the NEOs under existing arrangements if the hypothetical termination of employment events described had occurred on December 31, 2023, given the NEO’s compensation and service levels as of such date and, if applicable, based on the Company’s closing stock price on that date.</w:t>
      </w:r>
    </w:p>
    <w:p>
      <w:pPr>
        <w:spacing w:after="0" w:line="174"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120650</wp:posOffset>
            </wp:positionV>
            <wp:extent cx="699516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EXECUTIVE COMPENSATION TABLES AND RELATED NARRATIVE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purposes of valuing NSOs in the “Post-Termination Payments” tables, we assume that upon a Change of Control, all vested outstanding NSOs will be cashed out using the difference between the NSO exercise price and $4.40, the closing price of our Common Stock as of December 29, 2023, the last trading day of 2023.</w:t>
      </w:r>
    </w:p>
    <w:p>
      <w:pPr>
        <w:spacing w:after="0" w:line="14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All payments are payable by the Company in a lump sum unless otherwise noted. The actual amounts that would be paid upon a NEO’s termination of employment can be determined only at the time of such executive’s separation from the Company. Due to the number of factors that affect the nature and amount of any benefits provided upon the events discussed below, any actual amounts paid or distributed may be higher or lower than reported in the tables below. Factors that could affect these amounts include the timing during the year of any such event, our Company’s stock price and the executive’s age.</w:t>
      </w:r>
    </w:p>
    <w:p>
      <w:pPr>
        <w:spacing w:after="0" w:line="1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 the event of termination of employment, the NEOs are entitled to receive the vested portion of their deferred compensation account. The account balances continue to be credited with increases or decreases reflecting changes in the value of the investment funds that are tracked until the valuation date as provided under the plan, and therefore amounts received by the NEOs will differ from those shown in the “Nonqualified Deferred Compensation Table for 2023” on page </w:t>
      </w:r>
      <w:r>
        <w:rPr>
          <w:rFonts w:ascii="Arial" w:cs="Arial" w:eastAsia="Arial" w:hAnsi="Arial"/>
          <w:sz w:val="18"/>
          <w:szCs w:val="18"/>
          <w:u w:val="single" w:color="auto"/>
          <w:color w:val="0000EE"/>
        </w:rPr>
        <w:t>82</w:t>
      </w:r>
      <w:r>
        <w:rPr>
          <w:rFonts w:ascii="Arial" w:cs="Arial" w:eastAsia="Arial" w:hAnsi="Arial"/>
          <w:sz w:val="18"/>
          <w:szCs w:val="18"/>
          <w:color w:val="auto"/>
        </w:rPr>
        <w:t xml:space="preserve"> of this Proxy Statement. For information on available types of distributions under the plans, please see the narrative accompanying the “Nonqualified Deferred Compensation Table for 2023” starting on page </w:t>
      </w:r>
      <w:r>
        <w:rPr>
          <w:rFonts w:ascii="Arial" w:cs="Arial" w:eastAsia="Arial" w:hAnsi="Arial"/>
          <w:sz w:val="18"/>
          <w:szCs w:val="18"/>
          <w:u w:val="single" w:color="auto"/>
          <w:color w:val="0000EE"/>
        </w:rPr>
        <w:t>82</w:t>
      </w:r>
      <w:r>
        <w:rPr>
          <w:rFonts w:ascii="Arial" w:cs="Arial" w:eastAsia="Arial" w:hAnsi="Arial"/>
          <w:sz w:val="18"/>
          <w:szCs w:val="18"/>
          <w:color w:val="auto"/>
        </w:rPr>
        <w:t xml:space="preserve"> of this Proxy Statement.</w:t>
      </w:r>
    </w:p>
    <w:p>
      <w:pPr>
        <w:spacing w:after="0" w:line="14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benefits described in the following table are in addition to benefits available regardless of the occurrence of such an event, such as currently vested and exercisable NSOs, and benefits generally available to salaried employees, such as distributions under the Company’s 401(k) Plan, subsidized retiree medical benefits, disability benefits, and accrued vacation pay. In addition, in connection with any actual termination of employment, the Committee, or in the case of the CEO, the independent Board members, may, if deemed appropriate, enter into an agreement or to establish an arrangement providing additional benefits or amounts, or altering the terms of benefits described in the tables below. Additional information regarding the consequences of retiree status is discussed in the following “Estimated Post-Termination Payments and Benefits” table and the footnotes in discussion related to the table.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128905</wp:posOffset>
            </wp:positionV>
            <wp:extent cx="699516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EXECUTIVE COMPENSATION TABLES AND RELATED NARRATIVE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0072AF"/>
        </w:rPr>
        <w:t>ESTIMATED POST-TERMINATION PAYMENTS AND BENEFITS</w:t>
      </w:r>
      <w:r>
        <w:rPr>
          <w:rFonts w:ascii="Arial" w:cs="Arial" w:eastAsia="Arial" w:hAnsi="Arial"/>
          <w:sz w:val="47"/>
          <w:szCs w:val="47"/>
          <w:b w:val="1"/>
          <w:bCs w:val="1"/>
          <w:color w:val="0072A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582930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480" w:type="dxa"/>
            <w:vAlign w:val="bottom"/>
            <w:tcBorders>
              <w:top w:val="single" w:sz="8" w:color="0072AF"/>
              <w:right w:val="single" w:sz="8" w:color="0072AF"/>
            </w:tcBorders>
          </w:tcPr>
          <w:p>
            <w:pPr>
              <w:spacing w:after="0"/>
              <w:rPr>
                <w:sz w:val="22"/>
                <w:szCs w:val="22"/>
                <w:color w:val="auto"/>
              </w:rPr>
            </w:pPr>
          </w:p>
        </w:tc>
        <w:tc>
          <w:tcPr>
            <w:tcW w:w="140" w:type="dxa"/>
            <w:vAlign w:val="bottom"/>
            <w:tcBorders>
              <w:top w:val="single" w:sz="8" w:color="0072AF"/>
            </w:tcBorders>
          </w:tcPr>
          <w:p>
            <w:pPr>
              <w:spacing w:after="0"/>
              <w:rPr>
                <w:sz w:val="22"/>
                <w:szCs w:val="22"/>
                <w:color w:val="auto"/>
              </w:rPr>
            </w:pPr>
          </w:p>
        </w:tc>
        <w:tc>
          <w:tcPr>
            <w:tcW w:w="2080" w:type="dxa"/>
            <w:vAlign w:val="bottom"/>
            <w:tcBorders>
              <w:top w:val="single" w:sz="8" w:color="0072AF"/>
            </w:tcBorders>
          </w:tcPr>
          <w:p>
            <w:pPr>
              <w:spacing w:after="0"/>
              <w:rPr>
                <w:sz w:val="22"/>
                <w:szCs w:val="22"/>
                <w:color w:val="auto"/>
              </w:rPr>
            </w:pPr>
          </w:p>
        </w:tc>
        <w:tc>
          <w:tcPr>
            <w:tcW w:w="1060" w:type="dxa"/>
            <w:vAlign w:val="bottom"/>
            <w:tcBorders>
              <w:top w:val="single" w:sz="8" w:color="0072AF"/>
            </w:tcBorders>
          </w:tcPr>
          <w:p>
            <w:pPr>
              <w:jc w:val="center"/>
              <w:ind w:left="249"/>
              <w:spacing w:after="0"/>
              <w:rPr>
                <w:sz w:val="20"/>
                <w:szCs w:val="20"/>
                <w:color w:val="auto"/>
              </w:rPr>
            </w:pPr>
            <w:r>
              <w:rPr>
                <w:rFonts w:ascii="Arial" w:cs="Arial" w:eastAsia="Arial" w:hAnsi="Arial"/>
                <w:sz w:val="13"/>
                <w:szCs w:val="13"/>
                <w:b w:val="1"/>
                <w:bCs w:val="1"/>
                <w:color w:val="auto"/>
                <w:w w:val="97"/>
              </w:rPr>
              <w:t>Retirement</w:t>
            </w:r>
          </w:p>
        </w:tc>
        <w:tc>
          <w:tcPr>
            <w:tcW w:w="2100" w:type="dxa"/>
            <w:vAlign w:val="bottom"/>
            <w:tcBorders>
              <w:top w:val="single" w:sz="8" w:color="0072AF"/>
            </w:tcBorders>
            <w:gridSpan w:val="2"/>
          </w:tcPr>
          <w:p>
            <w:pPr>
              <w:jc w:val="center"/>
              <w:ind w:left="89"/>
              <w:spacing w:after="0"/>
              <w:rPr>
                <w:sz w:val="20"/>
                <w:szCs w:val="20"/>
                <w:color w:val="auto"/>
              </w:rPr>
            </w:pPr>
            <w:r>
              <w:rPr>
                <w:rFonts w:ascii="Arial" w:cs="Arial" w:eastAsia="Arial" w:hAnsi="Arial"/>
                <w:sz w:val="13"/>
                <w:szCs w:val="13"/>
                <w:b w:val="1"/>
                <w:bCs w:val="1"/>
                <w:color w:val="auto"/>
                <w:w w:val="96"/>
              </w:rPr>
              <w:t>Involuntary Not for Cause</w:t>
            </w:r>
          </w:p>
        </w:tc>
        <w:tc>
          <w:tcPr>
            <w:tcW w:w="1480" w:type="dxa"/>
            <w:vAlign w:val="bottom"/>
            <w:tcBorders>
              <w:top w:val="single" w:sz="8" w:color="0072AF"/>
            </w:tcBorders>
          </w:tcPr>
          <w:p>
            <w:pPr>
              <w:jc w:val="center"/>
              <w:spacing w:after="0"/>
              <w:rPr>
                <w:sz w:val="20"/>
                <w:szCs w:val="20"/>
                <w:color w:val="auto"/>
              </w:rPr>
            </w:pPr>
            <w:r>
              <w:rPr>
                <w:rFonts w:ascii="Arial" w:cs="Arial" w:eastAsia="Arial" w:hAnsi="Arial"/>
                <w:sz w:val="13"/>
                <w:szCs w:val="13"/>
                <w:b w:val="1"/>
                <w:bCs w:val="1"/>
                <w:color w:val="auto"/>
                <w:w w:val="96"/>
              </w:rPr>
              <w:t>Change of Control</w:t>
            </w:r>
          </w:p>
        </w:tc>
        <w:tc>
          <w:tcPr>
            <w:tcW w:w="840" w:type="dxa"/>
            <w:vAlign w:val="bottom"/>
            <w:tcBorders>
              <w:top w:val="single" w:sz="8" w:color="0072AF"/>
            </w:tcBorders>
          </w:tcPr>
          <w:p>
            <w:pPr>
              <w:jc w:val="center"/>
              <w:ind w:left="69"/>
              <w:spacing w:after="0"/>
              <w:rPr>
                <w:sz w:val="20"/>
                <w:szCs w:val="20"/>
                <w:color w:val="auto"/>
              </w:rPr>
            </w:pPr>
            <w:r>
              <w:rPr>
                <w:rFonts w:ascii="Arial" w:cs="Arial" w:eastAsia="Arial" w:hAnsi="Arial"/>
                <w:sz w:val="13"/>
                <w:szCs w:val="13"/>
                <w:b w:val="1"/>
                <w:bCs w:val="1"/>
                <w:color w:val="auto"/>
                <w:w w:val="98"/>
              </w:rPr>
              <w:t>Death and</w:t>
            </w:r>
          </w:p>
        </w:tc>
        <w:tc>
          <w:tcPr>
            <w:tcW w:w="0" w:type="dxa"/>
            <w:vAlign w:val="bottom"/>
          </w:tcPr>
          <w:p>
            <w:pPr>
              <w:spacing w:after="0"/>
              <w:rPr>
                <w:sz w:val="1"/>
                <w:szCs w:val="1"/>
                <w:color w:val="auto"/>
              </w:rPr>
            </w:pPr>
          </w:p>
        </w:tc>
      </w:tr>
      <w:tr>
        <w:trPr>
          <w:trHeight w:val="135"/>
        </w:trPr>
        <w:tc>
          <w:tcPr>
            <w:tcW w:w="1480" w:type="dxa"/>
            <w:vAlign w:val="bottom"/>
            <w:tcBorders>
              <w:right w:val="single" w:sz="8" w:color="0072AF"/>
            </w:tcBorders>
            <w:vMerge w:val="restart"/>
          </w:tcPr>
          <w:p>
            <w:pPr>
              <w:spacing w:after="0"/>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1"/>
                <w:szCs w:val="11"/>
                <w:color w:val="auto"/>
              </w:rPr>
            </w:pPr>
          </w:p>
        </w:tc>
        <w:tc>
          <w:tcPr>
            <w:tcW w:w="2080" w:type="dxa"/>
            <w:vAlign w:val="bottom"/>
            <w:vMerge w:val="restart"/>
          </w:tcPr>
          <w:p>
            <w:pPr>
              <w:spacing w:after="0"/>
              <w:rPr>
                <w:sz w:val="20"/>
                <w:szCs w:val="20"/>
                <w:color w:val="auto"/>
              </w:rPr>
            </w:pPr>
            <w:r>
              <w:rPr>
                <w:rFonts w:ascii="Arial" w:cs="Arial" w:eastAsia="Arial" w:hAnsi="Arial"/>
                <w:sz w:val="13"/>
                <w:szCs w:val="13"/>
                <w:b w:val="1"/>
                <w:bCs w:val="1"/>
                <w:color w:val="auto"/>
              </w:rPr>
              <w:t>Type of Payment or Benefit</w:t>
            </w:r>
          </w:p>
        </w:tc>
        <w:tc>
          <w:tcPr>
            <w:tcW w:w="1060" w:type="dxa"/>
            <w:vAlign w:val="bottom"/>
          </w:tcPr>
          <w:p>
            <w:pPr>
              <w:jc w:val="center"/>
              <w:ind w:left="249"/>
              <w:spacing w:after="0" w:line="135" w:lineRule="exact"/>
              <w:rPr>
                <w:sz w:val="20"/>
                <w:szCs w:val="20"/>
                <w:color w:val="auto"/>
              </w:rPr>
            </w:pPr>
            <w:r>
              <w:rPr>
                <w:rFonts w:ascii="Arial" w:cs="Arial" w:eastAsia="Arial" w:hAnsi="Arial"/>
                <w:sz w:val="13"/>
                <w:szCs w:val="13"/>
                <w:b w:val="1"/>
                <w:bCs w:val="1"/>
                <w:color w:val="auto"/>
                <w:w w:val="99"/>
              </w:rPr>
              <w:t>Eligible</w:t>
            </w:r>
          </w:p>
        </w:tc>
        <w:tc>
          <w:tcPr>
            <w:tcW w:w="2100" w:type="dxa"/>
            <w:vAlign w:val="bottom"/>
            <w:gridSpan w:val="2"/>
          </w:tcPr>
          <w:p>
            <w:pPr>
              <w:jc w:val="center"/>
              <w:ind w:left="69"/>
              <w:spacing w:after="0" w:line="135" w:lineRule="exact"/>
              <w:rPr>
                <w:sz w:val="20"/>
                <w:szCs w:val="20"/>
                <w:color w:val="auto"/>
              </w:rPr>
            </w:pPr>
            <w:r>
              <w:rPr>
                <w:rFonts w:ascii="Arial" w:cs="Arial" w:eastAsia="Arial" w:hAnsi="Arial"/>
                <w:sz w:val="13"/>
                <w:szCs w:val="13"/>
                <w:b w:val="1"/>
                <w:bCs w:val="1"/>
                <w:color w:val="auto"/>
                <w:w w:val="96"/>
              </w:rPr>
              <w:t>Termination</w:t>
            </w: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with Termination</w:t>
            </w:r>
          </w:p>
        </w:tc>
        <w:tc>
          <w:tcPr>
            <w:tcW w:w="840" w:type="dxa"/>
            <w:vAlign w:val="bottom"/>
          </w:tcPr>
          <w:p>
            <w:pPr>
              <w:jc w:val="center"/>
              <w:ind w:left="89"/>
              <w:spacing w:after="0" w:line="135" w:lineRule="exact"/>
              <w:rPr>
                <w:sz w:val="20"/>
                <w:szCs w:val="20"/>
                <w:color w:val="auto"/>
              </w:rPr>
            </w:pPr>
            <w:r>
              <w:rPr>
                <w:rFonts w:ascii="Arial" w:cs="Arial" w:eastAsia="Arial" w:hAnsi="Arial"/>
                <w:sz w:val="13"/>
                <w:szCs w:val="13"/>
                <w:b w:val="1"/>
                <w:bCs w:val="1"/>
                <w:color w:val="auto"/>
                <w:w w:val="96"/>
              </w:rPr>
              <w:t>Disability</w:t>
            </w:r>
          </w:p>
        </w:tc>
        <w:tc>
          <w:tcPr>
            <w:tcW w:w="0" w:type="dxa"/>
            <w:vAlign w:val="bottom"/>
          </w:tcPr>
          <w:p>
            <w:pPr>
              <w:spacing w:after="0"/>
              <w:rPr>
                <w:sz w:val="1"/>
                <w:szCs w:val="1"/>
                <w:color w:val="auto"/>
              </w:rPr>
            </w:pPr>
          </w:p>
        </w:tc>
      </w:tr>
      <w:tr>
        <w:trPr>
          <w:trHeight w:val="229"/>
        </w:trPr>
        <w:tc>
          <w:tcPr>
            <w:tcW w:w="1480" w:type="dxa"/>
            <w:vAlign w:val="bottom"/>
            <w:tcBorders>
              <w:bottom w:val="single" w:sz="8" w:color="0072AF"/>
              <w:right w:val="single" w:sz="8" w:color="0072AF"/>
            </w:tcBorders>
            <w:vMerge w:val="continue"/>
          </w:tcPr>
          <w:p>
            <w:pPr>
              <w:spacing w:after="0"/>
              <w:rPr>
                <w:sz w:val="19"/>
                <w:szCs w:val="19"/>
                <w:color w:val="auto"/>
              </w:rPr>
            </w:pPr>
          </w:p>
        </w:tc>
        <w:tc>
          <w:tcPr>
            <w:tcW w:w="140" w:type="dxa"/>
            <w:vAlign w:val="bottom"/>
            <w:tcBorders>
              <w:bottom w:val="single" w:sz="8" w:color="0072AF"/>
            </w:tcBorders>
          </w:tcPr>
          <w:p>
            <w:pPr>
              <w:spacing w:after="0"/>
              <w:rPr>
                <w:sz w:val="19"/>
                <w:szCs w:val="19"/>
                <w:color w:val="auto"/>
              </w:rPr>
            </w:pPr>
          </w:p>
        </w:tc>
        <w:tc>
          <w:tcPr>
            <w:tcW w:w="2080" w:type="dxa"/>
            <w:vAlign w:val="bottom"/>
            <w:tcBorders>
              <w:bottom w:val="single" w:sz="8" w:color="0072AF"/>
            </w:tcBorders>
            <w:vMerge w:val="continue"/>
          </w:tcPr>
          <w:p>
            <w:pPr>
              <w:spacing w:after="0"/>
              <w:rPr>
                <w:sz w:val="19"/>
                <w:szCs w:val="19"/>
                <w:color w:val="auto"/>
              </w:rPr>
            </w:pPr>
          </w:p>
        </w:tc>
        <w:tc>
          <w:tcPr>
            <w:tcW w:w="1060" w:type="dxa"/>
            <w:vAlign w:val="bottom"/>
            <w:tcBorders>
              <w:bottom w:val="single" w:sz="8" w:color="0072AF"/>
            </w:tcBorders>
          </w:tcPr>
          <w:p>
            <w:pPr>
              <w:jc w:val="center"/>
              <w:ind w:left="289"/>
              <w:spacing w:after="0"/>
              <w:rPr>
                <w:sz w:val="20"/>
                <w:szCs w:val="20"/>
                <w:color w:val="auto"/>
              </w:rPr>
            </w:pPr>
            <w:r>
              <w:rPr>
                <w:rFonts w:ascii="Arial" w:cs="Arial" w:eastAsia="Arial" w:hAnsi="Arial"/>
                <w:sz w:val="13"/>
                <w:szCs w:val="13"/>
                <w:b w:val="1"/>
                <w:bCs w:val="1"/>
                <w:color w:val="auto"/>
                <w:w w:val="87"/>
              </w:rPr>
              <w:t>($)</w:t>
            </w:r>
          </w:p>
        </w:tc>
        <w:tc>
          <w:tcPr>
            <w:tcW w:w="1280" w:type="dxa"/>
            <w:vAlign w:val="bottom"/>
            <w:tcBorders>
              <w:bottom w:val="single" w:sz="8" w:color="0072AF"/>
            </w:tcBorders>
          </w:tcPr>
          <w:p>
            <w:pPr>
              <w:jc w:val="center"/>
              <w:ind w:left="929"/>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0072AF"/>
            </w:tcBorders>
          </w:tcPr>
          <w:p>
            <w:pPr>
              <w:spacing w:after="0"/>
              <w:rPr>
                <w:sz w:val="19"/>
                <w:szCs w:val="19"/>
                <w:color w:val="auto"/>
              </w:rPr>
            </w:pPr>
          </w:p>
        </w:tc>
        <w:tc>
          <w:tcPr>
            <w:tcW w:w="1480" w:type="dxa"/>
            <w:vAlign w:val="bottom"/>
            <w:tcBorders>
              <w:bottom w:val="single" w:sz="8" w:color="0072AF"/>
            </w:tcBorders>
          </w:tcPr>
          <w:p>
            <w:pPr>
              <w:jc w:val="center"/>
              <w:spacing w:after="0" w:line="229" w:lineRule="exact"/>
              <w:rPr>
                <w:sz w:val="20"/>
                <w:szCs w:val="20"/>
                <w:color w:val="auto"/>
              </w:rPr>
            </w:pPr>
            <w:r>
              <w:rPr>
                <w:rFonts w:ascii="Arial" w:cs="Arial" w:eastAsia="Arial" w:hAnsi="Arial"/>
                <w:sz w:val="25"/>
                <w:szCs w:val="25"/>
                <w:b w:val="1"/>
                <w:bCs w:val="1"/>
                <w:color w:val="auto"/>
                <w:w w:val="85"/>
                <w:vertAlign w:val="subscript"/>
              </w:rPr>
              <w:t>($)</w:t>
            </w:r>
            <w:r>
              <w:rPr>
                <w:rFonts w:ascii="Arial" w:cs="Arial" w:eastAsia="Arial" w:hAnsi="Arial"/>
                <w:sz w:val="10"/>
                <w:szCs w:val="10"/>
                <w:b w:val="1"/>
                <w:bCs w:val="1"/>
                <w:color w:val="auto"/>
                <w:w w:val="85"/>
              </w:rPr>
              <w:t>(2)</w:t>
            </w:r>
          </w:p>
        </w:tc>
        <w:tc>
          <w:tcPr>
            <w:tcW w:w="840" w:type="dxa"/>
            <w:vAlign w:val="bottom"/>
            <w:tcBorders>
              <w:bottom w:val="single" w:sz="8" w:color="0072AF"/>
            </w:tcBorders>
          </w:tcPr>
          <w:p>
            <w:pPr>
              <w:jc w:val="center"/>
              <w:ind w:left="109"/>
              <w:spacing w:after="0"/>
              <w:rPr>
                <w:sz w:val="20"/>
                <w:szCs w:val="20"/>
                <w:color w:val="auto"/>
              </w:rPr>
            </w:pPr>
            <w:r>
              <w:rPr>
                <w:rFonts w:ascii="Arial" w:cs="Arial" w:eastAsia="Arial" w:hAnsi="Arial"/>
                <w:sz w:val="13"/>
                <w:szCs w:val="13"/>
                <w:b w:val="1"/>
                <w:bCs w:val="1"/>
                <w:color w:val="auto"/>
                <w:w w:val="87"/>
              </w:rPr>
              <w:t>($)</w:t>
            </w:r>
          </w:p>
        </w:tc>
        <w:tc>
          <w:tcPr>
            <w:tcW w:w="0" w:type="dxa"/>
            <w:vAlign w:val="bottom"/>
          </w:tcPr>
          <w:p>
            <w:pPr>
              <w:spacing w:after="0"/>
              <w:rPr>
                <w:sz w:val="1"/>
                <w:szCs w:val="1"/>
                <w:color w:val="auto"/>
              </w:rPr>
            </w:pPr>
          </w:p>
        </w:tc>
      </w:tr>
      <w:tr>
        <w:trPr>
          <w:trHeight w:val="248"/>
        </w:trPr>
        <w:tc>
          <w:tcPr>
            <w:tcW w:w="1480" w:type="dxa"/>
            <w:vAlign w:val="bottom"/>
            <w:tcBorders>
              <w:right w:val="single" w:sz="8" w:color="0072AF"/>
            </w:tcBorders>
          </w:tcPr>
          <w:p>
            <w:pPr>
              <w:spacing w:after="0"/>
              <w:rPr>
                <w:sz w:val="20"/>
                <w:szCs w:val="20"/>
                <w:color w:val="auto"/>
              </w:rPr>
            </w:pPr>
            <w:r>
              <w:rPr>
                <w:rFonts w:ascii="Arial" w:cs="Arial" w:eastAsia="Arial" w:hAnsi="Arial"/>
                <w:sz w:val="14"/>
                <w:szCs w:val="14"/>
                <w:b w:val="1"/>
                <w:bCs w:val="1"/>
                <w:color w:val="auto"/>
              </w:rPr>
              <w:t>Jason Dies</w:t>
            </w:r>
          </w:p>
        </w:tc>
        <w:tc>
          <w:tcPr>
            <w:tcW w:w="140" w:type="dxa"/>
            <w:vAlign w:val="bottom"/>
            <w:shd w:val="clear" w:color="auto" w:fill="CBCEE0"/>
          </w:tcPr>
          <w:p>
            <w:pPr>
              <w:spacing w:after="0"/>
              <w:rPr>
                <w:sz w:val="21"/>
                <w:szCs w:val="21"/>
                <w:color w:val="auto"/>
              </w:rPr>
            </w:pPr>
          </w:p>
        </w:tc>
        <w:tc>
          <w:tcPr>
            <w:tcW w:w="2080" w:type="dxa"/>
            <w:vAlign w:val="bottom"/>
            <w:shd w:val="clear" w:color="auto" w:fill="CBCEE0"/>
          </w:tcPr>
          <w:p>
            <w:pPr>
              <w:spacing w:after="0"/>
              <w:rPr>
                <w:sz w:val="20"/>
                <w:szCs w:val="20"/>
                <w:color w:val="auto"/>
              </w:rPr>
            </w:pPr>
            <w:r>
              <w:rPr>
                <w:rFonts w:ascii="Arial" w:cs="Arial" w:eastAsia="Arial" w:hAnsi="Arial"/>
                <w:sz w:val="14"/>
                <w:szCs w:val="14"/>
                <w:color w:val="auto"/>
              </w:rPr>
              <w:t>Severance</w:t>
            </w:r>
          </w:p>
        </w:tc>
        <w:tc>
          <w:tcPr>
            <w:tcW w:w="1060" w:type="dxa"/>
            <w:vAlign w:val="bottom"/>
            <w:shd w:val="clear" w:color="auto" w:fill="CBCEE0"/>
          </w:tcPr>
          <w:p>
            <w:pPr>
              <w:jc w:val="right"/>
              <w:ind w:right="29"/>
              <w:spacing w:after="0"/>
              <w:rPr>
                <w:sz w:val="20"/>
                <w:szCs w:val="20"/>
                <w:color w:val="auto"/>
              </w:rPr>
            </w:pPr>
            <w:r>
              <w:rPr>
                <w:rFonts w:ascii="Arial" w:cs="Arial" w:eastAsia="Arial" w:hAnsi="Arial"/>
                <w:sz w:val="14"/>
                <w:szCs w:val="14"/>
                <w:color w:val="auto"/>
              </w:rPr>
              <w:t>-</w:t>
            </w:r>
          </w:p>
        </w:tc>
        <w:tc>
          <w:tcPr>
            <w:tcW w:w="2100" w:type="dxa"/>
            <w:vAlign w:val="bottom"/>
            <w:gridSpan w:val="2"/>
            <w:shd w:val="clear" w:color="auto" w:fill="CBCEE0"/>
          </w:tcPr>
          <w:p>
            <w:pPr>
              <w:jc w:val="right"/>
              <w:ind w:right="88"/>
              <w:spacing w:after="0"/>
              <w:rPr>
                <w:sz w:val="20"/>
                <w:szCs w:val="20"/>
                <w:color w:val="auto"/>
              </w:rPr>
            </w:pPr>
            <w:r>
              <w:rPr>
                <w:rFonts w:ascii="Arial" w:cs="Arial" w:eastAsia="Arial" w:hAnsi="Arial"/>
                <w:sz w:val="14"/>
                <w:szCs w:val="14"/>
                <w:color w:val="auto"/>
              </w:rPr>
              <w:t>33,654 - 2,362,500</w:t>
            </w:r>
          </w:p>
        </w:tc>
        <w:tc>
          <w:tcPr>
            <w:tcW w:w="148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3,150,000</w:t>
            </w:r>
          </w:p>
        </w:tc>
        <w:tc>
          <w:tcPr>
            <w:tcW w:w="840" w:type="dxa"/>
            <w:vAlign w:val="bottom"/>
            <w:shd w:val="clear" w:color="auto" w:fill="CBCEE0"/>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480" w:type="dxa"/>
            <w:vAlign w:val="bottom"/>
            <w:tcBorders>
              <w:right w:val="single" w:sz="8" w:color="0072AF"/>
            </w:tcBorders>
          </w:tcPr>
          <w:p>
            <w:pPr>
              <w:spacing w:after="0"/>
              <w:rPr>
                <w:sz w:val="22"/>
                <w:szCs w:val="22"/>
                <w:color w:val="auto"/>
              </w:rPr>
            </w:pPr>
          </w:p>
        </w:tc>
        <w:tc>
          <w:tcPr>
            <w:tcW w:w="140" w:type="dxa"/>
            <w:vAlign w:val="bottom"/>
            <w:shd w:val="clear" w:color="auto" w:fill="CBCEE0"/>
          </w:tcPr>
          <w:p>
            <w:pPr>
              <w:spacing w:after="0"/>
              <w:rPr>
                <w:sz w:val="22"/>
                <w:szCs w:val="22"/>
                <w:color w:val="auto"/>
              </w:rPr>
            </w:pPr>
          </w:p>
        </w:tc>
        <w:tc>
          <w:tcPr>
            <w:tcW w:w="2080" w:type="dxa"/>
            <w:vAlign w:val="bottom"/>
            <w:shd w:val="clear" w:color="auto" w:fill="CBCEE0"/>
          </w:tcPr>
          <w:p>
            <w:pPr>
              <w:spacing w:after="0"/>
              <w:rPr>
                <w:sz w:val="20"/>
                <w:szCs w:val="20"/>
                <w:color w:val="auto"/>
              </w:rPr>
            </w:pPr>
            <w:r>
              <w:rPr>
                <w:rFonts w:ascii="Arial" w:cs="Arial" w:eastAsia="Arial" w:hAnsi="Arial"/>
                <w:sz w:val="14"/>
                <w:szCs w:val="14"/>
                <w:color w:val="auto"/>
              </w:rPr>
              <w:t>Annual Incentive</w:t>
            </w:r>
          </w:p>
        </w:tc>
        <w:tc>
          <w:tcPr>
            <w:tcW w:w="1060" w:type="dxa"/>
            <w:vAlign w:val="bottom"/>
            <w:shd w:val="clear" w:color="auto" w:fill="CBCEE0"/>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BCEE0"/>
          </w:tcPr>
          <w:p>
            <w:pPr>
              <w:jc w:val="right"/>
              <w:spacing w:after="0"/>
              <w:rPr>
                <w:sz w:val="20"/>
                <w:szCs w:val="20"/>
                <w:color w:val="auto"/>
              </w:rPr>
            </w:pPr>
            <w:r>
              <w:rPr>
                <w:rFonts w:ascii="Arial" w:cs="Arial" w:eastAsia="Arial" w:hAnsi="Arial"/>
                <w:sz w:val="14"/>
                <w:szCs w:val="14"/>
                <w:color w:val="auto"/>
              </w:rPr>
              <w:t>0</w:t>
            </w:r>
          </w:p>
        </w:tc>
        <w:tc>
          <w:tcPr>
            <w:tcW w:w="82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- 302,400</w:t>
            </w:r>
          </w:p>
        </w:tc>
        <w:tc>
          <w:tcPr>
            <w:tcW w:w="1480" w:type="dxa"/>
            <w:vAlign w:val="bottom"/>
            <w:shd w:val="clear" w:color="auto" w:fill="CBCEE0"/>
          </w:tcPr>
          <w:p>
            <w:pPr>
              <w:jc w:val="right"/>
              <w:ind w:right="389"/>
              <w:spacing w:after="0"/>
              <w:rPr>
                <w:sz w:val="20"/>
                <w:szCs w:val="20"/>
                <w:color w:val="auto"/>
              </w:rPr>
            </w:pPr>
            <w:r>
              <w:rPr>
                <w:rFonts w:ascii="Arial" w:cs="Arial" w:eastAsia="Arial" w:hAnsi="Arial"/>
                <w:sz w:val="14"/>
                <w:szCs w:val="14"/>
                <w:color w:val="auto"/>
              </w:rPr>
              <w:t>700,000</w:t>
            </w:r>
          </w:p>
        </w:tc>
        <w:tc>
          <w:tcPr>
            <w:tcW w:w="840" w:type="dxa"/>
            <w:vAlign w:val="bottom"/>
            <w:shd w:val="clear" w:color="auto" w:fill="CBCEE0"/>
          </w:tcPr>
          <w:p>
            <w:pPr>
              <w:jc w:val="right"/>
              <w:spacing w:after="0"/>
              <w:rPr>
                <w:sz w:val="20"/>
                <w:szCs w:val="20"/>
                <w:color w:val="auto"/>
              </w:rPr>
            </w:pPr>
            <w:r>
              <w:rPr>
                <w:rFonts w:ascii="Arial" w:cs="Arial" w:eastAsia="Arial" w:hAnsi="Arial"/>
                <w:sz w:val="14"/>
                <w:szCs w:val="14"/>
                <w:color w:val="auto"/>
              </w:rPr>
              <w:t>302,400</w:t>
            </w:r>
          </w:p>
        </w:tc>
        <w:tc>
          <w:tcPr>
            <w:tcW w:w="0" w:type="dxa"/>
            <w:vAlign w:val="bottom"/>
          </w:tcPr>
          <w:p>
            <w:pPr>
              <w:spacing w:after="0"/>
              <w:rPr>
                <w:sz w:val="1"/>
                <w:szCs w:val="1"/>
                <w:color w:val="auto"/>
              </w:rPr>
            </w:pPr>
          </w:p>
        </w:tc>
      </w:tr>
      <w:tr>
        <w:trPr>
          <w:trHeight w:val="332"/>
        </w:trPr>
        <w:tc>
          <w:tcPr>
            <w:tcW w:w="1480" w:type="dxa"/>
            <w:vAlign w:val="bottom"/>
            <w:tcBorders>
              <w:right w:val="single" w:sz="8" w:color="0072AF"/>
            </w:tcBorders>
          </w:tcPr>
          <w:p>
            <w:pPr>
              <w:spacing w:after="0"/>
              <w:rPr>
                <w:sz w:val="24"/>
                <w:szCs w:val="24"/>
                <w:color w:val="auto"/>
              </w:rPr>
            </w:pPr>
          </w:p>
        </w:tc>
        <w:tc>
          <w:tcPr>
            <w:tcW w:w="140" w:type="dxa"/>
            <w:vAlign w:val="bottom"/>
            <w:shd w:val="clear" w:color="auto" w:fill="CBCEE0"/>
          </w:tcPr>
          <w:p>
            <w:pPr>
              <w:spacing w:after="0"/>
              <w:rPr>
                <w:sz w:val="24"/>
                <w:szCs w:val="24"/>
                <w:color w:val="auto"/>
              </w:rPr>
            </w:pPr>
          </w:p>
        </w:tc>
        <w:tc>
          <w:tcPr>
            <w:tcW w:w="2080" w:type="dxa"/>
            <w:vAlign w:val="bottom"/>
            <w:shd w:val="clear" w:color="auto" w:fill="CBCEE0"/>
          </w:tcPr>
          <w:p>
            <w:pPr>
              <w:spacing w:after="0"/>
              <w:rPr>
                <w:sz w:val="20"/>
                <w:szCs w:val="20"/>
                <w:color w:val="auto"/>
              </w:rPr>
            </w:pPr>
            <w:r>
              <w:rPr>
                <w:rFonts w:ascii="Arial" w:cs="Arial" w:eastAsia="Arial" w:hAnsi="Arial"/>
                <w:sz w:val="14"/>
                <w:szCs w:val="14"/>
                <w:color w:val="auto"/>
              </w:rPr>
              <w:t>Stock Options Accelerated</w:t>
            </w:r>
            <w:r>
              <w:rPr>
                <w:rFonts w:ascii="Arial" w:cs="Arial" w:eastAsia="Arial" w:hAnsi="Arial"/>
                <w:sz w:val="23"/>
                <w:szCs w:val="23"/>
                <w:color w:val="auto"/>
                <w:vertAlign w:val="superscript"/>
              </w:rPr>
              <w:t>(3)</w:t>
            </w:r>
          </w:p>
        </w:tc>
        <w:tc>
          <w:tcPr>
            <w:tcW w:w="1060" w:type="dxa"/>
            <w:vAlign w:val="bottom"/>
            <w:shd w:val="clear" w:color="auto" w:fill="CBCEE0"/>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BCEE0"/>
          </w:tcPr>
          <w:p>
            <w:pPr>
              <w:spacing w:after="0"/>
              <w:rPr>
                <w:sz w:val="24"/>
                <w:szCs w:val="24"/>
                <w:color w:val="auto"/>
              </w:rPr>
            </w:pPr>
          </w:p>
        </w:tc>
        <w:tc>
          <w:tcPr>
            <w:tcW w:w="82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0 - 0</w:t>
            </w:r>
          </w:p>
        </w:tc>
        <w:tc>
          <w:tcPr>
            <w:tcW w:w="1480" w:type="dxa"/>
            <w:vAlign w:val="bottom"/>
            <w:shd w:val="clear" w:color="auto" w:fill="CBCEE0"/>
          </w:tcPr>
          <w:p>
            <w:pPr>
              <w:jc w:val="right"/>
              <w:ind w:right="409"/>
              <w:spacing w:after="0"/>
              <w:rPr>
                <w:sz w:val="20"/>
                <w:szCs w:val="20"/>
                <w:color w:val="auto"/>
              </w:rPr>
            </w:pPr>
            <w:r>
              <w:rPr>
                <w:rFonts w:ascii="Arial" w:cs="Arial" w:eastAsia="Arial" w:hAnsi="Arial"/>
                <w:sz w:val="14"/>
                <w:szCs w:val="14"/>
                <w:color w:val="auto"/>
              </w:rPr>
              <w:t>0</w:t>
            </w:r>
          </w:p>
        </w:tc>
        <w:tc>
          <w:tcPr>
            <w:tcW w:w="840" w:type="dxa"/>
            <w:vAlign w:val="bottom"/>
            <w:shd w:val="clear" w:color="auto" w:fill="CBCEE0"/>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04"/>
        </w:trPr>
        <w:tc>
          <w:tcPr>
            <w:tcW w:w="1480" w:type="dxa"/>
            <w:vAlign w:val="bottom"/>
            <w:tcBorders>
              <w:right w:val="single" w:sz="8" w:color="0072AF"/>
            </w:tcBorders>
          </w:tcPr>
          <w:p>
            <w:pPr>
              <w:spacing w:after="0"/>
              <w:rPr>
                <w:sz w:val="17"/>
                <w:szCs w:val="17"/>
                <w:color w:val="auto"/>
              </w:rPr>
            </w:pPr>
          </w:p>
        </w:tc>
        <w:tc>
          <w:tcPr>
            <w:tcW w:w="140" w:type="dxa"/>
            <w:vAlign w:val="bottom"/>
            <w:shd w:val="clear" w:color="auto" w:fill="CBCEE0"/>
          </w:tcPr>
          <w:p>
            <w:pPr>
              <w:spacing w:after="0"/>
              <w:rPr>
                <w:sz w:val="17"/>
                <w:szCs w:val="17"/>
                <w:color w:val="auto"/>
              </w:rPr>
            </w:pPr>
          </w:p>
        </w:tc>
        <w:tc>
          <w:tcPr>
            <w:tcW w:w="2080" w:type="dxa"/>
            <w:vAlign w:val="bottom"/>
            <w:shd w:val="clear" w:color="auto" w:fill="CBCEE0"/>
          </w:tcPr>
          <w:p>
            <w:pPr>
              <w:spacing w:after="0"/>
              <w:rPr>
                <w:sz w:val="20"/>
                <w:szCs w:val="20"/>
                <w:color w:val="auto"/>
              </w:rPr>
            </w:pPr>
            <w:r>
              <w:rPr>
                <w:rFonts w:ascii="Arial" w:cs="Arial" w:eastAsia="Arial" w:hAnsi="Arial"/>
                <w:sz w:val="14"/>
                <w:szCs w:val="14"/>
                <w:color w:val="auto"/>
              </w:rPr>
              <w:t>Restricted Stock Units</w:t>
            </w:r>
          </w:p>
        </w:tc>
        <w:tc>
          <w:tcPr>
            <w:tcW w:w="1060" w:type="dxa"/>
            <w:vAlign w:val="bottom"/>
            <w:shd w:val="clear" w:color="auto" w:fill="CBCEE0"/>
          </w:tcPr>
          <w:p>
            <w:pPr>
              <w:spacing w:after="0"/>
              <w:rPr>
                <w:sz w:val="17"/>
                <w:szCs w:val="17"/>
                <w:color w:val="auto"/>
              </w:rPr>
            </w:pPr>
          </w:p>
        </w:tc>
        <w:tc>
          <w:tcPr>
            <w:tcW w:w="1280" w:type="dxa"/>
            <w:vAlign w:val="bottom"/>
            <w:shd w:val="clear" w:color="auto" w:fill="CBCEE0"/>
          </w:tcPr>
          <w:p>
            <w:pPr>
              <w:spacing w:after="0"/>
              <w:rPr>
                <w:sz w:val="17"/>
                <w:szCs w:val="17"/>
                <w:color w:val="auto"/>
              </w:rPr>
            </w:pPr>
          </w:p>
        </w:tc>
        <w:tc>
          <w:tcPr>
            <w:tcW w:w="820" w:type="dxa"/>
            <w:vAlign w:val="bottom"/>
            <w:shd w:val="clear" w:color="auto" w:fill="CBCEE0"/>
          </w:tcPr>
          <w:p>
            <w:pPr>
              <w:spacing w:after="0"/>
              <w:rPr>
                <w:sz w:val="17"/>
                <w:szCs w:val="17"/>
                <w:color w:val="auto"/>
              </w:rPr>
            </w:pPr>
          </w:p>
        </w:tc>
        <w:tc>
          <w:tcPr>
            <w:tcW w:w="1480" w:type="dxa"/>
            <w:vAlign w:val="bottom"/>
            <w:shd w:val="clear" w:color="auto" w:fill="CBCEE0"/>
          </w:tcPr>
          <w:p>
            <w:pPr>
              <w:spacing w:after="0"/>
              <w:rPr>
                <w:sz w:val="17"/>
                <w:szCs w:val="17"/>
                <w:color w:val="auto"/>
              </w:rPr>
            </w:pPr>
          </w:p>
        </w:tc>
        <w:tc>
          <w:tcPr>
            <w:tcW w:w="840" w:type="dxa"/>
            <w:vAlign w:val="bottom"/>
            <w:shd w:val="clear" w:color="auto" w:fill="CBCEE0"/>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480" w:type="dxa"/>
            <w:vAlign w:val="bottom"/>
            <w:tcBorders>
              <w:right w:val="single" w:sz="8" w:color="0072AF"/>
            </w:tcBorders>
          </w:tcPr>
          <w:p>
            <w:pPr>
              <w:spacing w:after="0"/>
              <w:rPr>
                <w:sz w:val="22"/>
                <w:szCs w:val="22"/>
                <w:color w:val="auto"/>
              </w:rPr>
            </w:pPr>
          </w:p>
        </w:tc>
        <w:tc>
          <w:tcPr>
            <w:tcW w:w="140" w:type="dxa"/>
            <w:vAlign w:val="bottom"/>
            <w:shd w:val="clear" w:color="auto" w:fill="CBCEE0"/>
          </w:tcPr>
          <w:p>
            <w:pPr>
              <w:spacing w:after="0"/>
              <w:rPr>
                <w:sz w:val="22"/>
                <w:szCs w:val="22"/>
                <w:color w:val="auto"/>
              </w:rPr>
            </w:pPr>
          </w:p>
        </w:tc>
        <w:tc>
          <w:tcPr>
            <w:tcW w:w="2080" w:type="dxa"/>
            <w:vAlign w:val="bottom"/>
            <w:shd w:val="clear" w:color="auto" w:fill="CBCEE0"/>
          </w:tcPr>
          <w:p>
            <w:pPr>
              <w:spacing w:after="0" w:line="255" w:lineRule="exact"/>
              <w:rPr>
                <w:sz w:val="20"/>
                <w:szCs w:val="20"/>
                <w:color w:val="auto"/>
              </w:rPr>
            </w:pPr>
            <w:r>
              <w:rPr>
                <w:rFonts w:ascii="Arial" w:cs="Arial" w:eastAsia="Arial" w:hAnsi="Arial"/>
                <w:sz w:val="14"/>
                <w:szCs w:val="14"/>
                <w:color w:val="auto"/>
              </w:rPr>
              <w:t>Accelerated</w:t>
            </w:r>
            <w:r>
              <w:rPr>
                <w:rFonts w:ascii="Arial" w:cs="Arial" w:eastAsia="Arial" w:hAnsi="Arial"/>
                <w:sz w:val="23"/>
                <w:szCs w:val="23"/>
                <w:color w:val="auto"/>
                <w:vertAlign w:val="superscript"/>
              </w:rPr>
              <w:t>(4)</w:t>
            </w:r>
          </w:p>
        </w:tc>
        <w:tc>
          <w:tcPr>
            <w:tcW w:w="1060" w:type="dxa"/>
            <w:vAlign w:val="bottom"/>
            <w:shd w:val="clear" w:color="auto" w:fill="CBCEE0"/>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BCEE0"/>
          </w:tcPr>
          <w:p>
            <w:pPr>
              <w:spacing w:after="0"/>
              <w:rPr>
                <w:sz w:val="22"/>
                <w:szCs w:val="22"/>
                <w:color w:val="auto"/>
              </w:rPr>
            </w:pPr>
          </w:p>
        </w:tc>
        <w:tc>
          <w:tcPr>
            <w:tcW w:w="82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0 - 42,992</w:t>
            </w:r>
          </w:p>
        </w:tc>
        <w:tc>
          <w:tcPr>
            <w:tcW w:w="1480" w:type="dxa"/>
            <w:vAlign w:val="bottom"/>
            <w:shd w:val="clear" w:color="auto" w:fill="CBCEE0"/>
          </w:tcPr>
          <w:p>
            <w:pPr>
              <w:jc w:val="right"/>
              <w:ind w:right="389"/>
              <w:spacing w:after="0"/>
              <w:rPr>
                <w:sz w:val="20"/>
                <w:szCs w:val="20"/>
                <w:color w:val="auto"/>
              </w:rPr>
            </w:pPr>
            <w:r>
              <w:rPr>
                <w:rFonts w:ascii="Arial" w:cs="Arial" w:eastAsia="Arial" w:hAnsi="Arial"/>
                <w:sz w:val="14"/>
                <w:szCs w:val="14"/>
                <w:color w:val="auto"/>
              </w:rPr>
              <w:t>938,067</w:t>
            </w:r>
          </w:p>
        </w:tc>
        <w:tc>
          <w:tcPr>
            <w:tcW w:w="840" w:type="dxa"/>
            <w:vAlign w:val="bottom"/>
            <w:shd w:val="clear" w:color="auto" w:fill="CBCEE0"/>
          </w:tcPr>
          <w:p>
            <w:pPr>
              <w:jc w:val="right"/>
              <w:spacing w:after="0"/>
              <w:rPr>
                <w:sz w:val="20"/>
                <w:szCs w:val="20"/>
                <w:color w:val="auto"/>
              </w:rPr>
            </w:pPr>
            <w:r>
              <w:rPr>
                <w:rFonts w:ascii="Arial" w:cs="Arial" w:eastAsia="Arial" w:hAnsi="Arial"/>
                <w:sz w:val="14"/>
                <w:szCs w:val="14"/>
                <w:color w:val="auto"/>
              </w:rPr>
              <w:t>938,067</w:t>
            </w:r>
          </w:p>
        </w:tc>
        <w:tc>
          <w:tcPr>
            <w:tcW w:w="0" w:type="dxa"/>
            <w:vAlign w:val="bottom"/>
          </w:tcPr>
          <w:p>
            <w:pPr>
              <w:spacing w:after="0"/>
              <w:rPr>
                <w:sz w:val="1"/>
                <w:szCs w:val="1"/>
                <w:color w:val="auto"/>
              </w:rPr>
            </w:pPr>
          </w:p>
        </w:tc>
      </w:tr>
      <w:tr>
        <w:trPr>
          <w:trHeight w:val="297"/>
        </w:trPr>
        <w:tc>
          <w:tcPr>
            <w:tcW w:w="1480" w:type="dxa"/>
            <w:vAlign w:val="bottom"/>
            <w:tcBorders>
              <w:right w:val="single" w:sz="8" w:color="0072AF"/>
            </w:tcBorders>
          </w:tcPr>
          <w:p>
            <w:pPr>
              <w:spacing w:after="0"/>
              <w:rPr>
                <w:sz w:val="24"/>
                <w:szCs w:val="24"/>
                <w:color w:val="auto"/>
              </w:rPr>
            </w:pPr>
          </w:p>
        </w:tc>
        <w:tc>
          <w:tcPr>
            <w:tcW w:w="140" w:type="dxa"/>
            <w:vAlign w:val="bottom"/>
            <w:shd w:val="clear" w:color="auto" w:fill="CBCEE0"/>
          </w:tcPr>
          <w:p>
            <w:pPr>
              <w:spacing w:after="0"/>
              <w:rPr>
                <w:sz w:val="24"/>
                <w:szCs w:val="24"/>
                <w:color w:val="auto"/>
              </w:rPr>
            </w:pPr>
          </w:p>
        </w:tc>
        <w:tc>
          <w:tcPr>
            <w:tcW w:w="2080" w:type="dxa"/>
            <w:vAlign w:val="bottom"/>
            <w:shd w:val="clear" w:color="auto" w:fill="CBCEE0"/>
          </w:tcPr>
          <w:p>
            <w:pPr>
              <w:spacing w:after="0"/>
              <w:rPr>
                <w:sz w:val="20"/>
                <w:szCs w:val="20"/>
                <w:color w:val="auto"/>
              </w:rPr>
            </w:pPr>
            <w:r>
              <w:rPr>
                <w:rFonts w:ascii="Arial" w:cs="Arial" w:eastAsia="Arial" w:hAnsi="Arial"/>
                <w:sz w:val="14"/>
                <w:szCs w:val="14"/>
                <w:color w:val="auto"/>
              </w:rPr>
              <w:t>Cash Incentive Units</w:t>
            </w:r>
            <w:r>
              <w:rPr>
                <w:rFonts w:ascii="Arial" w:cs="Arial" w:eastAsia="Arial" w:hAnsi="Arial"/>
                <w:sz w:val="23"/>
                <w:szCs w:val="23"/>
                <w:color w:val="auto"/>
                <w:vertAlign w:val="superscript"/>
              </w:rPr>
              <w:t>(5)</w:t>
            </w:r>
          </w:p>
        </w:tc>
        <w:tc>
          <w:tcPr>
            <w:tcW w:w="1060" w:type="dxa"/>
            <w:vAlign w:val="bottom"/>
            <w:shd w:val="clear" w:color="auto" w:fill="CBCEE0"/>
          </w:tcPr>
          <w:p>
            <w:pPr>
              <w:spacing w:after="0"/>
              <w:rPr>
                <w:sz w:val="24"/>
                <w:szCs w:val="24"/>
                <w:color w:val="auto"/>
              </w:rPr>
            </w:pPr>
          </w:p>
        </w:tc>
        <w:tc>
          <w:tcPr>
            <w:tcW w:w="1280" w:type="dxa"/>
            <w:vAlign w:val="bottom"/>
            <w:shd w:val="clear" w:color="auto" w:fill="CBCEE0"/>
          </w:tcPr>
          <w:p>
            <w:pPr>
              <w:spacing w:after="0"/>
              <w:rPr>
                <w:sz w:val="24"/>
                <w:szCs w:val="24"/>
                <w:color w:val="auto"/>
              </w:rPr>
            </w:pPr>
          </w:p>
        </w:tc>
        <w:tc>
          <w:tcPr>
            <w:tcW w:w="820" w:type="dxa"/>
            <w:vAlign w:val="bottom"/>
            <w:shd w:val="clear" w:color="auto" w:fill="CBCEE0"/>
          </w:tcPr>
          <w:p>
            <w:pPr>
              <w:spacing w:after="0"/>
              <w:rPr>
                <w:sz w:val="24"/>
                <w:szCs w:val="24"/>
                <w:color w:val="auto"/>
              </w:rPr>
            </w:pPr>
          </w:p>
        </w:tc>
        <w:tc>
          <w:tcPr>
            <w:tcW w:w="1480" w:type="dxa"/>
            <w:vAlign w:val="bottom"/>
            <w:shd w:val="clear" w:color="auto" w:fill="CBCEE0"/>
          </w:tcPr>
          <w:p>
            <w:pPr>
              <w:spacing w:after="0"/>
              <w:rPr>
                <w:sz w:val="24"/>
                <w:szCs w:val="24"/>
                <w:color w:val="auto"/>
              </w:rPr>
            </w:pPr>
          </w:p>
        </w:tc>
        <w:tc>
          <w:tcPr>
            <w:tcW w:w="840" w:type="dxa"/>
            <w:vAlign w:val="bottom"/>
            <w:shd w:val="clear" w:color="auto" w:fill="CBCEE0"/>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480" w:type="dxa"/>
            <w:vAlign w:val="bottom"/>
            <w:tcBorders>
              <w:right w:val="single" w:sz="8" w:color="0072AF"/>
            </w:tcBorders>
          </w:tcPr>
          <w:p>
            <w:pPr>
              <w:spacing w:after="0"/>
              <w:rPr>
                <w:sz w:val="20"/>
                <w:szCs w:val="20"/>
                <w:color w:val="auto"/>
              </w:rPr>
            </w:pPr>
          </w:p>
        </w:tc>
        <w:tc>
          <w:tcPr>
            <w:tcW w:w="140" w:type="dxa"/>
            <w:vAlign w:val="bottom"/>
            <w:shd w:val="clear" w:color="auto" w:fill="CBCEE0"/>
          </w:tcPr>
          <w:p>
            <w:pPr>
              <w:spacing w:after="0"/>
              <w:rPr>
                <w:sz w:val="20"/>
                <w:szCs w:val="20"/>
                <w:color w:val="auto"/>
              </w:rPr>
            </w:pPr>
          </w:p>
        </w:tc>
        <w:tc>
          <w:tcPr>
            <w:tcW w:w="2080" w:type="dxa"/>
            <w:vAlign w:val="bottom"/>
            <w:shd w:val="clear" w:color="auto" w:fill="CBCEE0"/>
          </w:tcPr>
          <w:p>
            <w:pPr>
              <w:ind w:left="180"/>
              <w:spacing w:after="0"/>
              <w:rPr>
                <w:sz w:val="20"/>
                <w:szCs w:val="20"/>
                <w:color w:val="auto"/>
              </w:rPr>
            </w:pPr>
            <w:r>
              <w:rPr>
                <w:rFonts w:ascii="Arial" w:cs="Arial" w:eastAsia="Arial" w:hAnsi="Arial"/>
                <w:sz w:val="14"/>
                <w:szCs w:val="14"/>
                <w:color w:val="auto"/>
              </w:rPr>
              <w:t>2021-2023 cycle</w:t>
            </w:r>
          </w:p>
        </w:tc>
        <w:tc>
          <w:tcPr>
            <w:tcW w:w="1060" w:type="dxa"/>
            <w:vAlign w:val="bottom"/>
            <w:shd w:val="clear" w:color="auto" w:fill="CBCEE0"/>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BCEE0"/>
          </w:tcPr>
          <w:p>
            <w:pPr>
              <w:jc w:val="right"/>
              <w:spacing w:after="0"/>
              <w:rPr>
                <w:sz w:val="20"/>
                <w:szCs w:val="20"/>
                <w:color w:val="auto"/>
              </w:rPr>
            </w:pPr>
            <w:r>
              <w:rPr>
                <w:rFonts w:ascii="Arial" w:cs="Arial" w:eastAsia="Arial" w:hAnsi="Arial"/>
                <w:sz w:val="14"/>
                <w:szCs w:val="14"/>
                <w:color w:val="auto"/>
              </w:rPr>
              <w:t>0</w:t>
            </w:r>
          </w:p>
        </w:tc>
        <w:tc>
          <w:tcPr>
            <w:tcW w:w="82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- 483,600</w:t>
            </w:r>
          </w:p>
        </w:tc>
        <w:tc>
          <w:tcPr>
            <w:tcW w:w="1480" w:type="dxa"/>
            <w:vAlign w:val="bottom"/>
            <w:shd w:val="clear" w:color="auto" w:fill="CBCEE0"/>
          </w:tcPr>
          <w:p>
            <w:pPr>
              <w:jc w:val="right"/>
              <w:ind w:right="389"/>
              <w:spacing w:after="0"/>
              <w:rPr>
                <w:sz w:val="20"/>
                <w:szCs w:val="20"/>
                <w:color w:val="auto"/>
              </w:rPr>
            </w:pPr>
            <w:r>
              <w:rPr>
                <w:rFonts w:ascii="Arial" w:cs="Arial" w:eastAsia="Arial" w:hAnsi="Arial"/>
                <w:sz w:val="14"/>
                <w:szCs w:val="14"/>
                <w:color w:val="auto"/>
              </w:rPr>
              <w:t>780,000</w:t>
            </w:r>
          </w:p>
        </w:tc>
        <w:tc>
          <w:tcPr>
            <w:tcW w:w="840" w:type="dxa"/>
            <w:vAlign w:val="bottom"/>
            <w:shd w:val="clear" w:color="auto" w:fill="CBCEE0"/>
          </w:tcPr>
          <w:p>
            <w:pPr>
              <w:jc w:val="right"/>
              <w:spacing w:after="0"/>
              <w:rPr>
                <w:sz w:val="20"/>
                <w:szCs w:val="20"/>
                <w:color w:val="auto"/>
              </w:rPr>
            </w:pPr>
            <w:r>
              <w:rPr>
                <w:rFonts w:ascii="Arial" w:cs="Arial" w:eastAsia="Arial" w:hAnsi="Arial"/>
                <w:sz w:val="14"/>
                <w:szCs w:val="14"/>
                <w:color w:val="auto"/>
              </w:rPr>
              <w:t>483,600</w:t>
            </w:r>
          </w:p>
        </w:tc>
        <w:tc>
          <w:tcPr>
            <w:tcW w:w="0" w:type="dxa"/>
            <w:vAlign w:val="bottom"/>
          </w:tcPr>
          <w:p>
            <w:pPr>
              <w:spacing w:after="0"/>
              <w:rPr>
                <w:sz w:val="1"/>
                <w:szCs w:val="1"/>
                <w:color w:val="auto"/>
              </w:rPr>
            </w:pPr>
          </w:p>
        </w:tc>
      </w:tr>
      <w:tr>
        <w:trPr>
          <w:trHeight w:val="270"/>
        </w:trPr>
        <w:tc>
          <w:tcPr>
            <w:tcW w:w="1480" w:type="dxa"/>
            <w:vAlign w:val="bottom"/>
            <w:tcBorders>
              <w:right w:val="single" w:sz="8" w:color="0072AF"/>
            </w:tcBorders>
          </w:tcPr>
          <w:p>
            <w:pPr>
              <w:spacing w:after="0"/>
              <w:rPr>
                <w:sz w:val="23"/>
                <w:szCs w:val="23"/>
                <w:color w:val="auto"/>
              </w:rPr>
            </w:pPr>
          </w:p>
        </w:tc>
        <w:tc>
          <w:tcPr>
            <w:tcW w:w="140" w:type="dxa"/>
            <w:vAlign w:val="bottom"/>
            <w:shd w:val="clear" w:color="auto" w:fill="CBCEE0"/>
          </w:tcPr>
          <w:p>
            <w:pPr>
              <w:spacing w:after="0"/>
              <w:rPr>
                <w:sz w:val="23"/>
                <w:szCs w:val="23"/>
                <w:color w:val="auto"/>
              </w:rPr>
            </w:pPr>
          </w:p>
        </w:tc>
        <w:tc>
          <w:tcPr>
            <w:tcW w:w="2080" w:type="dxa"/>
            <w:vAlign w:val="bottom"/>
            <w:shd w:val="clear" w:color="auto" w:fill="CBCEE0"/>
          </w:tcPr>
          <w:p>
            <w:pPr>
              <w:ind w:left="180"/>
              <w:spacing w:after="0"/>
              <w:rPr>
                <w:sz w:val="20"/>
                <w:szCs w:val="20"/>
                <w:color w:val="auto"/>
              </w:rPr>
            </w:pPr>
            <w:r>
              <w:rPr>
                <w:rFonts w:ascii="Arial" w:cs="Arial" w:eastAsia="Arial" w:hAnsi="Arial"/>
                <w:sz w:val="14"/>
                <w:szCs w:val="14"/>
                <w:color w:val="auto"/>
              </w:rPr>
              <w:t>2022-2024 cycle</w:t>
            </w:r>
          </w:p>
        </w:tc>
        <w:tc>
          <w:tcPr>
            <w:tcW w:w="1060" w:type="dxa"/>
            <w:vAlign w:val="bottom"/>
            <w:shd w:val="clear" w:color="auto" w:fill="CBCEE0"/>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BCEE0"/>
          </w:tcPr>
          <w:p>
            <w:pPr>
              <w:jc w:val="right"/>
              <w:spacing w:after="0"/>
              <w:rPr>
                <w:sz w:val="20"/>
                <w:szCs w:val="20"/>
                <w:color w:val="auto"/>
              </w:rPr>
            </w:pPr>
            <w:r>
              <w:rPr>
                <w:rFonts w:ascii="Arial" w:cs="Arial" w:eastAsia="Arial" w:hAnsi="Arial"/>
                <w:sz w:val="14"/>
                <w:szCs w:val="14"/>
                <w:color w:val="auto"/>
              </w:rPr>
              <w:t>0</w:t>
            </w:r>
          </w:p>
        </w:tc>
        <w:tc>
          <w:tcPr>
            <w:tcW w:w="82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- 292,560</w:t>
            </w:r>
          </w:p>
        </w:tc>
        <w:tc>
          <w:tcPr>
            <w:tcW w:w="1480" w:type="dxa"/>
            <w:vAlign w:val="bottom"/>
            <w:shd w:val="clear" w:color="auto" w:fill="CBCEE0"/>
          </w:tcPr>
          <w:p>
            <w:pPr>
              <w:jc w:val="right"/>
              <w:ind w:right="389"/>
              <w:spacing w:after="0"/>
              <w:rPr>
                <w:sz w:val="20"/>
                <w:szCs w:val="20"/>
                <w:color w:val="auto"/>
              </w:rPr>
            </w:pPr>
            <w:r>
              <w:rPr>
                <w:rFonts w:ascii="Arial" w:cs="Arial" w:eastAsia="Arial" w:hAnsi="Arial"/>
                <w:sz w:val="14"/>
                <w:szCs w:val="14"/>
                <w:color w:val="auto"/>
              </w:rPr>
              <w:t>828,000</w:t>
            </w:r>
          </w:p>
        </w:tc>
        <w:tc>
          <w:tcPr>
            <w:tcW w:w="840" w:type="dxa"/>
            <w:vAlign w:val="bottom"/>
            <w:shd w:val="clear" w:color="auto" w:fill="CBCEE0"/>
          </w:tcPr>
          <w:p>
            <w:pPr>
              <w:jc w:val="right"/>
              <w:spacing w:after="0"/>
              <w:rPr>
                <w:sz w:val="20"/>
                <w:szCs w:val="20"/>
                <w:color w:val="auto"/>
              </w:rPr>
            </w:pPr>
            <w:r>
              <w:rPr>
                <w:rFonts w:ascii="Arial" w:cs="Arial" w:eastAsia="Arial" w:hAnsi="Arial"/>
                <w:sz w:val="14"/>
                <w:szCs w:val="14"/>
                <w:color w:val="auto"/>
              </w:rPr>
              <w:t>292,560</w:t>
            </w:r>
          </w:p>
        </w:tc>
        <w:tc>
          <w:tcPr>
            <w:tcW w:w="0" w:type="dxa"/>
            <w:vAlign w:val="bottom"/>
          </w:tcPr>
          <w:p>
            <w:pPr>
              <w:spacing w:after="0"/>
              <w:rPr>
                <w:sz w:val="1"/>
                <w:szCs w:val="1"/>
                <w:color w:val="auto"/>
              </w:rPr>
            </w:pPr>
          </w:p>
        </w:tc>
      </w:tr>
      <w:tr>
        <w:trPr>
          <w:trHeight w:val="270"/>
        </w:trPr>
        <w:tc>
          <w:tcPr>
            <w:tcW w:w="1480" w:type="dxa"/>
            <w:vAlign w:val="bottom"/>
            <w:tcBorders>
              <w:right w:val="single" w:sz="8" w:color="0072AF"/>
            </w:tcBorders>
          </w:tcPr>
          <w:p>
            <w:pPr>
              <w:spacing w:after="0"/>
              <w:rPr>
                <w:sz w:val="23"/>
                <w:szCs w:val="23"/>
                <w:color w:val="auto"/>
              </w:rPr>
            </w:pPr>
          </w:p>
        </w:tc>
        <w:tc>
          <w:tcPr>
            <w:tcW w:w="140" w:type="dxa"/>
            <w:vAlign w:val="bottom"/>
            <w:shd w:val="clear" w:color="auto" w:fill="CBCEE0"/>
          </w:tcPr>
          <w:p>
            <w:pPr>
              <w:spacing w:after="0"/>
              <w:rPr>
                <w:sz w:val="23"/>
                <w:szCs w:val="23"/>
                <w:color w:val="auto"/>
              </w:rPr>
            </w:pPr>
          </w:p>
        </w:tc>
        <w:tc>
          <w:tcPr>
            <w:tcW w:w="2080" w:type="dxa"/>
            <w:vAlign w:val="bottom"/>
            <w:shd w:val="clear" w:color="auto" w:fill="CBCEE0"/>
          </w:tcPr>
          <w:p>
            <w:pPr>
              <w:ind w:left="180"/>
              <w:spacing w:after="0"/>
              <w:rPr>
                <w:sz w:val="20"/>
                <w:szCs w:val="20"/>
                <w:color w:val="auto"/>
              </w:rPr>
            </w:pPr>
            <w:r>
              <w:rPr>
                <w:rFonts w:ascii="Arial" w:cs="Arial" w:eastAsia="Arial" w:hAnsi="Arial"/>
                <w:sz w:val="14"/>
                <w:szCs w:val="14"/>
                <w:color w:val="auto"/>
              </w:rPr>
              <w:t>2023-2025 cycle</w:t>
            </w:r>
          </w:p>
        </w:tc>
        <w:tc>
          <w:tcPr>
            <w:tcW w:w="1060" w:type="dxa"/>
            <w:vAlign w:val="bottom"/>
            <w:shd w:val="clear" w:color="auto" w:fill="CBCEE0"/>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BCEE0"/>
          </w:tcPr>
          <w:p>
            <w:pPr>
              <w:spacing w:after="0"/>
              <w:rPr>
                <w:sz w:val="23"/>
                <w:szCs w:val="23"/>
                <w:color w:val="auto"/>
              </w:rPr>
            </w:pPr>
          </w:p>
        </w:tc>
        <w:tc>
          <w:tcPr>
            <w:tcW w:w="820" w:type="dxa"/>
            <w:vAlign w:val="bottom"/>
            <w:shd w:val="clear" w:color="auto" w:fill="CBCEE0"/>
          </w:tcPr>
          <w:p>
            <w:pPr>
              <w:jc w:val="right"/>
              <w:ind w:right="108"/>
              <w:spacing w:after="0"/>
              <w:rPr>
                <w:sz w:val="20"/>
                <w:szCs w:val="20"/>
                <w:color w:val="auto"/>
              </w:rPr>
            </w:pPr>
            <w:r>
              <w:rPr>
                <w:rFonts w:ascii="Arial" w:cs="Arial" w:eastAsia="Arial" w:hAnsi="Arial"/>
                <w:sz w:val="14"/>
                <w:szCs w:val="14"/>
                <w:color w:val="auto"/>
              </w:rPr>
              <w:t>0 - 0</w:t>
            </w:r>
          </w:p>
        </w:tc>
        <w:tc>
          <w:tcPr>
            <w:tcW w:w="1480" w:type="dxa"/>
            <w:vAlign w:val="bottom"/>
            <w:shd w:val="clear" w:color="auto" w:fill="CBCEE0"/>
          </w:tcPr>
          <w:p>
            <w:pPr>
              <w:jc w:val="right"/>
              <w:ind w:right="389"/>
              <w:spacing w:after="0"/>
              <w:rPr>
                <w:sz w:val="20"/>
                <w:szCs w:val="20"/>
                <w:color w:val="auto"/>
              </w:rPr>
            </w:pPr>
            <w:r>
              <w:rPr>
                <w:rFonts w:ascii="Arial" w:cs="Arial" w:eastAsia="Arial" w:hAnsi="Arial"/>
                <w:sz w:val="14"/>
                <w:szCs w:val="14"/>
                <w:color w:val="auto"/>
              </w:rPr>
              <w:t>960,000</w:t>
            </w:r>
          </w:p>
        </w:tc>
        <w:tc>
          <w:tcPr>
            <w:tcW w:w="840" w:type="dxa"/>
            <w:vAlign w:val="bottom"/>
            <w:shd w:val="clear" w:color="auto" w:fill="CBCEE0"/>
          </w:tcPr>
          <w:p>
            <w:pPr>
              <w:jc w:val="right"/>
              <w:spacing w:after="0"/>
              <w:rPr>
                <w:sz w:val="20"/>
                <w:szCs w:val="20"/>
                <w:color w:val="auto"/>
              </w:rPr>
            </w:pPr>
            <w:r>
              <w:rPr>
                <w:rFonts w:ascii="Arial" w:cs="Arial" w:eastAsia="Arial" w:hAnsi="Arial"/>
                <w:sz w:val="14"/>
                <w:szCs w:val="14"/>
                <w:color w:val="auto"/>
              </w:rPr>
              <w:t>297,600</w:t>
            </w:r>
          </w:p>
        </w:tc>
        <w:tc>
          <w:tcPr>
            <w:tcW w:w="0" w:type="dxa"/>
            <w:vAlign w:val="bottom"/>
          </w:tcPr>
          <w:p>
            <w:pPr>
              <w:spacing w:after="0"/>
              <w:rPr>
                <w:sz w:val="1"/>
                <w:szCs w:val="1"/>
                <w:color w:val="auto"/>
              </w:rPr>
            </w:pPr>
          </w:p>
        </w:tc>
      </w:tr>
      <w:tr>
        <w:trPr>
          <w:trHeight w:val="332"/>
        </w:trPr>
        <w:tc>
          <w:tcPr>
            <w:tcW w:w="1480" w:type="dxa"/>
            <w:vAlign w:val="bottom"/>
            <w:tcBorders>
              <w:right w:val="single" w:sz="8" w:color="0072AF"/>
            </w:tcBorders>
          </w:tcPr>
          <w:p>
            <w:pPr>
              <w:spacing w:after="0"/>
              <w:rPr>
                <w:sz w:val="24"/>
                <w:szCs w:val="24"/>
                <w:color w:val="auto"/>
              </w:rPr>
            </w:pPr>
          </w:p>
        </w:tc>
        <w:tc>
          <w:tcPr>
            <w:tcW w:w="140" w:type="dxa"/>
            <w:vAlign w:val="bottom"/>
            <w:shd w:val="clear" w:color="auto" w:fill="CBCEE0"/>
          </w:tcPr>
          <w:p>
            <w:pPr>
              <w:spacing w:after="0"/>
              <w:rPr>
                <w:sz w:val="24"/>
                <w:szCs w:val="24"/>
                <w:color w:val="auto"/>
              </w:rPr>
            </w:pPr>
          </w:p>
        </w:tc>
        <w:tc>
          <w:tcPr>
            <w:tcW w:w="2080" w:type="dxa"/>
            <w:vAlign w:val="bottom"/>
            <w:shd w:val="clear" w:color="auto" w:fill="CBCEE0"/>
          </w:tcPr>
          <w:p>
            <w:pPr>
              <w:spacing w:after="0"/>
              <w:rPr>
                <w:sz w:val="20"/>
                <w:szCs w:val="20"/>
                <w:color w:val="auto"/>
              </w:rPr>
            </w:pPr>
            <w:r>
              <w:rPr>
                <w:rFonts w:ascii="Arial" w:cs="Arial" w:eastAsia="Arial" w:hAnsi="Arial"/>
                <w:sz w:val="14"/>
                <w:szCs w:val="14"/>
                <w:color w:val="auto"/>
              </w:rPr>
              <w:t>Financial Counseling</w:t>
            </w:r>
            <w:r>
              <w:rPr>
                <w:rFonts w:ascii="Arial" w:cs="Arial" w:eastAsia="Arial" w:hAnsi="Arial"/>
                <w:sz w:val="23"/>
                <w:szCs w:val="23"/>
                <w:color w:val="auto"/>
                <w:vertAlign w:val="superscript"/>
              </w:rPr>
              <w:t>(6)</w:t>
            </w:r>
          </w:p>
        </w:tc>
        <w:tc>
          <w:tcPr>
            <w:tcW w:w="1060" w:type="dxa"/>
            <w:vAlign w:val="bottom"/>
            <w:shd w:val="clear" w:color="auto" w:fill="CBCEE0"/>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BCEE0"/>
          </w:tcPr>
          <w:p>
            <w:pPr>
              <w:spacing w:after="0"/>
              <w:rPr>
                <w:sz w:val="24"/>
                <w:szCs w:val="24"/>
                <w:color w:val="auto"/>
              </w:rPr>
            </w:pPr>
          </w:p>
        </w:tc>
        <w:tc>
          <w:tcPr>
            <w:tcW w:w="820" w:type="dxa"/>
            <w:vAlign w:val="bottom"/>
            <w:shd w:val="clear" w:color="auto" w:fill="CBCEE0"/>
          </w:tcPr>
          <w:p>
            <w:pPr>
              <w:jc w:val="right"/>
              <w:ind w:right="108"/>
              <w:spacing w:after="0"/>
              <w:rPr>
                <w:sz w:val="20"/>
                <w:szCs w:val="20"/>
                <w:color w:val="auto"/>
              </w:rPr>
            </w:pPr>
            <w:r>
              <w:rPr>
                <w:rFonts w:ascii="Arial" w:cs="Arial" w:eastAsia="Arial" w:hAnsi="Arial"/>
                <w:sz w:val="14"/>
                <w:szCs w:val="14"/>
                <w:color w:val="auto"/>
                <w:w w:val="98"/>
              </w:rPr>
              <w:t>0 - 22,193</w:t>
            </w:r>
          </w:p>
        </w:tc>
        <w:tc>
          <w:tcPr>
            <w:tcW w:w="1480" w:type="dxa"/>
            <w:vAlign w:val="bottom"/>
            <w:shd w:val="clear" w:color="auto" w:fill="CBCEE0"/>
          </w:tcPr>
          <w:p>
            <w:pPr>
              <w:jc w:val="right"/>
              <w:ind w:right="409"/>
              <w:spacing w:after="0"/>
              <w:rPr>
                <w:sz w:val="20"/>
                <w:szCs w:val="20"/>
                <w:color w:val="auto"/>
              </w:rPr>
            </w:pPr>
            <w:r>
              <w:rPr>
                <w:rFonts w:ascii="Arial" w:cs="Arial" w:eastAsia="Arial" w:hAnsi="Arial"/>
                <w:sz w:val="14"/>
                <w:szCs w:val="14"/>
                <w:color w:val="auto"/>
              </w:rPr>
              <w:t>-</w:t>
            </w:r>
          </w:p>
        </w:tc>
        <w:tc>
          <w:tcPr>
            <w:tcW w:w="840" w:type="dxa"/>
            <w:vAlign w:val="bottom"/>
            <w:shd w:val="clear" w:color="auto" w:fill="CBCEE0"/>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1480" w:type="dxa"/>
            <w:vAlign w:val="bottom"/>
            <w:tcBorders>
              <w:right w:val="single" w:sz="8" w:color="0072AF"/>
            </w:tcBorders>
          </w:tcPr>
          <w:p>
            <w:pPr>
              <w:spacing w:after="0"/>
              <w:rPr>
                <w:sz w:val="24"/>
                <w:szCs w:val="24"/>
                <w:color w:val="auto"/>
              </w:rPr>
            </w:pPr>
          </w:p>
        </w:tc>
        <w:tc>
          <w:tcPr>
            <w:tcW w:w="140" w:type="dxa"/>
            <w:vAlign w:val="bottom"/>
            <w:shd w:val="clear" w:color="auto" w:fill="CBCEE0"/>
          </w:tcPr>
          <w:p>
            <w:pPr>
              <w:spacing w:after="0"/>
              <w:rPr>
                <w:sz w:val="24"/>
                <w:szCs w:val="24"/>
                <w:color w:val="auto"/>
              </w:rPr>
            </w:pPr>
          </w:p>
        </w:tc>
        <w:tc>
          <w:tcPr>
            <w:tcW w:w="2080" w:type="dxa"/>
            <w:vAlign w:val="bottom"/>
            <w:shd w:val="clear" w:color="auto" w:fill="CBCEE0"/>
          </w:tcPr>
          <w:p>
            <w:pPr>
              <w:spacing w:after="0"/>
              <w:rPr>
                <w:sz w:val="20"/>
                <w:szCs w:val="20"/>
                <w:color w:val="auto"/>
              </w:rPr>
            </w:pPr>
            <w:r>
              <w:rPr>
                <w:rFonts w:ascii="Arial" w:cs="Arial" w:eastAsia="Arial" w:hAnsi="Arial"/>
                <w:sz w:val="14"/>
                <w:szCs w:val="14"/>
                <w:color w:val="auto"/>
              </w:rPr>
              <w:t>Medical &amp; other benefits</w:t>
            </w:r>
            <w:r>
              <w:rPr>
                <w:rFonts w:ascii="Arial" w:cs="Arial" w:eastAsia="Arial" w:hAnsi="Arial"/>
                <w:sz w:val="23"/>
                <w:szCs w:val="23"/>
                <w:color w:val="auto"/>
                <w:vertAlign w:val="superscript"/>
              </w:rPr>
              <w:t>(7)</w:t>
            </w:r>
          </w:p>
        </w:tc>
        <w:tc>
          <w:tcPr>
            <w:tcW w:w="1060" w:type="dxa"/>
            <w:vAlign w:val="bottom"/>
            <w:shd w:val="clear" w:color="auto" w:fill="CBCEE0"/>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BCEE0"/>
          </w:tcPr>
          <w:p>
            <w:pPr>
              <w:spacing w:after="0"/>
              <w:rPr>
                <w:sz w:val="24"/>
                <w:szCs w:val="24"/>
                <w:color w:val="auto"/>
              </w:rPr>
            </w:pPr>
          </w:p>
        </w:tc>
        <w:tc>
          <w:tcPr>
            <w:tcW w:w="820" w:type="dxa"/>
            <w:vAlign w:val="bottom"/>
            <w:shd w:val="clear" w:color="auto" w:fill="CBCEE0"/>
          </w:tcPr>
          <w:p>
            <w:pPr>
              <w:jc w:val="right"/>
              <w:ind w:right="10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BCEE0"/>
          </w:tcPr>
          <w:p>
            <w:pPr>
              <w:jc w:val="right"/>
              <w:ind w:right="389"/>
              <w:spacing w:after="0"/>
              <w:rPr>
                <w:sz w:val="20"/>
                <w:szCs w:val="20"/>
                <w:color w:val="auto"/>
              </w:rPr>
            </w:pPr>
            <w:r>
              <w:rPr>
                <w:rFonts w:ascii="Arial" w:cs="Arial" w:eastAsia="Arial" w:hAnsi="Arial"/>
                <w:sz w:val="14"/>
                <w:szCs w:val="14"/>
                <w:color w:val="auto"/>
              </w:rPr>
              <w:t>90,141</w:t>
            </w:r>
          </w:p>
        </w:tc>
        <w:tc>
          <w:tcPr>
            <w:tcW w:w="840" w:type="dxa"/>
            <w:vAlign w:val="bottom"/>
            <w:shd w:val="clear" w:color="auto" w:fill="CBCEE0"/>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0"/>
        </w:trPr>
        <w:tc>
          <w:tcPr>
            <w:tcW w:w="1480" w:type="dxa"/>
            <w:vAlign w:val="bottom"/>
            <w:tcBorders>
              <w:bottom w:val="single" w:sz="8" w:color="0072AF"/>
              <w:right w:val="single" w:sz="8" w:color="0072AF"/>
            </w:tcBorders>
          </w:tcPr>
          <w:p>
            <w:pPr>
              <w:spacing w:after="0"/>
              <w:rPr>
                <w:sz w:val="24"/>
                <w:szCs w:val="24"/>
                <w:color w:val="auto"/>
              </w:rPr>
            </w:pPr>
          </w:p>
        </w:tc>
        <w:tc>
          <w:tcPr>
            <w:tcW w:w="140" w:type="dxa"/>
            <w:vAlign w:val="bottom"/>
            <w:tcBorders>
              <w:bottom w:val="single" w:sz="8" w:color="0072AF"/>
            </w:tcBorders>
            <w:shd w:val="clear" w:color="auto" w:fill="CBCEE0"/>
          </w:tcPr>
          <w:p>
            <w:pPr>
              <w:spacing w:after="0"/>
              <w:rPr>
                <w:sz w:val="24"/>
                <w:szCs w:val="24"/>
                <w:color w:val="auto"/>
              </w:rPr>
            </w:pPr>
          </w:p>
        </w:tc>
        <w:tc>
          <w:tcPr>
            <w:tcW w:w="2080" w:type="dxa"/>
            <w:vAlign w:val="bottom"/>
            <w:tcBorders>
              <w:bottom w:val="single" w:sz="8" w:color="0072AF"/>
            </w:tcBorders>
            <w:shd w:val="clear" w:color="auto" w:fill="CBCEE0"/>
          </w:tcPr>
          <w:p>
            <w:pPr>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23"/>
                <w:szCs w:val="23"/>
                <w:b w:val="1"/>
                <w:bCs w:val="1"/>
                <w:color w:val="auto"/>
                <w:vertAlign w:val="superscript"/>
              </w:rPr>
              <w:t>(9)</w:t>
            </w:r>
          </w:p>
        </w:tc>
        <w:tc>
          <w:tcPr>
            <w:tcW w:w="1060" w:type="dxa"/>
            <w:vAlign w:val="bottom"/>
            <w:tcBorders>
              <w:bottom w:val="single" w:sz="8" w:color="0072AF"/>
            </w:tcBorders>
            <w:shd w:val="clear" w:color="auto" w:fill="CBCEE0"/>
          </w:tcPr>
          <w:p>
            <w:pPr>
              <w:jc w:val="right"/>
              <w:ind w:right="29"/>
              <w:spacing w:after="0"/>
              <w:rPr>
                <w:sz w:val="20"/>
                <w:szCs w:val="20"/>
                <w:color w:val="auto"/>
              </w:rPr>
            </w:pPr>
            <w:r>
              <w:rPr>
                <w:rFonts w:ascii="Arial" w:cs="Arial" w:eastAsia="Arial" w:hAnsi="Arial"/>
                <w:sz w:val="14"/>
                <w:szCs w:val="14"/>
                <w:b w:val="1"/>
                <w:bCs w:val="1"/>
                <w:color w:val="auto"/>
              </w:rPr>
              <w:t>-</w:t>
            </w:r>
          </w:p>
        </w:tc>
        <w:tc>
          <w:tcPr>
            <w:tcW w:w="2100" w:type="dxa"/>
            <w:vAlign w:val="bottom"/>
            <w:tcBorders>
              <w:bottom w:val="single" w:sz="8" w:color="0072AF"/>
            </w:tcBorders>
            <w:gridSpan w:val="2"/>
            <w:shd w:val="clear" w:color="auto" w:fill="CBCEE0"/>
          </w:tcPr>
          <w:p>
            <w:pPr>
              <w:jc w:val="right"/>
              <w:ind w:right="108"/>
              <w:spacing w:after="0"/>
              <w:rPr>
                <w:sz w:val="20"/>
                <w:szCs w:val="20"/>
                <w:color w:val="auto"/>
              </w:rPr>
            </w:pPr>
            <w:r>
              <w:rPr>
                <w:rFonts w:ascii="Arial" w:cs="Arial" w:eastAsia="Arial" w:hAnsi="Arial"/>
                <w:sz w:val="14"/>
                <w:szCs w:val="14"/>
                <w:b w:val="1"/>
                <w:bCs w:val="1"/>
                <w:color w:val="auto"/>
              </w:rPr>
              <w:t>33,654 - 3,506,245</w:t>
            </w:r>
          </w:p>
        </w:tc>
        <w:tc>
          <w:tcPr>
            <w:tcW w:w="1480" w:type="dxa"/>
            <w:vAlign w:val="bottom"/>
            <w:tcBorders>
              <w:bottom w:val="single" w:sz="8" w:color="0072AF"/>
            </w:tcBorders>
            <w:shd w:val="clear" w:color="auto" w:fill="CBCEE0"/>
          </w:tcPr>
          <w:p>
            <w:pPr>
              <w:jc w:val="right"/>
              <w:ind w:right="369"/>
              <w:spacing w:after="0"/>
              <w:rPr>
                <w:sz w:val="20"/>
                <w:szCs w:val="20"/>
                <w:color w:val="auto"/>
              </w:rPr>
            </w:pPr>
            <w:r>
              <w:rPr>
                <w:rFonts w:ascii="Arial" w:cs="Arial" w:eastAsia="Arial" w:hAnsi="Arial"/>
                <w:sz w:val="14"/>
                <w:szCs w:val="14"/>
                <w:b w:val="1"/>
                <w:bCs w:val="1"/>
                <w:color w:val="auto"/>
              </w:rPr>
              <w:t>7,446,208</w:t>
            </w:r>
          </w:p>
        </w:tc>
        <w:tc>
          <w:tcPr>
            <w:tcW w:w="840" w:type="dxa"/>
            <w:vAlign w:val="bottom"/>
            <w:tcBorders>
              <w:bottom w:val="single" w:sz="8" w:color="0072AF"/>
            </w:tcBorders>
            <w:shd w:val="clear" w:color="auto" w:fill="CBCEE0"/>
          </w:tcPr>
          <w:p>
            <w:pPr>
              <w:jc w:val="right"/>
              <w:spacing w:after="0"/>
              <w:rPr>
                <w:sz w:val="20"/>
                <w:szCs w:val="20"/>
                <w:color w:val="auto"/>
              </w:rPr>
            </w:pPr>
            <w:r>
              <w:rPr>
                <w:rFonts w:ascii="Arial" w:cs="Arial" w:eastAsia="Arial" w:hAnsi="Arial"/>
                <w:sz w:val="14"/>
                <w:szCs w:val="14"/>
                <w:b w:val="1"/>
                <w:bCs w:val="1"/>
                <w:color w:val="auto"/>
              </w:rPr>
              <w:t>2,314,227</w:t>
            </w:r>
          </w:p>
        </w:tc>
        <w:tc>
          <w:tcPr>
            <w:tcW w:w="0" w:type="dxa"/>
            <w:vAlign w:val="bottom"/>
          </w:tcPr>
          <w:p>
            <w:pPr>
              <w:spacing w:after="0"/>
              <w:rPr>
                <w:sz w:val="1"/>
                <w:szCs w:val="1"/>
                <w:color w:val="auto"/>
              </w:rPr>
            </w:pPr>
          </w:p>
        </w:tc>
      </w:tr>
      <w:tr>
        <w:trPr>
          <w:trHeight w:val="248"/>
        </w:trPr>
        <w:tc>
          <w:tcPr>
            <w:tcW w:w="1480" w:type="dxa"/>
            <w:vAlign w:val="bottom"/>
            <w:tcBorders>
              <w:right w:val="single" w:sz="8" w:color="0072AF"/>
            </w:tcBorders>
          </w:tcPr>
          <w:p>
            <w:pPr>
              <w:spacing w:after="0"/>
              <w:rPr>
                <w:sz w:val="20"/>
                <w:szCs w:val="20"/>
                <w:color w:val="auto"/>
              </w:rPr>
            </w:pPr>
            <w:r>
              <w:rPr>
                <w:rFonts w:ascii="Arial" w:cs="Arial" w:eastAsia="Arial" w:hAnsi="Arial"/>
                <w:sz w:val="14"/>
                <w:szCs w:val="14"/>
                <w:b w:val="1"/>
                <w:bCs w:val="1"/>
                <w:color w:val="auto"/>
              </w:rPr>
              <w:t>Ana Chadwick</w:t>
            </w:r>
          </w:p>
        </w:tc>
        <w:tc>
          <w:tcPr>
            <w:tcW w:w="140" w:type="dxa"/>
            <w:vAlign w:val="bottom"/>
          </w:tcPr>
          <w:p>
            <w:pPr>
              <w:spacing w:after="0"/>
              <w:rPr>
                <w:sz w:val="21"/>
                <w:szCs w:val="21"/>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Severance</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100" w:type="dxa"/>
            <w:vAlign w:val="bottom"/>
            <w:gridSpan w:val="2"/>
          </w:tcPr>
          <w:p>
            <w:pPr>
              <w:jc w:val="right"/>
              <w:ind w:right="88"/>
              <w:spacing w:after="0"/>
              <w:rPr>
                <w:sz w:val="20"/>
                <w:szCs w:val="20"/>
                <w:color w:val="auto"/>
              </w:rPr>
            </w:pPr>
            <w:r>
              <w:rPr>
                <w:rFonts w:ascii="Arial" w:cs="Arial" w:eastAsia="Arial" w:hAnsi="Arial"/>
                <w:sz w:val="14"/>
                <w:szCs w:val="14"/>
                <w:color w:val="auto"/>
              </w:rPr>
              <w:t>23,462 - 1,647,049</w:t>
            </w:r>
          </w:p>
        </w:tc>
        <w:tc>
          <w:tcPr>
            <w:tcW w:w="1480" w:type="dxa"/>
            <w:vAlign w:val="bottom"/>
          </w:tcPr>
          <w:p>
            <w:pPr>
              <w:jc w:val="right"/>
              <w:ind w:right="369"/>
              <w:spacing w:after="0"/>
              <w:rPr>
                <w:sz w:val="20"/>
                <w:szCs w:val="20"/>
                <w:color w:val="auto"/>
              </w:rPr>
            </w:pPr>
            <w:r>
              <w:rPr>
                <w:rFonts w:ascii="Arial" w:cs="Arial" w:eastAsia="Arial" w:hAnsi="Arial"/>
                <w:sz w:val="14"/>
                <w:szCs w:val="14"/>
                <w:color w:val="auto"/>
              </w:rPr>
              <w:t>2,196,065</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480" w:type="dxa"/>
            <w:vAlign w:val="bottom"/>
            <w:tcBorders>
              <w:right w:val="single" w:sz="8" w:color="0072AF"/>
            </w:tcBorders>
          </w:tcPr>
          <w:p>
            <w:pPr>
              <w:spacing w:after="0"/>
              <w:rPr>
                <w:sz w:val="22"/>
                <w:szCs w:val="22"/>
                <w:color w:val="auto"/>
              </w:rPr>
            </w:pPr>
          </w:p>
        </w:tc>
        <w:tc>
          <w:tcPr>
            <w:tcW w:w="140" w:type="dxa"/>
            <w:vAlign w:val="bottom"/>
          </w:tcPr>
          <w:p>
            <w:pPr>
              <w:spacing w:after="0"/>
              <w:rPr>
                <w:sz w:val="22"/>
                <w:szCs w:val="22"/>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Annual Incentive</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0</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- 210,822</w:t>
            </w:r>
          </w:p>
        </w:tc>
        <w:tc>
          <w:tcPr>
            <w:tcW w:w="1480" w:type="dxa"/>
            <w:vAlign w:val="bottom"/>
          </w:tcPr>
          <w:p>
            <w:pPr>
              <w:jc w:val="right"/>
              <w:ind w:right="389"/>
              <w:spacing w:after="0"/>
              <w:rPr>
                <w:sz w:val="20"/>
                <w:szCs w:val="20"/>
                <w:color w:val="auto"/>
              </w:rPr>
            </w:pPr>
            <w:r>
              <w:rPr>
                <w:rFonts w:ascii="Arial" w:cs="Arial" w:eastAsia="Arial" w:hAnsi="Arial"/>
                <w:sz w:val="14"/>
                <w:szCs w:val="14"/>
                <w:color w:val="auto"/>
              </w:rPr>
              <w:t>488,014</w:t>
            </w:r>
          </w:p>
        </w:tc>
        <w:tc>
          <w:tcPr>
            <w:tcW w:w="840" w:type="dxa"/>
            <w:vAlign w:val="bottom"/>
          </w:tcPr>
          <w:p>
            <w:pPr>
              <w:jc w:val="right"/>
              <w:spacing w:after="0"/>
              <w:rPr>
                <w:sz w:val="20"/>
                <w:szCs w:val="20"/>
                <w:color w:val="auto"/>
              </w:rPr>
            </w:pPr>
            <w:r>
              <w:rPr>
                <w:rFonts w:ascii="Arial" w:cs="Arial" w:eastAsia="Arial" w:hAnsi="Arial"/>
                <w:sz w:val="14"/>
                <w:szCs w:val="14"/>
                <w:color w:val="auto"/>
              </w:rPr>
              <w:t>210,822</w:t>
            </w:r>
          </w:p>
        </w:tc>
        <w:tc>
          <w:tcPr>
            <w:tcW w:w="0" w:type="dxa"/>
            <w:vAlign w:val="bottom"/>
          </w:tcPr>
          <w:p>
            <w:pPr>
              <w:spacing w:after="0"/>
              <w:rPr>
                <w:sz w:val="1"/>
                <w:szCs w:val="1"/>
                <w:color w:val="auto"/>
              </w:rPr>
            </w:pPr>
          </w:p>
        </w:tc>
      </w:tr>
      <w:tr>
        <w:trPr>
          <w:trHeight w:val="377"/>
        </w:trPr>
        <w:tc>
          <w:tcPr>
            <w:tcW w:w="1480" w:type="dxa"/>
            <w:vAlign w:val="bottom"/>
            <w:tcBorders>
              <w:right w:val="single" w:sz="8" w:color="0072AF"/>
            </w:tcBorders>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Stock Options Accelerated</w:t>
            </w:r>
            <w:r>
              <w:rPr>
                <w:rFonts w:ascii="Arial" w:cs="Arial" w:eastAsia="Arial" w:hAnsi="Arial"/>
                <w:sz w:val="23"/>
                <w:szCs w:val="23"/>
                <w:color w:val="auto"/>
                <w:vertAlign w:val="superscript"/>
              </w:rPr>
              <w:t>(3)</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0 - 0</w:t>
            </w:r>
          </w:p>
        </w:tc>
        <w:tc>
          <w:tcPr>
            <w:tcW w:w="1480" w:type="dxa"/>
            <w:vAlign w:val="bottom"/>
          </w:tcPr>
          <w:p>
            <w:pPr>
              <w:jc w:val="right"/>
              <w:ind w:right="409"/>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9"/>
        </w:trPr>
        <w:tc>
          <w:tcPr>
            <w:tcW w:w="1480" w:type="dxa"/>
            <w:vAlign w:val="bottom"/>
            <w:tcBorders>
              <w:right w:val="single" w:sz="8" w:color="0072AF"/>
            </w:tcBorders>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line="159" w:lineRule="exact"/>
              <w:rPr>
                <w:sz w:val="20"/>
                <w:szCs w:val="20"/>
                <w:color w:val="auto"/>
              </w:rPr>
            </w:pPr>
            <w:r>
              <w:rPr>
                <w:rFonts w:ascii="Arial" w:cs="Arial" w:eastAsia="Arial" w:hAnsi="Arial"/>
                <w:sz w:val="14"/>
                <w:szCs w:val="14"/>
                <w:color w:val="auto"/>
              </w:rPr>
              <w:t>Restricted Stock Units</w:t>
            </w:r>
          </w:p>
        </w:tc>
        <w:tc>
          <w:tcPr>
            <w:tcW w:w="10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1480" w:type="dxa"/>
            <w:vAlign w:val="bottom"/>
            <w:tcBorders>
              <w:right w:val="single" w:sz="8" w:color="0072AF"/>
            </w:tcBorders>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Accelerated</w:t>
            </w:r>
            <w:r>
              <w:rPr>
                <w:rFonts w:ascii="Arial" w:cs="Arial" w:eastAsia="Arial" w:hAnsi="Arial"/>
                <w:sz w:val="23"/>
                <w:szCs w:val="23"/>
                <w:color w:val="auto"/>
                <w:vertAlign w:val="superscript"/>
              </w:rPr>
              <w:t>(4)</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0 - 41,338</w:t>
            </w:r>
          </w:p>
        </w:tc>
        <w:tc>
          <w:tcPr>
            <w:tcW w:w="1480" w:type="dxa"/>
            <w:vAlign w:val="bottom"/>
          </w:tcPr>
          <w:p>
            <w:pPr>
              <w:jc w:val="right"/>
              <w:ind w:right="389"/>
              <w:spacing w:after="0"/>
              <w:rPr>
                <w:sz w:val="20"/>
                <w:szCs w:val="20"/>
                <w:color w:val="auto"/>
              </w:rPr>
            </w:pPr>
            <w:r>
              <w:rPr>
                <w:rFonts w:ascii="Arial" w:cs="Arial" w:eastAsia="Arial" w:hAnsi="Arial"/>
                <w:sz w:val="14"/>
                <w:szCs w:val="14"/>
                <w:color w:val="auto"/>
              </w:rPr>
              <w:t>543,620</w:t>
            </w:r>
          </w:p>
        </w:tc>
        <w:tc>
          <w:tcPr>
            <w:tcW w:w="840" w:type="dxa"/>
            <w:vAlign w:val="bottom"/>
          </w:tcPr>
          <w:p>
            <w:pPr>
              <w:jc w:val="right"/>
              <w:spacing w:after="0"/>
              <w:rPr>
                <w:sz w:val="20"/>
                <w:szCs w:val="20"/>
                <w:color w:val="auto"/>
              </w:rPr>
            </w:pPr>
            <w:r>
              <w:rPr>
                <w:rFonts w:ascii="Arial" w:cs="Arial" w:eastAsia="Arial" w:hAnsi="Arial"/>
                <w:sz w:val="14"/>
                <w:szCs w:val="14"/>
                <w:color w:val="auto"/>
              </w:rPr>
              <w:t>543,620</w:t>
            </w:r>
          </w:p>
        </w:tc>
        <w:tc>
          <w:tcPr>
            <w:tcW w:w="0" w:type="dxa"/>
            <w:vAlign w:val="bottom"/>
          </w:tcPr>
          <w:p>
            <w:pPr>
              <w:spacing w:after="0"/>
              <w:rPr>
                <w:sz w:val="1"/>
                <w:szCs w:val="1"/>
                <w:color w:val="auto"/>
              </w:rPr>
            </w:pPr>
          </w:p>
        </w:tc>
      </w:tr>
      <w:tr>
        <w:trPr>
          <w:trHeight w:val="297"/>
        </w:trPr>
        <w:tc>
          <w:tcPr>
            <w:tcW w:w="1480" w:type="dxa"/>
            <w:vAlign w:val="bottom"/>
            <w:tcBorders>
              <w:right w:val="single" w:sz="8" w:color="0072AF"/>
            </w:tcBorders>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Special RSUs Accelerated</w:t>
            </w:r>
            <w:r>
              <w:rPr>
                <w:rFonts w:ascii="Arial" w:cs="Arial" w:eastAsia="Arial" w:hAnsi="Arial"/>
                <w:sz w:val="23"/>
                <w:szCs w:val="23"/>
                <w:color w:val="auto"/>
                <w:vertAlign w:val="superscript"/>
              </w:rPr>
              <w:t>(4)</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0 - 82,584</w:t>
            </w:r>
          </w:p>
        </w:tc>
        <w:tc>
          <w:tcPr>
            <w:tcW w:w="1480" w:type="dxa"/>
            <w:vAlign w:val="bottom"/>
          </w:tcPr>
          <w:p>
            <w:pPr>
              <w:jc w:val="right"/>
              <w:ind w:right="389"/>
              <w:spacing w:after="0"/>
              <w:rPr>
                <w:sz w:val="20"/>
                <w:szCs w:val="20"/>
                <w:color w:val="auto"/>
              </w:rPr>
            </w:pPr>
            <w:r>
              <w:rPr>
                <w:rFonts w:ascii="Arial" w:cs="Arial" w:eastAsia="Arial" w:hAnsi="Arial"/>
                <w:sz w:val="14"/>
                <w:szCs w:val="14"/>
                <w:color w:val="auto"/>
              </w:rPr>
              <w:t>82,584</w:t>
            </w:r>
          </w:p>
        </w:tc>
        <w:tc>
          <w:tcPr>
            <w:tcW w:w="840" w:type="dxa"/>
            <w:vAlign w:val="bottom"/>
          </w:tcPr>
          <w:p>
            <w:pPr>
              <w:jc w:val="right"/>
              <w:spacing w:after="0"/>
              <w:rPr>
                <w:sz w:val="20"/>
                <w:szCs w:val="20"/>
                <w:color w:val="auto"/>
              </w:rPr>
            </w:pPr>
            <w:r>
              <w:rPr>
                <w:rFonts w:ascii="Arial" w:cs="Arial" w:eastAsia="Arial" w:hAnsi="Arial"/>
                <w:sz w:val="14"/>
                <w:szCs w:val="14"/>
                <w:color w:val="auto"/>
              </w:rPr>
              <w:t>82,584</w:t>
            </w:r>
          </w:p>
        </w:tc>
        <w:tc>
          <w:tcPr>
            <w:tcW w:w="0" w:type="dxa"/>
            <w:vAlign w:val="bottom"/>
          </w:tcPr>
          <w:p>
            <w:pPr>
              <w:spacing w:after="0"/>
              <w:rPr>
                <w:sz w:val="1"/>
                <w:szCs w:val="1"/>
                <w:color w:val="auto"/>
              </w:rPr>
            </w:pPr>
          </w:p>
        </w:tc>
      </w:tr>
      <w:tr>
        <w:trPr>
          <w:trHeight w:val="300"/>
        </w:trPr>
        <w:tc>
          <w:tcPr>
            <w:tcW w:w="1480" w:type="dxa"/>
            <w:vAlign w:val="bottom"/>
            <w:tcBorders>
              <w:right w:val="single" w:sz="8" w:color="0072AF"/>
            </w:tcBorders>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Cash Incentive Units</w:t>
            </w:r>
            <w:r>
              <w:rPr>
                <w:rFonts w:ascii="Arial" w:cs="Arial" w:eastAsia="Arial" w:hAnsi="Arial"/>
                <w:sz w:val="23"/>
                <w:szCs w:val="23"/>
                <w:color w:val="auto"/>
                <w:vertAlign w:val="superscript"/>
              </w:rPr>
              <w:t>(5)</w:t>
            </w: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480" w:type="dxa"/>
            <w:vAlign w:val="bottom"/>
            <w:tcBorders>
              <w:right w:val="single" w:sz="8" w:color="0072AF"/>
            </w:tcBorders>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tcPr>
          <w:p>
            <w:pPr>
              <w:ind w:left="180"/>
              <w:spacing w:after="0"/>
              <w:rPr>
                <w:sz w:val="20"/>
                <w:szCs w:val="20"/>
                <w:color w:val="auto"/>
              </w:rPr>
            </w:pPr>
            <w:r>
              <w:rPr>
                <w:rFonts w:ascii="Arial" w:cs="Arial" w:eastAsia="Arial" w:hAnsi="Arial"/>
                <w:sz w:val="14"/>
                <w:szCs w:val="14"/>
                <w:color w:val="auto"/>
              </w:rPr>
              <w:t>2021-2023 cycle</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0</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- 465,000</w:t>
            </w:r>
          </w:p>
        </w:tc>
        <w:tc>
          <w:tcPr>
            <w:tcW w:w="1480" w:type="dxa"/>
            <w:vAlign w:val="bottom"/>
          </w:tcPr>
          <w:p>
            <w:pPr>
              <w:jc w:val="right"/>
              <w:ind w:right="389"/>
              <w:spacing w:after="0"/>
              <w:rPr>
                <w:sz w:val="20"/>
                <w:szCs w:val="20"/>
                <w:color w:val="auto"/>
              </w:rPr>
            </w:pPr>
            <w:r>
              <w:rPr>
                <w:rFonts w:ascii="Arial" w:cs="Arial" w:eastAsia="Arial" w:hAnsi="Arial"/>
                <w:sz w:val="14"/>
                <w:szCs w:val="14"/>
                <w:color w:val="auto"/>
              </w:rPr>
              <w:t>750,000</w:t>
            </w:r>
          </w:p>
        </w:tc>
        <w:tc>
          <w:tcPr>
            <w:tcW w:w="840" w:type="dxa"/>
            <w:vAlign w:val="bottom"/>
          </w:tcPr>
          <w:p>
            <w:pPr>
              <w:jc w:val="right"/>
              <w:spacing w:after="0"/>
              <w:rPr>
                <w:sz w:val="20"/>
                <w:szCs w:val="20"/>
                <w:color w:val="auto"/>
              </w:rPr>
            </w:pPr>
            <w:r>
              <w:rPr>
                <w:rFonts w:ascii="Arial" w:cs="Arial" w:eastAsia="Arial" w:hAnsi="Arial"/>
                <w:sz w:val="14"/>
                <w:szCs w:val="14"/>
                <w:color w:val="auto"/>
              </w:rPr>
              <w:t>465,000</w:t>
            </w:r>
          </w:p>
        </w:tc>
        <w:tc>
          <w:tcPr>
            <w:tcW w:w="0" w:type="dxa"/>
            <w:vAlign w:val="bottom"/>
          </w:tcPr>
          <w:p>
            <w:pPr>
              <w:spacing w:after="0"/>
              <w:rPr>
                <w:sz w:val="1"/>
                <w:szCs w:val="1"/>
                <w:color w:val="auto"/>
              </w:rPr>
            </w:pPr>
          </w:p>
        </w:tc>
      </w:tr>
      <w:tr>
        <w:trPr>
          <w:trHeight w:val="270"/>
        </w:trPr>
        <w:tc>
          <w:tcPr>
            <w:tcW w:w="1480" w:type="dxa"/>
            <w:vAlign w:val="bottom"/>
            <w:tcBorders>
              <w:right w:val="single" w:sz="8" w:color="0072AF"/>
            </w:tcBorders>
          </w:tcPr>
          <w:p>
            <w:pPr>
              <w:spacing w:after="0"/>
              <w:rPr>
                <w:sz w:val="23"/>
                <w:szCs w:val="23"/>
                <w:color w:val="auto"/>
              </w:rPr>
            </w:pPr>
          </w:p>
        </w:tc>
        <w:tc>
          <w:tcPr>
            <w:tcW w:w="140" w:type="dxa"/>
            <w:vAlign w:val="bottom"/>
          </w:tcPr>
          <w:p>
            <w:pPr>
              <w:spacing w:after="0"/>
              <w:rPr>
                <w:sz w:val="23"/>
                <w:szCs w:val="23"/>
                <w:color w:val="auto"/>
              </w:rPr>
            </w:pPr>
          </w:p>
        </w:tc>
        <w:tc>
          <w:tcPr>
            <w:tcW w:w="2080" w:type="dxa"/>
            <w:vAlign w:val="bottom"/>
          </w:tcPr>
          <w:p>
            <w:pPr>
              <w:ind w:left="180"/>
              <w:spacing w:after="0"/>
              <w:rPr>
                <w:sz w:val="20"/>
                <w:szCs w:val="20"/>
                <w:color w:val="auto"/>
              </w:rPr>
            </w:pPr>
            <w:r>
              <w:rPr>
                <w:rFonts w:ascii="Arial" w:cs="Arial" w:eastAsia="Arial" w:hAnsi="Arial"/>
                <w:sz w:val="14"/>
                <w:szCs w:val="14"/>
                <w:color w:val="auto"/>
              </w:rPr>
              <w:t>2022-2024 cycle</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0</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- 265,000</w:t>
            </w:r>
          </w:p>
        </w:tc>
        <w:tc>
          <w:tcPr>
            <w:tcW w:w="1480" w:type="dxa"/>
            <w:vAlign w:val="bottom"/>
          </w:tcPr>
          <w:p>
            <w:pPr>
              <w:jc w:val="right"/>
              <w:ind w:right="389"/>
              <w:spacing w:after="0"/>
              <w:rPr>
                <w:sz w:val="20"/>
                <w:szCs w:val="20"/>
                <w:color w:val="auto"/>
              </w:rPr>
            </w:pPr>
            <w:r>
              <w:rPr>
                <w:rFonts w:ascii="Arial" w:cs="Arial" w:eastAsia="Arial" w:hAnsi="Arial"/>
                <w:sz w:val="14"/>
                <w:szCs w:val="14"/>
                <w:color w:val="auto"/>
              </w:rPr>
              <w:t>750,000</w:t>
            </w:r>
          </w:p>
        </w:tc>
        <w:tc>
          <w:tcPr>
            <w:tcW w:w="840" w:type="dxa"/>
            <w:vAlign w:val="bottom"/>
          </w:tcPr>
          <w:p>
            <w:pPr>
              <w:jc w:val="right"/>
              <w:spacing w:after="0"/>
              <w:rPr>
                <w:sz w:val="20"/>
                <w:szCs w:val="20"/>
                <w:color w:val="auto"/>
              </w:rPr>
            </w:pPr>
            <w:r>
              <w:rPr>
                <w:rFonts w:ascii="Arial" w:cs="Arial" w:eastAsia="Arial" w:hAnsi="Arial"/>
                <w:sz w:val="14"/>
                <w:szCs w:val="14"/>
                <w:color w:val="auto"/>
              </w:rPr>
              <w:t>265,000</w:t>
            </w:r>
          </w:p>
        </w:tc>
        <w:tc>
          <w:tcPr>
            <w:tcW w:w="0" w:type="dxa"/>
            <w:vAlign w:val="bottom"/>
          </w:tcPr>
          <w:p>
            <w:pPr>
              <w:spacing w:after="0"/>
              <w:rPr>
                <w:sz w:val="1"/>
                <w:szCs w:val="1"/>
                <w:color w:val="auto"/>
              </w:rPr>
            </w:pPr>
          </w:p>
        </w:tc>
      </w:tr>
      <w:tr>
        <w:trPr>
          <w:trHeight w:val="270"/>
        </w:trPr>
        <w:tc>
          <w:tcPr>
            <w:tcW w:w="1480" w:type="dxa"/>
            <w:vAlign w:val="bottom"/>
            <w:tcBorders>
              <w:right w:val="single" w:sz="8" w:color="0072AF"/>
            </w:tcBorders>
          </w:tcPr>
          <w:p>
            <w:pPr>
              <w:spacing w:after="0"/>
              <w:rPr>
                <w:sz w:val="23"/>
                <w:szCs w:val="23"/>
                <w:color w:val="auto"/>
              </w:rPr>
            </w:pPr>
          </w:p>
        </w:tc>
        <w:tc>
          <w:tcPr>
            <w:tcW w:w="140" w:type="dxa"/>
            <w:vAlign w:val="bottom"/>
          </w:tcPr>
          <w:p>
            <w:pPr>
              <w:spacing w:after="0"/>
              <w:rPr>
                <w:sz w:val="23"/>
                <w:szCs w:val="23"/>
                <w:color w:val="auto"/>
              </w:rPr>
            </w:pPr>
          </w:p>
        </w:tc>
        <w:tc>
          <w:tcPr>
            <w:tcW w:w="2080" w:type="dxa"/>
            <w:vAlign w:val="bottom"/>
          </w:tcPr>
          <w:p>
            <w:pPr>
              <w:ind w:left="180"/>
              <w:spacing w:after="0"/>
              <w:rPr>
                <w:sz w:val="20"/>
                <w:szCs w:val="20"/>
                <w:color w:val="auto"/>
              </w:rPr>
            </w:pPr>
            <w:r>
              <w:rPr>
                <w:rFonts w:ascii="Arial" w:cs="Arial" w:eastAsia="Arial" w:hAnsi="Arial"/>
                <w:sz w:val="14"/>
                <w:szCs w:val="14"/>
                <w:color w:val="auto"/>
              </w:rPr>
              <w:t>2023-2025 cycle</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0 - 0</w:t>
            </w:r>
          </w:p>
        </w:tc>
        <w:tc>
          <w:tcPr>
            <w:tcW w:w="1480" w:type="dxa"/>
            <w:vAlign w:val="bottom"/>
          </w:tcPr>
          <w:p>
            <w:pPr>
              <w:jc w:val="right"/>
              <w:ind w:right="389"/>
              <w:spacing w:after="0"/>
              <w:rPr>
                <w:sz w:val="20"/>
                <w:szCs w:val="20"/>
                <w:color w:val="auto"/>
              </w:rPr>
            </w:pPr>
            <w:r>
              <w:rPr>
                <w:rFonts w:ascii="Arial" w:cs="Arial" w:eastAsia="Arial" w:hAnsi="Arial"/>
                <w:sz w:val="14"/>
                <w:szCs w:val="14"/>
                <w:color w:val="auto"/>
              </w:rPr>
              <w:t>750,000</w:t>
            </w:r>
          </w:p>
        </w:tc>
        <w:tc>
          <w:tcPr>
            <w:tcW w:w="840" w:type="dxa"/>
            <w:vAlign w:val="bottom"/>
          </w:tcPr>
          <w:p>
            <w:pPr>
              <w:jc w:val="right"/>
              <w:spacing w:after="0"/>
              <w:rPr>
                <w:sz w:val="20"/>
                <w:szCs w:val="20"/>
                <w:color w:val="auto"/>
              </w:rPr>
            </w:pPr>
            <w:r>
              <w:rPr>
                <w:rFonts w:ascii="Arial" w:cs="Arial" w:eastAsia="Arial" w:hAnsi="Arial"/>
                <w:sz w:val="14"/>
                <w:szCs w:val="14"/>
                <w:color w:val="auto"/>
              </w:rPr>
              <w:t>232,500</w:t>
            </w:r>
          </w:p>
        </w:tc>
        <w:tc>
          <w:tcPr>
            <w:tcW w:w="0" w:type="dxa"/>
            <w:vAlign w:val="bottom"/>
          </w:tcPr>
          <w:p>
            <w:pPr>
              <w:spacing w:after="0"/>
              <w:rPr>
                <w:sz w:val="1"/>
                <w:szCs w:val="1"/>
                <w:color w:val="auto"/>
              </w:rPr>
            </w:pPr>
          </w:p>
        </w:tc>
      </w:tr>
      <w:tr>
        <w:trPr>
          <w:trHeight w:val="374"/>
        </w:trPr>
        <w:tc>
          <w:tcPr>
            <w:tcW w:w="1480" w:type="dxa"/>
            <w:vAlign w:val="bottom"/>
            <w:tcBorders>
              <w:right w:val="single" w:sz="8" w:color="0072AF"/>
            </w:tcBorders>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Financial Counseling</w:t>
            </w:r>
            <w:r>
              <w:rPr>
                <w:rFonts w:ascii="Arial" w:cs="Arial" w:eastAsia="Arial" w:hAnsi="Arial"/>
                <w:sz w:val="23"/>
                <w:szCs w:val="23"/>
                <w:color w:val="auto"/>
                <w:vertAlign w:val="superscript"/>
              </w:rPr>
              <w:t>(6)</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0 - 22,193</w:t>
            </w:r>
          </w:p>
        </w:tc>
        <w:tc>
          <w:tcPr>
            <w:tcW w:w="1480" w:type="dxa"/>
            <w:vAlign w:val="bottom"/>
          </w:tcPr>
          <w:p>
            <w:pPr>
              <w:jc w:val="right"/>
              <w:ind w:right="40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1480" w:type="dxa"/>
            <w:vAlign w:val="bottom"/>
            <w:tcBorders>
              <w:right w:val="single" w:sz="8" w:color="0072AF"/>
            </w:tcBorders>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Medical &amp; other benefits</w:t>
            </w:r>
            <w:r>
              <w:rPr>
                <w:rFonts w:ascii="Arial" w:cs="Arial" w:eastAsia="Arial" w:hAnsi="Arial"/>
                <w:sz w:val="23"/>
                <w:szCs w:val="23"/>
                <w:color w:val="auto"/>
                <w:vertAlign w:val="superscript"/>
              </w:rPr>
              <w:t>(7)</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389"/>
              <w:spacing w:after="0"/>
              <w:rPr>
                <w:sz w:val="20"/>
                <w:szCs w:val="20"/>
                <w:color w:val="auto"/>
              </w:rPr>
            </w:pPr>
            <w:r>
              <w:rPr>
                <w:rFonts w:ascii="Arial" w:cs="Arial" w:eastAsia="Arial" w:hAnsi="Arial"/>
                <w:sz w:val="14"/>
                <w:szCs w:val="14"/>
                <w:color w:val="auto"/>
              </w:rPr>
              <w:t>82,555</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1480" w:type="dxa"/>
            <w:vAlign w:val="bottom"/>
            <w:tcBorders>
              <w:bottom w:val="single" w:sz="8" w:color="0072AF"/>
              <w:right w:val="single" w:sz="8" w:color="0072AF"/>
            </w:tcBorders>
          </w:tcPr>
          <w:p>
            <w:pPr>
              <w:spacing w:after="0"/>
              <w:rPr>
                <w:sz w:val="23"/>
                <w:szCs w:val="23"/>
                <w:color w:val="auto"/>
              </w:rPr>
            </w:pPr>
          </w:p>
        </w:tc>
        <w:tc>
          <w:tcPr>
            <w:tcW w:w="140" w:type="dxa"/>
            <w:vAlign w:val="bottom"/>
            <w:tcBorders>
              <w:bottom w:val="single" w:sz="8" w:color="0072AF"/>
            </w:tcBorders>
          </w:tcPr>
          <w:p>
            <w:pPr>
              <w:spacing w:after="0"/>
              <w:rPr>
                <w:sz w:val="23"/>
                <w:szCs w:val="23"/>
                <w:color w:val="auto"/>
              </w:rPr>
            </w:pPr>
          </w:p>
        </w:tc>
        <w:tc>
          <w:tcPr>
            <w:tcW w:w="2080" w:type="dxa"/>
            <w:vAlign w:val="bottom"/>
            <w:tcBorders>
              <w:bottom w:val="single" w:sz="8" w:color="0072AF"/>
            </w:tcBorders>
          </w:tcPr>
          <w:p>
            <w:pPr>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23"/>
                <w:szCs w:val="23"/>
                <w:b w:val="1"/>
                <w:bCs w:val="1"/>
                <w:color w:val="auto"/>
                <w:vertAlign w:val="superscript"/>
              </w:rPr>
              <w:t>(9)</w:t>
            </w:r>
          </w:p>
        </w:tc>
        <w:tc>
          <w:tcPr>
            <w:tcW w:w="1060" w:type="dxa"/>
            <w:vAlign w:val="bottom"/>
            <w:tcBorders>
              <w:bottom w:val="single" w:sz="8" w:color="0072AF"/>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2100" w:type="dxa"/>
            <w:vAlign w:val="bottom"/>
            <w:tcBorders>
              <w:bottom w:val="single" w:sz="8" w:color="0072AF"/>
            </w:tcBorders>
            <w:gridSpan w:val="2"/>
          </w:tcPr>
          <w:p>
            <w:pPr>
              <w:jc w:val="right"/>
              <w:ind w:right="88"/>
              <w:spacing w:after="0"/>
              <w:rPr>
                <w:sz w:val="20"/>
                <w:szCs w:val="20"/>
                <w:color w:val="auto"/>
              </w:rPr>
            </w:pPr>
            <w:r>
              <w:rPr>
                <w:rFonts w:ascii="Arial" w:cs="Arial" w:eastAsia="Arial" w:hAnsi="Arial"/>
                <w:sz w:val="14"/>
                <w:szCs w:val="14"/>
                <w:b w:val="1"/>
                <w:bCs w:val="1"/>
                <w:color w:val="auto"/>
              </w:rPr>
              <w:t>23,462 - 2,733,986</w:t>
            </w:r>
          </w:p>
        </w:tc>
        <w:tc>
          <w:tcPr>
            <w:tcW w:w="1480" w:type="dxa"/>
            <w:vAlign w:val="bottom"/>
            <w:tcBorders>
              <w:bottom w:val="single" w:sz="8" w:color="0072AF"/>
            </w:tcBorders>
          </w:tcPr>
          <w:p>
            <w:pPr>
              <w:jc w:val="right"/>
              <w:ind w:right="369"/>
              <w:spacing w:after="0"/>
              <w:rPr>
                <w:sz w:val="20"/>
                <w:szCs w:val="20"/>
                <w:color w:val="auto"/>
              </w:rPr>
            </w:pPr>
            <w:r>
              <w:rPr>
                <w:rFonts w:ascii="Arial" w:cs="Arial" w:eastAsia="Arial" w:hAnsi="Arial"/>
                <w:sz w:val="14"/>
                <w:szCs w:val="14"/>
                <w:b w:val="1"/>
                <w:bCs w:val="1"/>
                <w:color w:val="auto"/>
              </w:rPr>
              <w:t>5,642,838</w:t>
            </w:r>
          </w:p>
        </w:tc>
        <w:tc>
          <w:tcPr>
            <w:tcW w:w="840" w:type="dxa"/>
            <w:vAlign w:val="bottom"/>
            <w:tcBorders>
              <w:bottom w:val="single" w:sz="8" w:color="0072AF"/>
            </w:tcBorders>
          </w:tcPr>
          <w:p>
            <w:pPr>
              <w:jc w:val="right"/>
              <w:spacing w:after="0"/>
              <w:rPr>
                <w:sz w:val="20"/>
                <w:szCs w:val="20"/>
                <w:color w:val="auto"/>
              </w:rPr>
            </w:pPr>
            <w:r>
              <w:rPr>
                <w:rFonts w:ascii="Arial" w:cs="Arial" w:eastAsia="Arial" w:hAnsi="Arial"/>
                <w:sz w:val="14"/>
                <w:szCs w:val="14"/>
                <w:b w:val="1"/>
                <w:bCs w:val="1"/>
                <w:color w:val="auto"/>
              </w:rPr>
              <w:t>1,799,526</w:t>
            </w:r>
          </w:p>
        </w:tc>
        <w:tc>
          <w:tcPr>
            <w:tcW w:w="0" w:type="dxa"/>
            <w:vAlign w:val="bottom"/>
          </w:tcPr>
          <w:p>
            <w:pPr>
              <w:spacing w:after="0"/>
              <w:rPr>
                <w:sz w:val="1"/>
                <w:szCs w:val="1"/>
                <w:color w:val="auto"/>
              </w:rPr>
            </w:pPr>
          </w:p>
        </w:tc>
      </w:tr>
      <w:tr>
        <w:trPr>
          <w:trHeight w:val="248"/>
        </w:trPr>
        <w:tc>
          <w:tcPr>
            <w:tcW w:w="1480" w:type="dxa"/>
            <w:vAlign w:val="bottom"/>
            <w:tcBorders>
              <w:right w:val="single" w:sz="8" w:color="0072AF"/>
            </w:tcBorders>
          </w:tcPr>
          <w:p>
            <w:pPr>
              <w:spacing w:after="0"/>
              <w:rPr>
                <w:sz w:val="20"/>
                <w:szCs w:val="20"/>
                <w:color w:val="auto"/>
              </w:rPr>
            </w:pPr>
            <w:r>
              <w:rPr>
                <w:rFonts w:ascii="Arial" w:cs="Arial" w:eastAsia="Arial" w:hAnsi="Arial"/>
                <w:sz w:val="14"/>
                <w:szCs w:val="14"/>
                <w:b w:val="1"/>
                <w:bCs w:val="1"/>
                <w:color w:val="auto"/>
              </w:rPr>
              <w:t>Gregg Zegras</w:t>
            </w:r>
          </w:p>
        </w:tc>
        <w:tc>
          <w:tcPr>
            <w:tcW w:w="140" w:type="dxa"/>
            <w:vAlign w:val="bottom"/>
            <w:shd w:val="clear" w:color="auto" w:fill="CBCEE0"/>
          </w:tcPr>
          <w:p>
            <w:pPr>
              <w:spacing w:after="0"/>
              <w:rPr>
                <w:sz w:val="21"/>
                <w:szCs w:val="21"/>
                <w:color w:val="auto"/>
              </w:rPr>
            </w:pPr>
          </w:p>
        </w:tc>
        <w:tc>
          <w:tcPr>
            <w:tcW w:w="2080" w:type="dxa"/>
            <w:vAlign w:val="bottom"/>
            <w:shd w:val="clear" w:color="auto" w:fill="CBCEE0"/>
          </w:tcPr>
          <w:p>
            <w:pPr>
              <w:spacing w:after="0"/>
              <w:rPr>
                <w:sz w:val="20"/>
                <w:szCs w:val="20"/>
                <w:color w:val="auto"/>
              </w:rPr>
            </w:pPr>
            <w:r>
              <w:rPr>
                <w:rFonts w:ascii="Arial" w:cs="Arial" w:eastAsia="Arial" w:hAnsi="Arial"/>
                <w:sz w:val="14"/>
                <w:szCs w:val="14"/>
                <w:color w:val="auto"/>
              </w:rPr>
              <w:t>Severance</w:t>
            </w:r>
          </w:p>
        </w:tc>
        <w:tc>
          <w:tcPr>
            <w:tcW w:w="1060" w:type="dxa"/>
            <w:vAlign w:val="bottom"/>
            <w:shd w:val="clear" w:color="auto" w:fill="CBCEE0"/>
          </w:tcPr>
          <w:p>
            <w:pPr>
              <w:jc w:val="right"/>
              <w:ind w:right="29"/>
              <w:spacing w:after="0"/>
              <w:rPr>
                <w:sz w:val="20"/>
                <w:szCs w:val="20"/>
                <w:color w:val="auto"/>
              </w:rPr>
            </w:pPr>
            <w:r>
              <w:rPr>
                <w:rFonts w:ascii="Arial" w:cs="Arial" w:eastAsia="Arial" w:hAnsi="Arial"/>
                <w:sz w:val="14"/>
                <w:szCs w:val="14"/>
                <w:color w:val="auto"/>
              </w:rPr>
              <w:t>-</w:t>
            </w:r>
          </w:p>
        </w:tc>
        <w:tc>
          <w:tcPr>
            <w:tcW w:w="2100" w:type="dxa"/>
            <w:vAlign w:val="bottom"/>
            <w:gridSpan w:val="2"/>
            <w:shd w:val="clear" w:color="auto" w:fill="CBCEE0"/>
          </w:tcPr>
          <w:p>
            <w:pPr>
              <w:jc w:val="right"/>
              <w:ind w:right="88"/>
              <w:spacing w:after="0"/>
              <w:rPr>
                <w:sz w:val="20"/>
                <w:szCs w:val="20"/>
                <w:color w:val="auto"/>
              </w:rPr>
            </w:pPr>
            <w:r>
              <w:rPr>
                <w:rFonts w:ascii="Arial" w:cs="Arial" w:eastAsia="Arial" w:hAnsi="Arial"/>
                <w:sz w:val="14"/>
                <w:szCs w:val="14"/>
                <w:color w:val="auto"/>
              </w:rPr>
              <w:t>32,923 - 2,311,200</w:t>
            </w:r>
          </w:p>
        </w:tc>
        <w:tc>
          <w:tcPr>
            <w:tcW w:w="1480" w:type="dxa"/>
            <w:vAlign w:val="bottom"/>
            <w:shd w:val="clear" w:color="auto" w:fill="CBCEE0"/>
          </w:tcPr>
          <w:p>
            <w:pPr>
              <w:jc w:val="right"/>
              <w:ind w:right="369"/>
              <w:spacing w:after="0"/>
              <w:rPr>
                <w:sz w:val="20"/>
                <w:szCs w:val="20"/>
                <w:color w:val="auto"/>
              </w:rPr>
            </w:pPr>
            <w:r>
              <w:rPr>
                <w:rFonts w:ascii="Arial" w:cs="Arial" w:eastAsia="Arial" w:hAnsi="Arial"/>
                <w:sz w:val="14"/>
                <w:szCs w:val="14"/>
                <w:color w:val="auto"/>
              </w:rPr>
              <w:t>3,081,600</w:t>
            </w:r>
          </w:p>
        </w:tc>
        <w:tc>
          <w:tcPr>
            <w:tcW w:w="840" w:type="dxa"/>
            <w:vAlign w:val="bottom"/>
            <w:shd w:val="clear" w:color="auto" w:fill="CBCEE0"/>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480" w:type="dxa"/>
            <w:vAlign w:val="bottom"/>
            <w:tcBorders>
              <w:right w:val="single" w:sz="8" w:color="0072AF"/>
            </w:tcBorders>
          </w:tcPr>
          <w:p>
            <w:pPr>
              <w:spacing w:after="0"/>
              <w:rPr>
                <w:sz w:val="22"/>
                <w:szCs w:val="22"/>
                <w:color w:val="auto"/>
              </w:rPr>
            </w:pPr>
          </w:p>
        </w:tc>
        <w:tc>
          <w:tcPr>
            <w:tcW w:w="140" w:type="dxa"/>
            <w:vAlign w:val="bottom"/>
            <w:shd w:val="clear" w:color="auto" w:fill="CBCEE0"/>
          </w:tcPr>
          <w:p>
            <w:pPr>
              <w:spacing w:after="0"/>
              <w:rPr>
                <w:sz w:val="22"/>
                <w:szCs w:val="22"/>
                <w:color w:val="auto"/>
              </w:rPr>
            </w:pPr>
          </w:p>
        </w:tc>
        <w:tc>
          <w:tcPr>
            <w:tcW w:w="2080" w:type="dxa"/>
            <w:vAlign w:val="bottom"/>
            <w:shd w:val="clear" w:color="auto" w:fill="CBCEE0"/>
          </w:tcPr>
          <w:p>
            <w:pPr>
              <w:spacing w:after="0"/>
              <w:rPr>
                <w:sz w:val="20"/>
                <w:szCs w:val="20"/>
                <w:color w:val="auto"/>
              </w:rPr>
            </w:pPr>
            <w:r>
              <w:rPr>
                <w:rFonts w:ascii="Arial" w:cs="Arial" w:eastAsia="Arial" w:hAnsi="Arial"/>
                <w:sz w:val="14"/>
                <w:szCs w:val="14"/>
                <w:color w:val="auto"/>
              </w:rPr>
              <w:t>Annual Incentive</w:t>
            </w:r>
          </w:p>
        </w:tc>
        <w:tc>
          <w:tcPr>
            <w:tcW w:w="1060" w:type="dxa"/>
            <w:vAlign w:val="bottom"/>
            <w:shd w:val="clear" w:color="auto" w:fill="CBCEE0"/>
          </w:tcPr>
          <w:p>
            <w:pPr>
              <w:jc w:val="right"/>
              <w:spacing w:after="0"/>
              <w:rPr>
                <w:sz w:val="20"/>
                <w:szCs w:val="20"/>
                <w:color w:val="auto"/>
              </w:rPr>
            </w:pPr>
            <w:r>
              <w:rPr>
                <w:rFonts w:ascii="Arial" w:cs="Arial" w:eastAsia="Arial" w:hAnsi="Arial"/>
                <w:sz w:val="14"/>
                <w:szCs w:val="14"/>
                <w:color w:val="auto"/>
              </w:rPr>
              <w:t>295,834</w:t>
            </w:r>
          </w:p>
        </w:tc>
        <w:tc>
          <w:tcPr>
            <w:tcW w:w="1280" w:type="dxa"/>
            <w:vAlign w:val="bottom"/>
            <w:shd w:val="clear" w:color="auto" w:fill="CBCEE0"/>
          </w:tcPr>
          <w:p>
            <w:pPr>
              <w:jc w:val="right"/>
              <w:spacing w:after="0"/>
              <w:rPr>
                <w:sz w:val="20"/>
                <w:szCs w:val="20"/>
                <w:color w:val="auto"/>
              </w:rPr>
            </w:pPr>
            <w:r>
              <w:rPr>
                <w:rFonts w:ascii="Arial" w:cs="Arial" w:eastAsia="Arial" w:hAnsi="Arial"/>
                <w:sz w:val="14"/>
                <w:szCs w:val="14"/>
                <w:color w:val="auto"/>
              </w:rPr>
              <w:t>295,834</w:t>
            </w:r>
          </w:p>
        </w:tc>
        <w:tc>
          <w:tcPr>
            <w:tcW w:w="82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- 295,834</w:t>
            </w:r>
          </w:p>
        </w:tc>
        <w:tc>
          <w:tcPr>
            <w:tcW w:w="1480" w:type="dxa"/>
            <w:vAlign w:val="bottom"/>
            <w:shd w:val="clear" w:color="auto" w:fill="CBCEE0"/>
          </w:tcPr>
          <w:p>
            <w:pPr>
              <w:jc w:val="right"/>
              <w:ind w:right="389"/>
              <w:spacing w:after="0"/>
              <w:rPr>
                <w:sz w:val="20"/>
                <w:szCs w:val="20"/>
                <w:color w:val="auto"/>
              </w:rPr>
            </w:pPr>
            <w:r>
              <w:rPr>
                <w:rFonts w:ascii="Arial" w:cs="Arial" w:eastAsia="Arial" w:hAnsi="Arial"/>
                <w:sz w:val="14"/>
                <w:szCs w:val="14"/>
                <w:color w:val="auto"/>
              </w:rPr>
              <w:t>684,800</w:t>
            </w:r>
          </w:p>
        </w:tc>
        <w:tc>
          <w:tcPr>
            <w:tcW w:w="840" w:type="dxa"/>
            <w:vAlign w:val="bottom"/>
            <w:shd w:val="clear" w:color="auto" w:fill="CBCEE0"/>
          </w:tcPr>
          <w:p>
            <w:pPr>
              <w:jc w:val="right"/>
              <w:spacing w:after="0"/>
              <w:rPr>
                <w:sz w:val="20"/>
                <w:szCs w:val="20"/>
                <w:color w:val="auto"/>
              </w:rPr>
            </w:pPr>
            <w:r>
              <w:rPr>
                <w:rFonts w:ascii="Arial" w:cs="Arial" w:eastAsia="Arial" w:hAnsi="Arial"/>
                <w:sz w:val="14"/>
                <w:szCs w:val="14"/>
                <w:color w:val="auto"/>
              </w:rPr>
              <w:t>295,834</w:t>
            </w:r>
          </w:p>
        </w:tc>
        <w:tc>
          <w:tcPr>
            <w:tcW w:w="0" w:type="dxa"/>
            <w:vAlign w:val="bottom"/>
          </w:tcPr>
          <w:p>
            <w:pPr>
              <w:spacing w:after="0"/>
              <w:rPr>
                <w:sz w:val="1"/>
                <w:szCs w:val="1"/>
                <w:color w:val="auto"/>
              </w:rPr>
            </w:pPr>
          </w:p>
        </w:tc>
      </w:tr>
      <w:tr>
        <w:trPr>
          <w:trHeight w:val="332"/>
        </w:trPr>
        <w:tc>
          <w:tcPr>
            <w:tcW w:w="1480" w:type="dxa"/>
            <w:vAlign w:val="bottom"/>
            <w:tcBorders>
              <w:right w:val="single" w:sz="8" w:color="0072AF"/>
            </w:tcBorders>
          </w:tcPr>
          <w:p>
            <w:pPr>
              <w:spacing w:after="0"/>
              <w:rPr>
                <w:sz w:val="24"/>
                <w:szCs w:val="24"/>
                <w:color w:val="auto"/>
              </w:rPr>
            </w:pPr>
          </w:p>
        </w:tc>
        <w:tc>
          <w:tcPr>
            <w:tcW w:w="140" w:type="dxa"/>
            <w:vAlign w:val="bottom"/>
            <w:shd w:val="clear" w:color="auto" w:fill="CBCEE0"/>
          </w:tcPr>
          <w:p>
            <w:pPr>
              <w:spacing w:after="0"/>
              <w:rPr>
                <w:sz w:val="24"/>
                <w:szCs w:val="24"/>
                <w:color w:val="auto"/>
              </w:rPr>
            </w:pPr>
          </w:p>
        </w:tc>
        <w:tc>
          <w:tcPr>
            <w:tcW w:w="2080" w:type="dxa"/>
            <w:vAlign w:val="bottom"/>
            <w:shd w:val="clear" w:color="auto" w:fill="CBCEE0"/>
          </w:tcPr>
          <w:p>
            <w:pPr>
              <w:spacing w:after="0"/>
              <w:rPr>
                <w:sz w:val="20"/>
                <w:szCs w:val="20"/>
                <w:color w:val="auto"/>
              </w:rPr>
            </w:pPr>
            <w:r>
              <w:rPr>
                <w:rFonts w:ascii="Arial" w:cs="Arial" w:eastAsia="Arial" w:hAnsi="Arial"/>
                <w:sz w:val="14"/>
                <w:szCs w:val="14"/>
                <w:color w:val="auto"/>
              </w:rPr>
              <w:t>Stock Options Accelerated</w:t>
            </w:r>
            <w:r>
              <w:rPr>
                <w:rFonts w:ascii="Arial" w:cs="Arial" w:eastAsia="Arial" w:hAnsi="Arial"/>
                <w:sz w:val="23"/>
                <w:szCs w:val="23"/>
                <w:color w:val="auto"/>
                <w:vertAlign w:val="superscript"/>
              </w:rPr>
              <w:t>(3)</w:t>
            </w:r>
          </w:p>
        </w:tc>
        <w:tc>
          <w:tcPr>
            <w:tcW w:w="1060" w:type="dxa"/>
            <w:vAlign w:val="bottom"/>
            <w:shd w:val="clear" w:color="auto" w:fill="CBCEE0"/>
          </w:tcPr>
          <w:p>
            <w:pPr>
              <w:jc w:val="right"/>
              <w:ind w:right="29"/>
              <w:spacing w:after="0"/>
              <w:rPr>
                <w:sz w:val="20"/>
                <w:szCs w:val="20"/>
                <w:color w:val="auto"/>
              </w:rPr>
            </w:pPr>
            <w:r>
              <w:rPr>
                <w:rFonts w:ascii="Arial" w:cs="Arial" w:eastAsia="Arial" w:hAnsi="Arial"/>
                <w:sz w:val="14"/>
                <w:szCs w:val="14"/>
                <w:color w:val="auto"/>
              </w:rPr>
              <w:t>0</w:t>
            </w:r>
          </w:p>
        </w:tc>
        <w:tc>
          <w:tcPr>
            <w:tcW w:w="1280" w:type="dxa"/>
            <w:vAlign w:val="bottom"/>
            <w:shd w:val="clear" w:color="auto" w:fill="CBCEE0"/>
          </w:tcPr>
          <w:p>
            <w:pPr>
              <w:spacing w:after="0"/>
              <w:rPr>
                <w:sz w:val="24"/>
                <w:szCs w:val="24"/>
                <w:color w:val="auto"/>
              </w:rPr>
            </w:pPr>
          </w:p>
        </w:tc>
        <w:tc>
          <w:tcPr>
            <w:tcW w:w="82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0 - 0</w:t>
            </w:r>
          </w:p>
        </w:tc>
        <w:tc>
          <w:tcPr>
            <w:tcW w:w="1480" w:type="dxa"/>
            <w:vAlign w:val="bottom"/>
            <w:shd w:val="clear" w:color="auto" w:fill="CBCEE0"/>
          </w:tcPr>
          <w:p>
            <w:pPr>
              <w:jc w:val="right"/>
              <w:ind w:right="409"/>
              <w:spacing w:after="0"/>
              <w:rPr>
                <w:sz w:val="20"/>
                <w:szCs w:val="20"/>
                <w:color w:val="auto"/>
              </w:rPr>
            </w:pPr>
            <w:r>
              <w:rPr>
                <w:rFonts w:ascii="Arial" w:cs="Arial" w:eastAsia="Arial" w:hAnsi="Arial"/>
                <w:sz w:val="14"/>
                <w:szCs w:val="14"/>
                <w:color w:val="auto"/>
              </w:rPr>
              <w:t>0</w:t>
            </w:r>
          </w:p>
        </w:tc>
        <w:tc>
          <w:tcPr>
            <w:tcW w:w="840" w:type="dxa"/>
            <w:vAlign w:val="bottom"/>
            <w:shd w:val="clear" w:color="auto" w:fill="CBCEE0"/>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04"/>
        </w:trPr>
        <w:tc>
          <w:tcPr>
            <w:tcW w:w="1480" w:type="dxa"/>
            <w:vAlign w:val="bottom"/>
            <w:tcBorders>
              <w:right w:val="single" w:sz="8" w:color="0072AF"/>
            </w:tcBorders>
          </w:tcPr>
          <w:p>
            <w:pPr>
              <w:spacing w:after="0"/>
              <w:rPr>
                <w:sz w:val="17"/>
                <w:szCs w:val="17"/>
                <w:color w:val="auto"/>
              </w:rPr>
            </w:pPr>
          </w:p>
        </w:tc>
        <w:tc>
          <w:tcPr>
            <w:tcW w:w="140" w:type="dxa"/>
            <w:vAlign w:val="bottom"/>
            <w:shd w:val="clear" w:color="auto" w:fill="CBCEE0"/>
          </w:tcPr>
          <w:p>
            <w:pPr>
              <w:spacing w:after="0"/>
              <w:rPr>
                <w:sz w:val="17"/>
                <w:szCs w:val="17"/>
                <w:color w:val="auto"/>
              </w:rPr>
            </w:pPr>
          </w:p>
        </w:tc>
        <w:tc>
          <w:tcPr>
            <w:tcW w:w="2080" w:type="dxa"/>
            <w:vAlign w:val="bottom"/>
            <w:shd w:val="clear" w:color="auto" w:fill="CBCEE0"/>
          </w:tcPr>
          <w:p>
            <w:pPr>
              <w:spacing w:after="0"/>
              <w:rPr>
                <w:sz w:val="20"/>
                <w:szCs w:val="20"/>
                <w:color w:val="auto"/>
              </w:rPr>
            </w:pPr>
            <w:r>
              <w:rPr>
                <w:rFonts w:ascii="Arial" w:cs="Arial" w:eastAsia="Arial" w:hAnsi="Arial"/>
                <w:sz w:val="14"/>
                <w:szCs w:val="14"/>
                <w:color w:val="auto"/>
              </w:rPr>
              <w:t>Restricted Stock Units</w:t>
            </w:r>
          </w:p>
        </w:tc>
        <w:tc>
          <w:tcPr>
            <w:tcW w:w="1060" w:type="dxa"/>
            <w:vAlign w:val="bottom"/>
            <w:shd w:val="clear" w:color="auto" w:fill="CBCEE0"/>
          </w:tcPr>
          <w:p>
            <w:pPr>
              <w:spacing w:after="0"/>
              <w:rPr>
                <w:sz w:val="17"/>
                <w:szCs w:val="17"/>
                <w:color w:val="auto"/>
              </w:rPr>
            </w:pPr>
          </w:p>
        </w:tc>
        <w:tc>
          <w:tcPr>
            <w:tcW w:w="1280" w:type="dxa"/>
            <w:vAlign w:val="bottom"/>
            <w:shd w:val="clear" w:color="auto" w:fill="CBCEE0"/>
          </w:tcPr>
          <w:p>
            <w:pPr>
              <w:spacing w:after="0"/>
              <w:rPr>
                <w:sz w:val="17"/>
                <w:szCs w:val="17"/>
                <w:color w:val="auto"/>
              </w:rPr>
            </w:pPr>
          </w:p>
        </w:tc>
        <w:tc>
          <w:tcPr>
            <w:tcW w:w="820" w:type="dxa"/>
            <w:vAlign w:val="bottom"/>
            <w:shd w:val="clear" w:color="auto" w:fill="CBCEE0"/>
          </w:tcPr>
          <w:p>
            <w:pPr>
              <w:spacing w:after="0"/>
              <w:rPr>
                <w:sz w:val="17"/>
                <w:szCs w:val="17"/>
                <w:color w:val="auto"/>
              </w:rPr>
            </w:pPr>
          </w:p>
        </w:tc>
        <w:tc>
          <w:tcPr>
            <w:tcW w:w="1480" w:type="dxa"/>
            <w:vAlign w:val="bottom"/>
            <w:shd w:val="clear" w:color="auto" w:fill="CBCEE0"/>
          </w:tcPr>
          <w:p>
            <w:pPr>
              <w:spacing w:after="0"/>
              <w:rPr>
                <w:sz w:val="17"/>
                <w:szCs w:val="17"/>
                <w:color w:val="auto"/>
              </w:rPr>
            </w:pPr>
          </w:p>
        </w:tc>
        <w:tc>
          <w:tcPr>
            <w:tcW w:w="840" w:type="dxa"/>
            <w:vAlign w:val="bottom"/>
            <w:shd w:val="clear" w:color="auto" w:fill="CBCEE0"/>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480" w:type="dxa"/>
            <w:vAlign w:val="bottom"/>
            <w:tcBorders>
              <w:right w:val="single" w:sz="8" w:color="0072AF"/>
            </w:tcBorders>
          </w:tcPr>
          <w:p>
            <w:pPr>
              <w:spacing w:after="0"/>
              <w:rPr>
                <w:sz w:val="22"/>
                <w:szCs w:val="22"/>
                <w:color w:val="auto"/>
              </w:rPr>
            </w:pPr>
          </w:p>
        </w:tc>
        <w:tc>
          <w:tcPr>
            <w:tcW w:w="140" w:type="dxa"/>
            <w:vAlign w:val="bottom"/>
            <w:shd w:val="clear" w:color="auto" w:fill="CBCEE0"/>
          </w:tcPr>
          <w:p>
            <w:pPr>
              <w:spacing w:after="0"/>
              <w:rPr>
                <w:sz w:val="22"/>
                <w:szCs w:val="22"/>
                <w:color w:val="auto"/>
              </w:rPr>
            </w:pPr>
          </w:p>
        </w:tc>
        <w:tc>
          <w:tcPr>
            <w:tcW w:w="2080" w:type="dxa"/>
            <w:vAlign w:val="bottom"/>
            <w:shd w:val="clear" w:color="auto" w:fill="CBCEE0"/>
          </w:tcPr>
          <w:p>
            <w:pPr>
              <w:spacing w:after="0" w:line="255" w:lineRule="exact"/>
              <w:rPr>
                <w:sz w:val="20"/>
                <w:szCs w:val="20"/>
                <w:color w:val="auto"/>
              </w:rPr>
            </w:pPr>
            <w:r>
              <w:rPr>
                <w:rFonts w:ascii="Arial" w:cs="Arial" w:eastAsia="Arial" w:hAnsi="Arial"/>
                <w:sz w:val="14"/>
                <w:szCs w:val="14"/>
                <w:color w:val="auto"/>
              </w:rPr>
              <w:t>Accelerated</w:t>
            </w:r>
            <w:r>
              <w:rPr>
                <w:rFonts w:ascii="Arial" w:cs="Arial" w:eastAsia="Arial" w:hAnsi="Arial"/>
                <w:sz w:val="23"/>
                <w:szCs w:val="23"/>
                <w:color w:val="auto"/>
                <w:vertAlign w:val="superscript"/>
              </w:rPr>
              <w:t>(4)</w:t>
            </w:r>
          </w:p>
        </w:tc>
        <w:tc>
          <w:tcPr>
            <w:tcW w:w="1060" w:type="dxa"/>
            <w:vAlign w:val="bottom"/>
            <w:shd w:val="clear" w:color="auto" w:fill="CBCEE0"/>
          </w:tcPr>
          <w:p>
            <w:pPr>
              <w:jc w:val="right"/>
              <w:ind w:right="9"/>
              <w:spacing w:after="0"/>
              <w:rPr>
                <w:sz w:val="20"/>
                <w:szCs w:val="20"/>
                <w:color w:val="auto"/>
              </w:rPr>
            </w:pPr>
            <w:r>
              <w:rPr>
                <w:rFonts w:ascii="Arial" w:cs="Arial" w:eastAsia="Arial" w:hAnsi="Arial"/>
                <w:sz w:val="14"/>
                <w:szCs w:val="14"/>
                <w:color w:val="auto"/>
              </w:rPr>
              <w:t>41,338</w:t>
            </w:r>
          </w:p>
        </w:tc>
        <w:tc>
          <w:tcPr>
            <w:tcW w:w="2100" w:type="dxa"/>
            <w:vAlign w:val="bottom"/>
            <w:gridSpan w:val="2"/>
            <w:shd w:val="clear" w:color="auto" w:fill="CBCEE0"/>
          </w:tcPr>
          <w:p>
            <w:pPr>
              <w:jc w:val="right"/>
              <w:ind w:right="88"/>
              <w:spacing w:after="0"/>
              <w:rPr>
                <w:sz w:val="20"/>
                <w:szCs w:val="20"/>
                <w:color w:val="auto"/>
              </w:rPr>
            </w:pPr>
            <w:r>
              <w:rPr>
                <w:rFonts w:ascii="Arial" w:cs="Arial" w:eastAsia="Arial" w:hAnsi="Arial"/>
                <w:sz w:val="14"/>
                <w:szCs w:val="14"/>
                <w:color w:val="auto"/>
              </w:rPr>
              <w:t>41,338 - 41,338</w:t>
            </w:r>
          </w:p>
        </w:tc>
        <w:tc>
          <w:tcPr>
            <w:tcW w:w="1480" w:type="dxa"/>
            <w:vAlign w:val="bottom"/>
            <w:shd w:val="clear" w:color="auto" w:fill="CBCEE0"/>
          </w:tcPr>
          <w:p>
            <w:pPr>
              <w:jc w:val="right"/>
              <w:ind w:right="389"/>
              <w:spacing w:after="0"/>
              <w:rPr>
                <w:sz w:val="20"/>
                <w:szCs w:val="20"/>
                <w:color w:val="auto"/>
              </w:rPr>
            </w:pPr>
            <w:r>
              <w:rPr>
                <w:rFonts w:ascii="Arial" w:cs="Arial" w:eastAsia="Arial" w:hAnsi="Arial"/>
                <w:sz w:val="14"/>
                <w:szCs w:val="14"/>
                <w:color w:val="auto"/>
              </w:rPr>
              <w:t>543,620</w:t>
            </w:r>
          </w:p>
        </w:tc>
        <w:tc>
          <w:tcPr>
            <w:tcW w:w="840" w:type="dxa"/>
            <w:vAlign w:val="bottom"/>
            <w:shd w:val="clear" w:color="auto" w:fill="CBCEE0"/>
          </w:tcPr>
          <w:p>
            <w:pPr>
              <w:jc w:val="right"/>
              <w:spacing w:after="0"/>
              <w:rPr>
                <w:sz w:val="20"/>
                <w:szCs w:val="20"/>
                <w:color w:val="auto"/>
              </w:rPr>
            </w:pPr>
            <w:r>
              <w:rPr>
                <w:rFonts w:ascii="Arial" w:cs="Arial" w:eastAsia="Arial" w:hAnsi="Arial"/>
                <w:sz w:val="14"/>
                <w:szCs w:val="14"/>
                <w:color w:val="auto"/>
              </w:rPr>
              <w:t>543,620</w:t>
            </w:r>
          </w:p>
        </w:tc>
        <w:tc>
          <w:tcPr>
            <w:tcW w:w="0" w:type="dxa"/>
            <w:vAlign w:val="bottom"/>
          </w:tcPr>
          <w:p>
            <w:pPr>
              <w:spacing w:after="0"/>
              <w:rPr>
                <w:sz w:val="1"/>
                <w:szCs w:val="1"/>
                <w:color w:val="auto"/>
              </w:rPr>
            </w:pPr>
          </w:p>
        </w:tc>
      </w:tr>
      <w:tr>
        <w:trPr>
          <w:trHeight w:val="297"/>
        </w:trPr>
        <w:tc>
          <w:tcPr>
            <w:tcW w:w="1480" w:type="dxa"/>
            <w:vAlign w:val="bottom"/>
            <w:tcBorders>
              <w:right w:val="single" w:sz="8" w:color="0072AF"/>
            </w:tcBorders>
          </w:tcPr>
          <w:p>
            <w:pPr>
              <w:spacing w:after="0"/>
              <w:rPr>
                <w:sz w:val="24"/>
                <w:szCs w:val="24"/>
                <w:color w:val="auto"/>
              </w:rPr>
            </w:pPr>
          </w:p>
        </w:tc>
        <w:tc>
          <w:tcPr>
            <w:tcW w:w="140" w:type="dxa"/>
            <w:vAlign w:val="bottom"/>
            <w:shd w:val="clear" w:color="auto" w:fill="CBCEE0"/>
          </w:tcPr>
          <w:p>
            <w:pPr>
              <w:spacing w:after="0"/>
              <w:rPr>
                <w:sz w:val="24"/>
                <w:szCs w:val="24"/>
                <w:color w:val="auto"/>
              </w:rPr>
            </w:pPr>
          </w:p>
        </w:tc>
        <w:tc>
          <w:tcPr>
            <w:tcW w:w="2080" w:type="dxa"/>
            <w:vAlign w:val="bottom"/>
            <w:shd w:val="clear" w:color="auto" w:fill="CBCEE0"/>
          </w:tcPr>
          <w:p>
            <w:pPr>
              <w:spacing w:after="0"/>
              <w:rPr>
                <w:sz w:val="20"/>
                <w:szCs w:val="20"/>
                <w:color w:val="auto"/>
              </w:rPr>
            </w:pPr>
            <w:r>
              <w:rPr>
                <w:rFonts w:ascii="Arial" w:cs="Arial" w:eastAsia="Arial" w:hAnsi="Arial"/>
                <w:sz w:val="14"/>
                <w:szCs w:val="14"/>
                <w:color w:val="auto"/>
              </w:rPr>
              <w:t>Cash Incentive Units</w:t>
            </w:r>
            <w:r>
              <w:rPr>
                <w:rFonts w:ascii="Arial" w:cs="Arial" w:eastAsia="Arial" w:hAnsi="Arial"/>
                <w:sz w:val="23"/>
                <w:szCs w:val="23"/>
                <w:color w:val="auto"/>
                <w:vertAlign w:val="superscript"/>
              </w:rPr>
              <w:t>(5)</w:t>
            </w:r>
          </w:p>
        </w:tc>
        <w:tc>
          <w:tcPr>
            <w:tcW w:w="1060" w:type="dxa"/>
            <w:vAlign w:val="bottom"/>
            <w:shd w:val="clear" w:color="auto" w:fill="CBCEE0"/>
          </w:tcPr>
          <w:p>
            <w:pPr>
              <w:spacing w:after="0"/>
              <w:rPr>
                <w:sz w:val="24"/>
                <w:szCs w:val="24"/>
                <w:color w:val="auto"/>
              </w:rPr>
            </w:pPr>
          </w:p>
        </w:tc>
        <w:tc>
          <w:tcPr>
            <w:tcW w:w="1280" w:type="dxa"/>
            <w:vAlign w:val="bottom"/>
            <w:shd w:val="clear" w:color="auto" w:fill="CBCEE0"/>
          </w:tcPr>
          <w:p>
            <w:pPr>
              <w:spacing w:after="0"/>
              <w:rPr>
                <w:sz w:val="24"/>
                <w:szCs w:val="24"/>
                <w:color w:val="auto"/>
              </w:rPr>
            </w:pPr>
          </w:p>
        </w:tc>
        <w:tc>
          <w:tcPr>
            <w:tcW w:w="820" w:type="dxa"/>
            <w:vAlign w:val="bottom"/>
            <w:shd w:val="clear" w:color="auto" w:fill="CBCEE0"/>
          </w:tcPr>
          <w:p>
            <w:pPr>
              <w:spacing w:after="0"/>
              <w:rPr>
                <w:sz w:val="24"/>
                <w:szCs w:val="24"/>
                <w:color w:val="auto"/>
              </w:rPr>
            </w:pPr>
          </w:p>
        </w:tc>
        <w:tc>
          <w:tcPr>
            <w:tcW w:w="1480" w:type="dxa"/>
            <w:vAlign w:val="bottom"/>
            <w:shd w:val="clear" w:color="auto" w:fill="CBCEE0"/>
          </w:tcPr>
          <w:p>
            <w:pPr>
              <w:spacing w:after="0"/>
              <w:rPr>
                <w:sz w:val="24"/>
                <w:szCs w:val="24"/>
                <w:color w:val="auto"/>
              </w:rPr>
            </w:pPr>
          </w:p>
        </w:tc>
        <w:tc>
          <w:tcPr>
            <w:tcW w:w="840" w:type="dxa"/>
            <w:vAlign w:val="bottom"/>
            <w:shd w:val="clear" w:color="auto" w:fill="CBCEE0"/>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480" w:type="dxa"/>
            <w:vAlign w:val="bottom"/>
            <w:tcBorders>
              <w:right w:val="single" w:sz="8" w:color="0072AF"/>
            </w:tcBorders>
          </w:tcPr>
          <w:p>
            <w:pPr>
              <w:spacing w:after="0"/>
              <w:rPr>
                <w:sz w:val="20"/>
                <w:szCs w:val="20"/>
                <w:color w:val="auto"/>
              </w:rPr>
            </w:pPr>
          </w:p>
        </w:tc>
        <w:tc>
          <w:tcPr>
            <w:tcW w:w="140" w:type="dxa"/>
            <w:vAlign w:val="bottom"/>
            <w:shd w:val="clear" w:color="auto" w:fill="CBCEE0"/>
          </w:tcPr>
          <w:p>
            <w:pPr>
              <w:spacing w:after="0"/>
              <w:rPr>
                <w:sz w:val="20"/>
                <w:szCs w:val="20"/>
                <w:color w:val="auto"/>
              </w:rPr>
            </w:pPr>
          </w:p>
        </w:tc>
        <w:tc>
          <w:tcPr>
            <w:tcW w:w="2080" w:type="dxa"/>
            <w:vAlign w:val="bottom"/>
            <w:shd w:val="clear" w:color="auto" w:fill="CBCEE0"/>
          </w:tcPr>
          <w:p>
            <w:pPr>
              <w:ind w:left="180"/>
              <w:spacing w:after="0"/>
              <w:rPr>
                <w:sz w:val="20"/>
                <w:szCs w:val="20"/>
                <w:color w:val="auto"/>
              </w:rPr>
            </w:pPr>
            <w:r>
              <w:rPr>
                <w:rFonts w:ascii="Arial" w:cs="Arial" w:eastAsia="Arial" w:hAnsi="Arial"/>
                <w:sz w:val="14"/>
                <w:szCs w:val="14"/>
                <w:color w:val="auto"/>
              </w:rPr>
              <w:t>2021-2023 cycle</w:t>
            </w:r>
          </w:p>
        </w:tc>
        <w:tc>
          <w:tcPr>
            <w:tcW w:w="1060" w:type="dxa"/>
            <w:vAlign w:val="bottom"/>
            <w:shd w:val="clear" w:color="auto" w:fill="CBCEE0"/>
          </w:tcPr>
          <w:p>
            <w:pPr>
              <w:jc w:val="right"/>
              <w:spacing w:after="0"/>
              <w:rPr>
                <w:sz w:val="20"/>
                <w:szCs w:val="20"/>
                <w:color w:val="auto"/>
              </w:rPr>
            </w:pPr>
            <w:r>
              <w:rPr>
                <w:rFonts w:ascii="Arial" w:cs="Arial" w:eastAsia="Arial" w:hAnsi="Arial"/>
                <w:sz w:val="14"/>
                <w:szCs w:val="14"/>
                <w:color w:val="auto"/>
              </w:rPr>
              <w:t>465,000</w:t>
            </w:r>
          </w:p>
        </w:tc>
        <w:tc>
          <w:tcPr>
            <w:tcW w:w="1280" w:type="dxa"/>
            <w:vAlign w:val="bottom"/>
            <w:shd w:val="clear" w:color="auto" w:fill="CBCEE0"/>
          </w:tcPr>
          <w:p>
            <w:pPr>
              <w:jc w:val="right"/>
              <w:spacing w:after="0"/>
              <w:rPr>
                <w:sz w:val="20"/>
                <w:szCs w:val="20"/>
                <w:color w:val="auto"/>
              </w:rPr>
            </w:pPr>
            <w:r>
              <w:rPr>
                <w:rFonts w:ascii="Arial" w:cs="Arial" w:eastAsia="Arial" w:hAnsi="Arial"/>
                <w:sz w:val="14"/>
                <w:szCs w:val="14"/>
                <w:color w:val="auto"/>
              </w:rPr>
              <w:t>465,000</w:t>
            </w:r>
          </w:p>
        </w:tc>
        <w:tc>
          <w:tcPr>
            <w:tcW w:w="82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- 465,000</w:t>
            </w:r>
          </w:p>
        </w:tc>
        <w:tc>
          <w:tcPr>
            <w:tcW w:w="1480" w:type="dxa"/>
            <w:vAlign w:val="bottom"/>
            <w:shd w:val="clear" w:color="auto" w:fill="CBCEE0"/>
          </w:tcPr>
          <w:p>
            <w:pPr>
              <w:jc w:val="right"/>
              <w:ind w:right="389"/>
              <w:spacing w:after="0"/>
              <w:rPr>
                <w:sz w:val="20"/>
                <w:szCs w:val="20"/>
                <w:color w:val="auto"/>
              </w:rPr>
            </w:pPr>
            <w:r>
              <w:rPr>
                <w:rFonts w:ascii="Arial" w:cs="Arial" w:eastAsia="Arial" w:hAnsi="Arial"/>
                <w:sz w:val="14"/>
                <w:szCs w:val="14"/>
                <w:color w:val="auto"/>
              </w:rPr>
              <w:t>750,000</w:t>
            </w:r>
          </w:p>
        </w:tc>
        <w:tc>
          <w:tcPr>
            <w:tcW w:w="840" w:type="dxa"/>
            <w:vAlign w:val="bottom"/>
            <w:shd w:val="clear" w:color="auto" w:fill="CBCEE0"/>
          </w:tcPr>
          <w:p>
            <w:pPr>
              <w:jc w:val="right"/>
              <w:spacing w:after="0"/>
              <w:rPr>
                <w:sz w:val="20"/>
                <w:szCs w:val="20"/>
                <w:color w:val="auto"/>
              </w:rPr>
            </w:pPr>
            <w:r>
              <w:rPr>
                <w:rFonts w:ascii="Arial" w:cs="Arial" w:eastAsia="Arial" w:hAnsi="Arial"/>
                <w:sz w:val="14"/>
                <w:szCs w:val="14"/>
                <w:color w:val="auto"/>
              </w:rPr>
              <w:t>465,000</w:t>
            </w:r>
          </w:p>
        </w:tc>
        <w:tc>
          <w:tcPr>
            <w:tcW w:w="0" w:type="dxa"/>
            <w:vAlign w:val="bottom"/>
          </w:tcPr>
          <w:p>
            <w:pPr>
              <w:spacing w:after="0"/>
              <w:rPr>
                <w:sz w:val="1"/>
                <w:szCs w:val="1"/>
                <w:color w:val="auto"/>
              </w:rPr>
            </w:pPr>
          </w:p>
        </w:tc>
      </w:tr>
      <w:tr>
        <w:trPr>
          <w:trHeight w:val="270"/>
        </w:trPr>
        <w:tc>
          <w:tcPr>
            <w:tcW w:w="1480" w:type="dxa"/>
            <w:vAlign w:val="bottom"/>
            <w:tcBorders>
              <w:right w:val="single" w:sz="8" w:color="0072AF"/>
            </w:tcBorders>
          </w:tcPr>
          <w:p>
            <w:pPr>
              <w:spacing w:after="0"/>
              <w:rPr>
                <w:sz w:val="23"/>
                <w:szCs w:val="23"/>
                <w:color w:val="auto"/>
              </w:rPr>
            </w:pPr>
          </w:p>
        </w:tc>
        <w:tc>
          <w:tcPr>
            <w:tcW w:w="140" w:type="dxa"/>
            <w:vAlign w:val="bottom"/>
            <w:shd w:val="clear" w:color="auto" w:fill="CBCEE0"/>
          </w:tcPr>
          <w:p>
            <w:pPr>
              <w:spacing w:after="0"/>
              <w:rPr>
                <w:sz w:val="23"/>
                <w:szCs w:val="23"/>
                <w:color w:val="auto"/>
              </w:rPr>
            </w:pPr>
          </w:p>
        </w:tc>
        <w:tc>
          <w:tcPr>
            <w:tcW w:w="2080" w:type="dxa"/>
            <w:vAlign w:val="bottom"/>
            <w:shd w:val="clear" w:color="auto" w:fill="CBCEE0"/>
          </w:tcPr>
          <w:p>
            <w:pPr>
              <w:ind w:left="180"/>
              <w:spacing w:after="0"/>
              <w:rPr>
                <w:sz w:val="20"/>
                <w:szCs w:val="20"/>
                <w:color w:val="auto"/>
              </w:rPr>
            </w:pPr>
            <w:r>
              <w:rPr>
                <w:rFonts w:ascii="Arial" w:cs="Arial" w:eastAsia="Arial" w:hAnsi="Arial"/>
                <w:sz w:val="14"/>
                <w:szCs w:val="14"/>
                <w:color w:val="auto"/>
              </w:rPr>
              <w:t>2022-2024 cycle</w:t>
            </w:r>
          </w:p>
        </w:tc>
        <w:tc>
          <w:tcPr>
            <w:tcW w:w="1060" w:type="dxa"/>
            <w:vAlign w:val="bottom"/>
            <w:shd w:val="clear" w:color="auto" w:fill="CBCEE0"/>
          </w:tcPr>
          <w:p>
            <w:pPr>
              <w:jc w:val="right"/>
              <w:spacing w:after="0"/>
              <w:rPr>
                <w:sz w:val="20"/>
                <w:szCs w:val="20"/>
                <w:color w:val="auto"/>
              </w:rPr>
            </w:pPr>
            <w:r>
              <w:rPr>
                <w:rFonts w:ascii="Arial" w:cs="Arial" w:eastAsia="Arial" w:hAnsi="Arial"/>
                <w:sz w:val="14"/>
                <w:szCs w:val="14"/>
                <w:color w:val="auto"/>
              </w:rPr>
              <w:t>265,000</w:t>
            </w:r>
          </w:p>
        </w:tc>
        <w:tc>
          <w:tcPr>
            <w:tcW w:w="1280" w:type="dxa"/>
            <w:vAlign w:val="bottom"/>
            <w:shd w:val="clear" w:color="auto" w:fill="CBCEE0"/>
          </w:tcPr>
          <w:p>
            <w:pPr>
              <w:jc w:val="right"/>
              <w:spacing w:after="0"/>
              <w:rPr>
                <w:sz w:val="20"/>
                <w:szCs w:val="20"/>
                <w:color w:val="auto"/>
              </w:rPr>
            </w:pPr>
            <w:r>
              <w:rPr>
                <w:rFonts w:ascii="Arial" w:cs="Arial" w:eastAsia="Arial" w:hAnsi="Arial"/>
                <w:sz w:val="14"/>
                <w:szCs w:val="14"/>
                <w:color w:val="auto"/>
              </w:rPr>
              <w:t>265,000</w:t>
            </w:r>
          </w:p>
        </w:tc>
        <w:tc>
          <w:tcPr>
            <w:tcW w:w="820" w:type="dxa"/>
            <w:vAlign w:val="bottom"/>
            <w:shd w:val="clear" w:color="auto" w:fill="CBCEE0"/>
          </w:tcPr>
          <w:p>
            <w:pPr>
              <w:jc w:val="right"/>
              <w:ind w:right="88"/>
              <w:spacing w:after="0"/>
              <w:rPr>
                <w:sz w:val="20"/>
                <w:szCs w:val="20"/>
                <w:color w:val="auto"/>
              </w:rPr>
            </w:pPr>
            <w:r>
              <w:rPr>
                <w:rFonts w:ascii="Arial" w:cs="Arial" w:eastAsia="Arial" w:hAnsi="Arial"/>
                <w:sz w:val="14"/>
                <w:szCs w:val="14"/>
                <w:color w:val="auto"/>
              </w:rPr>
              <w:t>- 265,000</w:t>
            </w:r>
          </w:p>
        </w:tc>
        <w:tc>
          <w:tcPr>
            <w:tcW w:w="1480" w:type="dxa"/>
            <w:vAlign w:val="bottom"/>
            <w:shd w:val="clear" w:color="auto" w:fill="CBCEE0"/>
          </w:tcPr>
          <w:p>
            <w:pPr>
              <w:jc w:val="right"/>
              <w:ind w:right="389"/>
              <w:spacing w:after="0"/>
              <w:rPr>
                <w:sz w:val="20"/>
                <w:szCs w:val="20"/>
                <w:color w:val="auto"/>
              </w:rPr>
            </w:pPr>
            <w:r>
              <w:rPr>
                <w:rFonts w:ascii="Arial" w:cs="Arial" w:eastAsia="Arial" w:hAnsi="Arial"/>
                <w:sz w:val="14"/>
                <w:szCs w:val="14"/>
                <w:color w:val="auto"/>
              </w:rPr>
              <w:t>750,000</w:t>
            </w:r>
          </w:p>
        </w:tc>
        <w:tc>
          <w:tcPr>
            <w:tcW w:w="840" w:type="dxa"/>
            <w:vAlign w:val="bottom"/>
            <w:shd w:val="clear" w:color="auto" w:fill="CBCEE0"/>
          </w:tcPr>
          <w:p>
            <w:pPr>
              <w:jc w:val="right"/>
              <w:spacing w:after="0"/>
              <w:rPr>
                <w:sz w:val="20"/>
                <w:szCs w:val="20"/>
                <w:color w:val="auto"/>
              </w:rPr>
            </w:pPr>
            <w:r>
              <w:rPr>
                <w:rFonts w:ascii="Arial" w:cs="Arial" w:eastAsia="Arial" w:hAnsi="Arial"/>
                <w:sz w:val="14"/>
                <w:szCs w:val="14"/>
                <w:color w:val="auto"/>
              </w:rPr>
              <w:t>265,000</w:t>
            </w:r>
          </w:p>
        </w:tc>
        <w:tc>
          <w:tcPr>
            <w:tcW w:w="0" w:type="dxa"/>
            <w:vAlign w:val="bottom"/>
          </w:tcPr>
          <w:p>
            <w:pPr>
              <w:spacing w:after="0"/>
              <w:rPr>
                <w:sz w:val="1"/>
                <w:szCs w:val="1"/>
                <w:color w:val="auto"/>
              </w:rPr>
            </w:pPr>
          </w:p>
        </w:tc>
      </w:tr>
      <w:tr>
        <w:trPr>
          <w:trHeight w:val="270"/>
        </w:trPr>
        <w:tc>
          <w:tcPr>
            <w:tcW w:w="1480" w:type="dxa"/>
            <w:vAlign w:val="bottom"/>
            <w:tcBorders>
              <w:right w:val="single" w:sz="8" w:color="0072AF"/>
            </w:tcBorders>
          </w:tcPr>
          <w:p>
            <w:pPr>
              <w:spacing w:after="0"/>
              <w:rPr>
                <w:sz w:val="23"/>
                <w:szCs w:val="23"/>
                <w:color w:val="auto"/>
              </w:rPr>
            </w:pPr>
          </w:p>
        </w:tc>
        <w:tc>
          <w:tcPr>
            <w:tcW w:w="140" w:type="dxa"/>
            <w:vAlign w:val="bottom"/>
            <w:shd w:val="clear" w:color="auto" w:fill="CBCEE0"/>
          </w:tcPr>
          <w:p>
            <w:pPr>
              <w:spacing w:after="0"/>
              <w:rPr>
                <w:sz w:val="23"/>
                <w:szCs w:val="23"/>
                <w:color w:val="auto"/>
              </w:rPr>
            </w:pPr>
          </w:p>
        </w:tc>
        <w:tc>
          <w:tcPr>
            <w:tcW w:w="2080" w:type="dxa"/>
            <w:vAlign w:val="bottom"/>
            <w:shd w:val="clear" w:color="auto" w:fill="CBCEE0"/>
          </w:tcPr>
          <w:p>
            <w:pPr>
              <w:ind w:left="180"/>
              <w:spacing w:after="0"/>
              <w:rPr>
                <w:sz w:val="20"/>
                <w:szCs w:val="20"/>
                <w:color w:val="auto"/>
              </w:rPr>
            </w:pPr>
            <w:r>
              <w:rPr>
                <w:rFonts w:ascii="Arial" w:cs="Arial" w:eastAsia="Arial" w:hAnsi="Arial"/>
                <w:sz w:val="14"/>
                <w:szCs w:val="14"/>
                <w:color w:val="auto"/>
              </w:rPr>
              <w:t>2023-2025 cycle</w:t>
            </w:r>
          </w:p>
        </w:tc>
        <w:tc>
          <w:tcPr>
            <w:tcW w:w="1060" w:type="dxa"/>
            <w:vAlign w:val="bottom"/>
            <w:shd w:val="clear" w:color="auto" w:fill="CBCEE0"/>
          </w:tcPr>
          <w:p>
            <w:pPr>
              <w:jc w:val="right"/>
              <w:spacing w:after="0"/>
              <w:rPr>
                <w:sz w:val="20"/>
                <w:szCs w:val="20"/>
                <w:color w:val="auto"/>
              </w:rPr>
            </w:pPr>
            <w:r>
              <w:rPr>
                <w:rFonts w:ascii="Arial" w:cs="Arial" w:eastAsia="Arial" w:hAnsi="Arial"/>
                <w:sz w:val="14"/>
                <w:szCs w:val="14"/>
                <w:color w:val="auto"/>
              </w:rPr>
              <w:t>232,500</w:t>
            </w:r>
          </w:p>
        </w:tc>
        <w:tc>
          <w:tcPr>
            <w:tcW w:w="1280" w:type="dxa"/>
            <w:vAlign w:val="bottom"/>
            <w:shd w:val="clear" w:color="auto" w:fill="CBCEE0"/>
          </w:tcPr>
          <w:p>
            <w:pPr>
              <w:jc w:val="right"/>
              <w:spacing w:after="0"/>
              <w:rPr>
                <w:sz w:val="20"/>
                <w:szCs w:val="20"/>
                <w:color w:val="auto"/>
              </w:rPr>
            </w:pPr>
            <w:r>
              <w:rPr>
                <w:rFonts w:ascii="Arial" w:cs="Arial" w:eastAsia="Arial" w:hAnsi="Arial"/>
                <w:sz w:val="14"/>
                <w:szCs w:val="14"/>
                <w:color w:val="auto"/>
              </w:rPr>
              <w:t>232,500</w:t>
            </w:r>
          </w:p>
        </w:tc>
        <w:tc>
          <w:tcPr>
            <w:tcW w:w="820" w:type="dxa"/>
            <w:vAlign w:val="bottom"/>
            <w:shd w:val="clear" w:color="auto" w:fill="CBCEE0"/>
          </w:tcPr>
          <w:p>
            <w:pPr>
              <w:jc w:val="right"/>
              <w:ind w:right="108"/>
              <w:spacing w:after="0"/>
              <w:rPr>
                <w:sz w:val="20"/>
                <w:szCs w:val="20"/>
                <w:color w:val="auto"/>
              </w:rPr>
            </w:pPr>
            <w:r>
              <w:rPr>
                <w:rFonts w:ascii="Arial" w:cs="Arial" w:eastAsia="Arial" w:hAnsi="Arial"/>
                <w:sz w:val="14"/>
                <w:szCs w:val="14"/>
                <w:color w:val="auto"/>
              </w:rPr>
              <w:t>- 232,500</w:t>
            </w:r>
          </w:p>
        </w:tc>
        <w:tc>
          <w:tcPr>
            <w:tcW w:w="1480" w:type="dxa"/>
            <w:vAlign w:val="bottom"/>
            <w:shd w:val="clear" w:color="auto" w:fill="CBCEE0"/>
          </w:tcPr>
          <w:p>
            <w:pPr>
              <w:jc w:val="right"/>
              <w:ind w:right="389"/>
              <w:spacing w:after="0"/>
              <w:rPr>
                <w:sz w:val="20"/>
                <w:szCs w:val="20"/>
                <w:color w:val="auto"/>
              </w:rPr>
            </w:pPr>
            <w:r>
              <w:rPr>
                <w:rFonts w:ascii="Arial" w:cs="Arial" w:eastAsia="Arial" w:hAnsi="Arial"/>
                <w:sz w:val="14"/>
                <w:szCs w:val="14"/>
                <w:color w:val="auto"/>
              </w:rPr>
              <w:t>750,000</w:t>
            </w:r>
          </w:p>
        </w:tc>
        <w:tc>
          <w:tcPr>
            <w:tcW w:w="840" w:type="dxa"/>
            <w:vAlign w:val="bottom"/>
            <w:shd w:val="clear" w:color="auto" w:fill="CBCEE0"/>
          </w:tcPr>
          <w:p>
            <w:pPr>
              <w:jc w:val="right"/>
              <w:spacing w:after="0"/>
              <w:rPr>
                <w:sz w:val="20"/>
                <w:szCs w:val="20"/>
                <w:color w:val="auto"/>
              </w:rPr>
            </w:pPr>
            <w:r>
              <w:rPr>
                <w:rFonts w:ascii="Arial" w:cs="Arial" w:eastAsia="Arial" w:hAnsi="Arial"/>
                <w:sz w:val="14"/>
                <w:szCs w:val="14"/>
                <w:color w:val="auto"/>
              </w:rPr>
              <w:t>232,500</w:t>
            </w:r>
          </w:p>
        </w:tc>
        <w:tc>
          <w:tcPr>
            <w:tcW w:w="0" w:type="dxa"/>
            <w:vAlign w:val="bottom"/>
          </w:tcPr>
          <w:p>
            <w:pPr>
              <w:spacing w:after="0"/>
              <w:rPr>
                <w:sz w:val="1"/>
                <w:szCs w:val="1"/>
                <w:color w:val="auto"/>
              </w:rPr>
            </w:pPr>
          </w:p>
        </w:tc>
      </w:tr>
      <w:tr>
        <w:trPr>
          <w:trHeight w:val="332"/>
        </w:trPr>
        <w:tc>
          <w:tcPr>
            <w:tcW w:w="1480" w:type="dxa"/>
            <w:vAlign w:val="bottom"/>
            <w:tcBorders>
              <w:right w:val="single" w:sz="8" w:color="0072AF"/>
            </w:tcBorders>
          </w:tcPr>
          <w:p>
            <w:pPr>
              <w:spacing w:after="0"/>
              <w:rPr>
                <w:sz w:val="24"/>
                <w:szCs w:val="24"/>
                <w:color w:val="auto"/>
              </w:rPr>
            </w:pPr>
          </w:p>
        </w:tc>
        <w:tc>
          <w:tcPr>
            <w:tcW w:w="140" w:type="dxa"/>
            <w:vAlign w:val="bottom"/>
            <w:shd w:val="clear" w:color="auto" w:fill="CBCEE0"/>
          </w:tcPr>
          <w:p>
            <w:pPr>
              <w:spacing w:after="0"/>
              <w:rPr>
                <w:sz w:val="24"/>
                <w:szCs w:val="24"/>
                <w:color w:val="auto"/>
              </w:rPr>
            </w:pPr>
          </w:p>
        </w:tc>
        <w:tc>
          <w:tcPr>
            <w:tcW w:w="2080" w:type="dxa"/>
            <w:vAlign w:val="bottom"/>
            <w:shd w:val="clear" w:color="auto" w:fill="CBCEE0"/>
          </w:tcPr>
          <w:p>
            <w:pPr>
              <w:spacing w:after="0"/>
              <w:rPr>
                <w:sz w:val="20"/>
                <w:szCs w:val="20"/>
                <w:color w:val="auto"/>
              </w:rPr>
            </w:pPr>
            <w:r>
              <w:rPr>
                <w:rFonts w:ascii="Arial" w:cs="Arial" w:eastAsia="Arial" w:hAnsi="Arial"/>
                <w:sz w:val="14"/>
                <w:szCs w:val="14"/>
                <w:color w:val="auto"/>
              </w:rPr>
              <w:t>Financial Counseling</w:t>
            </w:r>
            <w:r>
              <w:rPr>
                <w:rFonts w:ascii="Arial" w:cs="Arial" w:eastAsia="Arial" w:hAnsi="Arial"/>
                <w:sz w:val="23"/>
                <w:szCs w:val="23"/>
                <w:color w:val="auto"/>
                <w:vertAlign w:val="superscript"/>
              </w:rPr>
              <w:t>(6)</w:t>
            </w:r>
          </w:p>
        </w:tc>
        <w:tc>
          <w:tcPr>
            <w:tcW w:w="1060" w:type="dxa"/>
            <w:vAlign w:val="bottom"/>
            <w:shd w:val="clear" w:color="auto" w:fill="CBCEE0"/>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BCEE0"/>
          </w:tcPr>
          <w:p>
            <w:pPr>
              <w:spacing w:after="0"/>
              <w:rPr>
                <w:sz w:val="24"/>
                <w:szCs w:val="24"/>
                <w:color w:val="auto"/>
              </w:rPr>
            </w:pPr>
          </w:p>
        </w:tc>
        <w:tc>
          <w:tcPr>
            <w:tcW w:w="820" w:type="dxa"/>
            <w:vAlign w:val="bottom"/>
            <w:shd w:val="clear" w:color="auto" w:fill="CBCEE0"/>
          </w:tcPr>
          <w:p>
            <w:pPr>
              <w:jc w:val="right"/>
              <w:ind w:right="108"/>
              <w:spacing w:after="0"/>
              <w:rPr>
                <w:sz w:val="20"/>
                <w:szCs w:val="20"/>
                <w:color w:val="auto"/>
              </w:rPr>
            </w:pPr>
            <w:r>
              <w:rPr>
                <w:rFonts w:ascii="Arial" w:cs="Arial" w:eastAsia="Arial" w:hAnsi="Arial"/>
                <w:sz w:val="14"/>
                <w:szCs w:val="14"/>
                <w:color w:val="auto"/>
                <w:w w:val="98"/>
              </w:rPr>
              <w:t>0 - 22,193</w:t>
            </w:r>
          </w:p>
        </w:tc>
        <w:tc>
          <w:tcPr>
            <w:tcW w:w="1480" w:type="dxa"/>
            <w:vAlign w:val="bottom"/>
            <w:shd w:val="clear" w:color="auto" w:fill="CBCEE0"/>
          </w:tcPr>
          <w:p>
            <w:pPr>
              <w:jc w:val="right"/>
              <w:ind w:right="409"/>
              <w:spacing w:after="0"/>
              <w:rPr>
                <w:sz w:val="20"/>
                <w:szCs w:val="20"/>
                <w:color w:val="auto"/>
              </w:rPr>
            </w:pPr>
            <w:r>
              <w:rPr>
                <w:rFonts w:ascii="Arial" w:cs="Arial" w:eastAsia="Arial" w:hAnsi="Arial"/>
                <w:sz w:val="14"/>
                <w:szCs w:val="14"/>
                <w:color w:val="auto"/>
              </w:rPr>
              <w:t>-</w:t>
            </w:r>
          </w:p>
        </w:tc>
        <w:tc>
          <w:tcPr>
            <w:tcW w:w="840" w:type="dxa"/>
            <w:vAlign w:val="bottom"/>
            <w:shd w:val="clear" w:color="auto" w:fill="CBCEE0"/>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1480" w:type="dxa"/>
            <w:vAlign w:val="bottom"/>
            <w:tcBorders>
              <w:right w:val="single" w:sz="8" w:color="0072AF"/>
            </w:tcBorders>
          </w:tcPr>
          <w:p>
            <w:pPr>
              <w:spacing w:after="0"/>
              <w:rPr>
                <w:sz w:val="24"/>
                <w:szCs w:val="24"/>
                <w:color w:val="auto"/>
              </w:rPr>
            </w:pPr>
          </w:p>
        </w:tc>
        <w:tc>
          <w:tcPr>
            <w:tcW w:w="140" w:type="dxa"/>
            <w:vAlign w:val="bottom"/>
            <w:shd w:val="clear" w:color="auto" w:fill="CBCEE0"/>
          </w:tcPr>
          <w:p>
            <w:pPr>
              <w:spacing w:after="0"/>
              <w:rPr>
                <w:sz w:val="24"/>
                <w:szCs w:val="24"/>
                <w:color w:val="auto"/>
              </w:rPr>
            </w:pPr>
          </w:p>
        </w:tc>
        <w:tc>
          <w:tcPr>
            <w:tcW w:w="2080" w:type="dxa"/>
            <w:vAlign w:val="bottom"/>
            <w:shd w:val="clear" w:color="auto" w:fill="CBCEE0"/>
          </w:tcPr>
          <w:p>
            <w:pPr>
              <w:spacing w:after="0"/>
              <w:rPr>
                <w:sz w:val="20"/>
                <w:szCs w:val="20"/>
                <w:color w:val="auto"/>
              </w:rPr>
            </w:pPr>
            <w:r>
              <w:rPr>
                <w:rFonts w:ascii="Arial" w:cs="Arial" w:eastAsia="Arial" w:hAnsi="Arial"/>
                <w:sz w:val="14"/>
                <w:szCs w:val="14"/>
                <w:color w:val="auto"/>
              </w:rPr>
              <w:t>Medical &amp; other benefits</w:t>
            </w:r>
            <w:r>
              <w:rPr>
                <w:rFonts w:ascii="Arial" w:cs="Arial" w:eastAsia="Arial" w:hAnsi="Arial"/>
                <w:sz w:val="23"/>
                <w:szCs w:val="23"/>
                <w:color w:val="auto"/>
                <w:vertAlign w:val="superscript"/>
              </w:rPr>
              <w:t>(7)</w:t>
            </w:r>
          </w:p>
        </w:tc>
        <w:tc>
          <w:tcPr>
            <w:tcW w:w="1060" w:type="dxa"/>
            <w:vAlign w:val="bottom"/>
            <w:shd w:val="clear" w:color="auto" w:fill="CBCEE0"/>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BCEE0"/>
          </w:tcPr>
          <w:p>
            <w:pPr>
              <w:spacing w:after="0"/>
              <w:rPr>
                <w:sz w:val="24"/>
                <w:szCs w:val="24"/>
                <w:color w:val="auto"/>
              </w:rPr>
            </w:pPr>
          </w:p>
        </w:tc>
        <w:tc>
          <w:tcPr>
            <w:tcW w:w="820" w:type="dxa"/>
            <w:vAlign w:val="bottom"/>
            <w:shd w:val="clear" w:color="auto" w:fill="CBCEE0"/>
          </w:tcPr>
          <w:p>
            <w:pPr>
              <w:jc w:val="right"/>
              <w:ind w:right="10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BCEE0"/>
          </w:tcPr>
          <w:p>
            <w:pPr>
              <w:jc w:val="right"/>
              <w:ind w:right="389"/>
              <w:spacing w:after="0"/>
              <w:rPr>
                <w:sz w:val="20"/>
                <w:szCs w:val="20"/>
                <w:color w:val="auto"/>
              </w:rPr>
            </w:pPr>
            <w:r>
              <w:rPr>
                <w:rFonts w:ascii="Arial" w:cs="Arial" w:eastAsia="Arial" w:hAnsi="Arial"/>
                <w:sz w:val="14"/>
                <w:szCs w:val="14"/>
                <w:color w:val="auto"/>
              </w:rPr>
              <w:t>89,676</w:t>
            </w:r>
          </w:p>
        </w:tc>
        <w:tc>
          <w:tcPr>
            <w:tcW w:w="840" w:type="dxa"/>
            <w:vAlign w:val="bottom"/>
            <w:shd w:val="clear" w:color="auto" w:fill="CBCEE0"/>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0"/>
        </w:trPr>
        <w:tc>
          <w:tcPr>
            <w:tcW w:w="1480" w:type="dxa"/>
            <w:vAlign w:val="bottom"/>
            <w:tcBorders>
              <w:bottom w:val="single" w:sz="8" w:color="0072AF"/>
              <w:right w:val="single" w:sz="8" w:color="0072AF"/>
            </w:tcBorders>
          </w:tcPr>
          <w:p>
            <w:pPr>
              <w:spacing w:after="0"/>
              <w:rPr>
                <w:sz w:val="24"/>
                <w:szCs w:val="24"/>
                <w:color w:val="auto"/>
              </w:rPr>
            </w:pPr>
          </w:p>
        </w:tc>
        <w:tc>
          <w:tcPr>
            <w:tcW w:w="140" w:type="dxa"/>
            <w:vAlign w:val="bottom"/>
            <w:tcBorders>
              <w:bottom w:val="single" w:sz="8" w:color="0072AF"/>
            </w:tcBorders>
            <w:shd w:val="clear" w:color="auto" w:fill="CBCEE0"/>
          </w:tcPr>
          <w:p>
            <w:pPr>
              <w:spacing w:after="0"/>
              <w:rPr>
                <w:sz w:val="24"/>
                <w:szCs w:val="24"/>
                <w:color w:val="auto"/>
              </w:rPr>
            </w:pPr>
          </w:p>
        </w:tc>
        <w:tc>
          <w:tcPr>
            <w:tcW w:w="2080" w:type="dxa"/>
            <w:vAlign w:val="bottom"/>
            <w:tcBorders>
              <w:bottom w:val="single" w:sz="8" w:color="0072AF"/>
            </w:tcBorders>
            <w:shd w:val="clear" w:color="auto" w:fill="CBCEE0"/>
          </w:tcPr>
          <w:p>
            <w:pPr>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23"/>
                <w:szCs w:val="23"/>
                <w:b w:val="1"/>
                <w:bCs w:val="1"/>
                <w:color w:val="auto"/>
                <w:vertAlign w:val="superscript"/>
              </w:rPr>
              <w:t>(9)</w:t>
            </w:r>
          </w:p>
        </w:tc>
        <w:tc>
          <w:tcPr>
            <w:tcW w:w="1060" w:type="dxa"/>
            <w:vAlign w:val="bottom"/>
            <w:tcBorders>
              <w:bottom w:val="single" w:sz="8" w:color="0072AF"/>
            </w:tcBorders>
            <w:shd w:val="clear" w:color="auto" w:fill="CBCEE0"/>
          </w:tcPr>
          <w:p>
            <w:pPr>
              <w:jc w:val="right"/>
              <w:spacing w:after="0"/>
              <w:rPr>
                <w:sz w:val="20"/>
                <w:szCs w:val="20"/>
                <w:color w:val="auto"/>
              </w:rPr>
            </w:pPr>
            <w:r>
              <w:rPr>
                <w:rFonts w:ascii="Arial" w:cs="Arial" w:eastAsia="Arial" w:hAnsi="Arial"/>
                <w:sz w:val="14"/>
                <w:szCs w:val="14"/>
                <w:b w:val="1"/>
                <w:bCs w:val="1"/>
                <w:color w:val="auto"/>
              </w:rPr>
              <w:t>1,299,672</w:t>
            </w:r>
          </w:p>
        </w:tc>
        <w:tc>
          <w:tcPr>
            <w:tcW w:w="2100" w:type="dxa"/>
            <w:vAlign w:val="bottom"/>
            <w:tcBorders>
              <w:bottom w:val="single" w:sz="8" w:color="0072AF"/>
            </w:tcBorders>
            <w:gridSpan w:val="2"/>
            <w:shd w:val="clear" w:color="auto" w:fill="CBCEE0"/>
          </w:tcPr>
          <w:p>
            <w:pPr>
              <w:jc w:val="right"/>
              <w:ind w:right="108"/>
              <w:spacing w:after="0"/>
              <w:rPr>
                <w:sz w:val="20"/>
                <w:szCs w:val="20"/>
                <w:color w:val="auto"/>
              </w:rPr>
            </w:pPr>
            <w:r>
              <w:rPr>
                <w:rFonts w:ascii="Arial" w:cs="Arial" w:eastAsia="Arial" w:hAnsi="Arial"/>
                <w:sz w:val="14"/>
                <w:szCs w:val="14"/>
                <w:b w:val="1"/>
                <w:bCs w:val="1"/>
                <w:color w:val="auto"/>
              </w:rPr>
              <w:t>1,332,595 - 3,633,065</w:t>
            </w:r>
          </w:p>
        </w:tc>
        <w:tc>
          <w:tcPr>
            <w:tcW w:w="1480" w:type="dxa"/>
            <w:vAlign w:val="bottom"/>
            <w:tcBorders>
              <w:bottom w:val="single" w:sz="8" w:color="0072AF"/>
            </w:tcBorders>
            <w:shd w:val="clear" w:color="auto" w:fill="CBCEE0"/>
          </w:tcPr>
          <w:p>
            <w:pPr>
              <w:jc w:val="right"/>
              <w:ind w:right="369"/>
              <w:spacing w:after="0"/>
              <w:rPr>
                <w:sz w:val="20"/>
                <w:szCs w:val="20"/>
                <w:color w:val="auto"/>
              </w:rPr>
            </w:pPr>
            <w:r>
              <w:rPr>
                <w:rFonts w:ascii="Arial" w:cs="Arial" w:eastAsia="Arial" w:hAnsi="Arial"/>
                <w:sz w:val="14"/>
                <w:szCs w:val="14"/>
                <w:b w:val="1"/>
                <w:bCs w:val="1"/>
                <w:color w:val="auto"/>
              </w:rPr>
              <w:t>6,649,696</w:t>
            </w:r>
          </w:p>
        </w:tc>
        <w:tc>
          <w:tcPr>
            <w:tcW w:w="840" w:type="dxa"/>
            <w:vAlign w:val="bottom"/>
            <w:tcBorders>
              <w:bottom w:val="single" w:sz="8" w:color="0072AF"/>
            </w:tcBorders>
            <w:shd w:val="clear" w:color="auto" w:fill="CBCEE0"/>
          </w:tcPr>
          <w:p>
            <w:pPr>
              <w:jc w:val="right"/>
              <w:spacing w:after="0"/>
              <w:rPr>
                <w:sz w:val="20"/>
                <w:szCs w:val="20"/>
                <w:color w:val="auto"/>
              </w:rPr>
            </w:pPr>
            <w:r>
              <w:rPr>
                <w:rFonts w:ascii="Arial" w:cs="Arial" w:eastAsia="Arial" w:hAnsi="Arial"/>
                <w:sz w:val="14"/>
                <w:szCs w:val="14"/>
                <w:b w:val="1"/>
                <w:bCs w:val="1"/>
                <w:color w:val="auto"/>
              </w:rPr>
              <w:t>1,801,954</w:t>
            </w:r>
          </w:p>
        </w:tc>
        <w:tc>
          <w:tcPr>
            <w:tcW w:w="0" w:type="dxa"/>
            <w:vAlign w:val="bottom"/>
          </w:tcPr>
          <w:p>
            <w:pPr>
              <w:spacing w:after="0"/>
              <w:rPr>
                <w:sz w:val="1"/>
                <w:szCs w:val="1"/>
                <w:color w:val="auto"/>
              </w:rPr>
            </w:pPr>
          </w:p>
        </w:tc>
      </w:tr>
      <w:tr>
        <w:trPr>
          <w:trHeight w:val="248"/>
        </w:trPr>
        <w:tc>
          <w:tcPr>
            <w:tcW w:w="1480" w:type="dxa"/>
            <w:vAlign w:val="bottom"/>
            <w:tcBorders>
              <w:right w:val="single" w:sz="8" w:color="0072AF"/>
            </w:tcBorders>
          </w:tcPr>
          <w:p>
            <w:pPr>
              <w:spacing w:after="0"/>
              <w:rPr>
                <w:sz w:val="20"/>
                <w:szCs w:val="20"/>
                <w:color w:val="auto"/>
              </w:rPr>
            </w:pPr>
            <w:r>
              <w:rPr>
                <w:rFonts w:ascii="Arial" w:cs="Arial" w:eastAsia="Arial" w:hAnsi="Arial"/>
                <w:sz w:val="14"/>
                <w:szCs w:val="14"/>
                <w:b w:val="1"/>
                <w:bCs w:val="1"/>
                <w:color w:val="auto"/>
              </w:rPr>
              <w:t>Daniel J. Goldstein</w:t>
            </w:r>
          </w:p>
        </w:tc>
        <w:tc>
          <w:tcPr>
            <w:tcW w:w="140" w:type="dxa"/>
            <w:vAlign w:val="bottom"/>
          </w:tcPr>
          <w:p>
            <w:pPr>
              <w:spacing w:after="0"/>
              <w:rPr>
                <w:sz w:val="21"/>
                <w:szCs w:val="21"/>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Severance</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100" w:type="dxa"/>
            <w:vAlign w:val="bottom"/>
            <w:gridSpan w:val="2"/>
          </w:tcPr>
          <w:p>
            <w:pPr>
              <w:jc w:val="right"/>
              <w:ind w:right="88"/>
              <w:spacing w:after="0"/>
              <w:rPr>
                <w:sz w:val="20"/>
                <w:szCs w:val="20"/>
                <w:color w:val="auto"/>
              </w:rPr>
            </w:pPr>
            <w:r>
              <w:rPr>
                <w:rFonts w:ascii="Arial" w:cs="Arial" w:eastAsia="Arial" w:hAnsi="Arial"/>
                <w:sz w:val="14"/>
                <w:szCs w:val="14"/>
                <w:color w:val="auto"/>
              </w:rPr>
              <w:t>23,395 - 1,642,324</w:t>
            </w:r>
          </w:p>
        </w:tc>
        <w:tc>
          <w:tcPr>
            <w:tcW w:w="1480" w:type="dxa"/>
            <w:vAlign w:val="bottom"/>
          </w:tcPr>
          <w:p>
            <w:pPr>
              <w:jc w:val="right"/>
              <w:ind w:right="369"/>
              <w:spacing w:after="0"/>
              <w:rPr>
                <w:sz w:val="20"/>
                <w:szCs w:val="20"/>
                <w:color w:val="auto"/>
              </w:rPr>
            </w:pPr>
            <w:r>
              <w:rPr>
                <w:rFonts w:ascii="Arial" w:cs="Arial" w:eastAsia="Arial" w:hAnsi="Arial"/>
                <w:sz w:val="14"/>
                <w:szCs w:val="14"/>
                <w:color w:val="auto"/>
              </w:rPr>
              <w:t>2,189,765</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480" w:type="dxa"/>
            <w:vAlign w:val="bottom"/>
            <w:tcBorders>
              <w:right w:val="single" w:sz="8" w:color="0072AF"/>
            </w:tcBorders>
          </w:tcPr>
          <w:p>
            <w:pPr>
              <w:spacing w:after="0"/>
              <w:rPr>
                <w:sz w:val="22"/>
                <w:szCs w:val="22"/>
                <w:color w:val="auto"/>
              </w:rPr>
            </w:pPr>
          </w:p>
        </w:tc>
        <w:tc>
          <w:tcPr>
            <w:tcW w:w="140" w:type="dxa"/>
            <w:vAlign w:val="bottom"/>
          </w:tcPr>
          <w:p>
            <w:pPr>
              <w:spacing w:after="0"/>
              <w:rPr>
                <w:sz w:val="22"/>
                <w:szCs w:val="22"/>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Annual Incentive</w:t>
            </w:r>
          </w:p>
        </w:tc>
        <w:tc>
          <w:tcPr>
            <w:tcW w:w="1060" w:type="dxa"/>
            <w:vAlign w:val="bottom"/>
          </w:tcPr>
          <w:p>
            <w:pPr>
              <w:jc w:val="right"/>
              <w:spacing w:after="0"/>
              <w:rPr>
                <w:sz w:val="20"/>
                <w:szCs w:val="20"/>
                <w:color w:val="auto"/>
              </w:rPr>
            </w:pPr>
            <w:r>
              <w:rPr>
                <w:rFonts w:ascii="Arial" w:cs="Arial" w:eastAsia="Arial" w:hAnsi="Arial"/>
                <w:sz w:val="14"/>
                <w:szCs w:val="14"/>
                <w:color w:val="auto"/>
              </w:rPr>
              <w:t>210,217</w:t>
            </w:r>
          </w:p>
        </w:tc>
        <w:tc>
          <w:tcPr>
            <w:tcW w:w="1280" w:type="dxa"/>
            <w:vAlign w:val="bottom"/>
          </w:tcPr>
          <w:p>
            <w:pPr>
              <w:jc w:val="right"/>
              <w:spacing w:after="0"/>
              <w:rPr>
                <w:sz w:val="20"/>
                <w:szCs w:val="20"/>
                <w:color w:val="auto"/>
              </w:rPr>
            </w:pPr>
            <w:r>
              <w:rPr>
                <w:rFonts w:ascii="Arial" w:cs="Arial" w:eastAsia="Arial" w:hAnsi="Arial"/>
                <w:sz w:val="14"/>
                <w:szCs w:val="14"/>
                <w:color w:val="auto"/>
              </w:rPr>
              <w:t>210,217</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- 210,217</w:t>
            </w:r>
          </w:p>
        </w:tc>
        <w:tc>
          <w:tcPr>
            <w:tcW w:w="1480" w:type="dxa"/>
            <w:vAlign w:val="bottom"/>
          </w:tcPr>
          <w:p>
            <w:pPr>
              <w:jc w:val="right"/>
              <w:ind w:right="389"/>
              <w:spacing w:after="0"/>
              <w:rPr>
                <w:sz w:val="20"/>
                <w:szCs w:val="20"/>
                <w:color w:val="auto"/>
              </w:rPr>
            </w:pPr>
            <w:r>
              <w:rPr>
                <w:rFonts w:ascii="Arial" w:cs="Arial" w:eastAsia="Arial" w:hAnsi="Arial"/>
                <w:sz w:val="14"/>
                <w:szCs w:val="14"/>
                <w:color w:val="auto"/>
              </w:rPr>
              <w:t>486,614</w:t>
            </w:r>
          </w:p>
        </w:tc>
        <w:tc>
          <w:tcPr>
            <w:tcW w:w="840" w:type="dxa"/>
            <w:vAlign w:val="bottom"/>
          </w:tcPr>
          <w:p>
            <w:pPr>
              <w:jc w:val="right"/>
              <w:spacing w:after="0"/>
              <w:rPr>
                <w:sz w:val="20"/>
                <w:szCs w:val="20"/>
                <w:color w:val="auto"/>
              </w:rPr>
            </w:pPr>
            <w:r>
              <w:rPr>
                <w:rFonts w:ascii="Arial" w:cs="Arial" w:eastAsia="Arial" w:hAnsi="Arial"/>
                <w:sz w:val="14"/>
                <w:szCs w:val="14"/>
                <w:color w:val="auto"/>
              </w:rPr>
              <w:t>210,217</w:t>
            </w:r>
          </w:p>
        </w:tc>
        <w:tc>
          <w:tcPr>
            <w:tcW w:w="0" w:type="dxa"/>
            <w:vAlign w:val="bottom"/>
          </w:tcPr>
          <w:p>
            <w:pPr>
              <w:spacing w:after="0"/>
              <w:rPr>
                <w:sz w:val="1"/>
                <w:szCs w:val="1"/>
                <w:color w:val="auto"/>
              </w:rPr>
            </w:pPr>
          </w:p>
        </w:tc>
      </w:tr>
      <w:tr>
        <w:trPr>
          <w:trHeight w:val="377"/>
        </w:trPr>
        <w:tc>
          <w:tcPr>
            <w:tcW w:w="1480" w:type="dxa"/>
            <w:vAlign w:val="bottom"/>
            <w:tcBorders>
              <w:right w:val="single" w:sz="8" w:color="0072AF"/>
            </w:tcBorders>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Stock Options Accelerated</w:t>
            </w:r>
            <w:r>
              <w:rPr>
                <w:rFonts w:ascii="Arial" w:cs="Arial" w:eastAsia="Arial" w:hAnsi="Arial"/>
                <w:sz w:val="23"/>
                <w:szCs w:val="23"/>
                <w:color w:val="auto"/>
                <w:vertAlign w:val="superscript"/>
              </w:rPr>
              <w:t>(3)</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0</w:t>
            </w:r>
          </w:p>
        </w:tc>
        <w:tc>
          <w:tcPr>
            <w:tcW w:w="128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0 - 0</w:t>
            </w:r>
          </w:p>
        </w:tc>
        <w:tc>
          <w:tcPr>
            <w:tcW w:w="1480" w:type="dxa"/>
            <w:vAlign w:val="bottom"/>
          </w:tcPr>
          <w:p>
            <w:pPr>
              <w:jc w:val="right"/>
              <w:ind w:right="409"/>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9"/>
        </w:trPr>
        <w:tc>
          <w:tcPr>
            <w:tcW w:w="1480" w:type="dxa"/>
            <w:vAlign w:val="bottom"/>
            <w:tcBorders>
              <w:right w:val="single" w:sz="8" w:color="0072AF"/>
            </w:tcBorders>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line="159" w:lineRule="exact"/>
              <w:rPr>
                <w:sz w:val="20"/>
                <w:szCs w:val="20"/>
                <w:color w:val="auto"/>
              </w:rPr>
            </w:pPr>
            <w:r>
              <w:rPr>
                <w:rFonts w:ascii="Arial" w:cs="Arial" w:eastAsia="Arial" w:hAnsi="Arial"/>
                <w:sz w:val="14"/>
                <w:szCs w:val="14"/>
                <w:color w:val="auto"/>
              </w:rPr>
              <w:t>Restricted Stock Units</w:t>
            </w:r>
          </w:p>
        </w:tc>
        <w:tc>
          <w:tcPr>
            <w:tcW w:w="10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1480" w:type="dxa"/>
            <w:vAlign w:val="bottom"/>
            <w:tcBorders>
              <w:right w:val="single" w:sz="8" w:color="0072AF"/>
            </w:tcBorders>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Accelerated</w:t>
            </w:r>
            <w:r>
              <w:rPr>
                <w:rFonts w:ascii="Arial" w:cs="Arial" w:eastAsia="Arial" w:hAnsi="Arial"/>
                <w:sz w:val="23"/>
                <w:szCs w:val="23"/>
                <w:color w:val="auto"/>
                <w:vertAlign w:val="superscript"/>
              </w:rPr>
              <w:t>(4)</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34,725</w:t>
            </w:r>
          </w:p>
        </w:tc>
        <w:tc>
          <w:tcPr>
            <w:tcW w:w="2100" w:type="dxa"/>
            <w:vAlign w:val="bottom"/>
            <w:gridSpan w:val="2"/>
          </w:tcPr>
          <w:p>
            <w:pPr>
              <w:jc w:val="right"/>
              <w:ind w:right="88"/>
              <w:spacing w:after="0"/>
              <w:rPr>
                <w:sz w:val="20"/>
                <w:szCs w:val="20"/>
                <w:color w:val="auto"/>
              </w:rPr>
            </w:pPr>
            <w:r>
              <w:rPr>
                <w:rFonts w:ascii="Arial" w:cs="Arial" w:eastAsia="Arial" w:hAnsi="Arial"/>
                <w:sz w:val="14"/>
                <w:szCs w:val="14"/>
                <w:color w:val="auto"/>
              </w:rPr>
              <w:t>34,725 - 34,725</w:t>
            </w:r>
          </w:p>
        </w:tc>
        <w:tc>
          <w:tcPr>
            <w:tcW w:w="1480" w:type="dxa"/>
            <w:vAlign w:val="bottom"/>
          </w:tcPr>
          <w:p>
            <w:pPr>
              <w:jc w:val="right"/>
              <w:ind w:right="389"/>
              <w:spacing w:after="0"/>
              <w:rPr>
                <w:sz w:val="20"/>
                <w:szCs w:val="20"/>
                <w:color w:val="auto"/>
              </w:rPr>
            </w:pPr>
            <w:r>
              <w:rPr>
                <w:rFonts w:ascii="Arial" w:cs="Arial" w:eastAsia="Arial" w:hAnsi="Arial"/>
                <w:sz w:val="14"/>
                <w:szCs w:val="14"/>
                <w:color w:val="auto"/>
              </w:rPr>
              <w:t>537,007</w:t>
            </w:r>
          </w:p>
        </w:tc>
        <w:tc>
          <w:tcPr>
            <w:tcW w:w="840" w:type="dxa"/>
            <w:vAlign w:val="bottom"/>
          </w:tcPr>
          <w:p>
            <w:pPr>
              <w:jc w:val="right"/>
              <w:spacing w:after="0"/>
              <w:rPr>
                <w:sz w:val="20"/>
                <w:szCs w:val="20"/>
                <w:color w:val="auto"/>
              </w:rPr>
            </w:pPr>
            <w:r>
              <w:rPr>
                <w:rFonts w:ascii="Arial" w:cs="Arial" w:eastAsia="Arial" w:hAnsi="Arial"/>
                <w:sz w:val="14"/>
                <w:szCs w:val="14"/>
                <w:color w:val="auto"/>
              </w:rPr>
              <w:t>537,007</w:t>
            </w:r>
          </w:p>
        </w:tc>
        <w:tc>
          <w:tcPr>
            <w:tcW w:w="0" w:type="dxa"/>
            <w:vAlign w:val="bottom"/>
          </w:tcPr>
          <w:p>
            <w:pPr>
              <w:spacing w:after="0"/>
              <w:rPr>
                <w:sz w:val="1"/>
                <w:szCs w:val="1"/>
                <w:color w:val="auto"/>
              </w:rPr>
            </w:pPr>
          </w:p>
        </w:tc>
      </w:tr>
      <w:tr>
        <w:trPr>
          <w:trHeight w:val="300"/>
        </w:trPr>
        <w:tc>
          <w:tcPr>
            <w:tcW w:w="1480" w:type="dxa"/>
            <w:vAlign w:val="bottom"/>
            <w:tcBorders>
              <w:right w:val="single" w:sz="8" w:color="0072AF"/>
            </w:tcBorders>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Cash Incentive Units</w:t>
            </w:r>
            <w:r>
              <w:rPr>
                <w:rFonts w:ascii="Arial" w:cs="Arial" w:eastAsia="Arial" w:hAnsi="Arial"/>
                <w:sz w:val="23"/>
                <w:szCs w:val="23"/>
                <w:color w:val="auto"/>
                <w:vertAlign w:val="superscript"/>
              </w:rPr>
              <w:t>(5)</w:t>
            </w: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480" w:type="dxa"/>
            <w:vAlign w:val="bottom"/>
            <w:tcBorders>
              <w:right w:val="single" w:sz="8" w:color="0072AF"/>
            </w:tcBorders>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tcPr>
          <w:p>
            <w:pPr>
              <w:ind w:left="180"/>
              <w:spacing w:after="0"/>
              <w:rPr>
                <w:sz w:val="20"/>
                <w:szCs w:val="20"/>
                <w:color w:val="auto"/>
              </w:rPr>
            </w:pPr>
            <w:r>
              <w:rPr>
                <w:rFonts w:ascii="Arial" w:cs="Arial" w:eastAsia="Arial" w:hAnsi="Arial"/>
                <w:sz w:val="14"/>
                <w:szCs w:val="14"/>
                <w:color w:val="auto"/>
              </w:rPr>
              <w:t>2021-2023 cycle</w:t>
            </w:r>
          </w:p>
        </w:tc>
        <w:tc>
          <w:tcPr>
            <w:tcW w:w="1060" w:type="dxa"/>
            <w:vAlign w:val="bottom"/>
          </w:tcPr>
          <w:p>
            <w:pPr>
              <w:jc w:val="right"/>
              <w:spacing w:after="0"/>
              <w:rPr>
                <w:sz w:val="20"/>
                <w:szCs w:val="20"/>
                <w:color w:val="auto"/>
              </w:rPr>
            </w:pPr>
            <w:r>
              <w:rPr>
                <w:rFonts w:ascii="Arial" w:cs="Arial" w:eastAsia="Arial" w:hAnsi="Arial"/>
                <w:sz w:val="14"/>
                <w:szCs w:val="14"/>
                <w:color w:val="auto"/>
              </w:rPr>
              <w:t>390,600</w:t>
            </w:r>
          </w:p>
        </w:tc>
        <w:tc>
          <w:tcPr>
            <w:tcW w:w="1280" w:type="dxa"/>
            <w:vAlign w:val="bottom"/>
          </w:tcPr>
          <w:p>
            <w:pPr>
              <w:jc w:val="right"/>
              <w:spacing w:after="0"/>
              <w:rPr>
                <w:sz w:val="20"/>
                <w:szCs w:val="20"/>
                <w:color w:val="auto"/>
              </w:rPr>
            </w:pPr>
            <w:r>
              <w:rPr>
                <w:rFonts w:ascii="Arial" w:cs="Arial" w:eastAsia="Arial" w:hAnsi="Arial"/>
                <w:sz w:val="14"/>
                <w:szCs w:val="14"/>
                <w:color w:val="auto"/>
              </w:rPr>
              <w:t>390,600</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- 390,600</w:t>
            </w:r>
          </w:p>
        </w:tc>
        <w:tc>
          <w:tcPr>
            <w:tcW w:w="1480" w:type="dxa"/>
            <w:vAlign w:val="bottom"/>
          </w:tcPr>
          <w:p>
            <w:pPr>
              <w:jc w:val="right"/>
              <w:ind w:right="389"/>
              <w:spacing w:after="0"/>
              <w:rPr>
                <w:sz w:val="20"/>
                <w:szCs w:val="20"/>
                <w:color w:val="auto"/>
              </w:rPr>
            </w:pPr>
            <w:r>
              <w:rPr>
                <w:rFonts w:ascii="Arial" w:cs="Arial" w:eastAsia="Arial" w:hAnsi="Arial"/>
                <w:sz w:val="14"/>
                <w:szCs w:val="14"/>
                <w:color w:val="auto"/>
              </w:rPr>
              <w:t>630,000</w:t>
            </w:r>
          </w:p>
        </w:tc>
        <w:tc>
          <w:tcPr>
            <w:tcW w:w="840" w:type="dxa"/>
            <w:vAlign w:val="bottom"/>
          </w:tcPr>
          <w:p>
            <w:pPr>
              <w:jc w:val="right"/>
              <w:spacing w:after="0"/>
              <w:rPr>
                <w:sz w:val="20"/>
                <w:szCs w:val="20"/>
                <w:color w:val="auto"/>
              </w:rPr>
            </w:pPr>
            <w:r>
              <w:rPr>
                <w:rFonts w:ascii="Arial" w:cs="Arial" w:eastAsia="Arial" w:hAnsi="Arial"/>
                <w:sz w:val="14"/>
                <w:szCs w:val="14"/>
                <w:color w:val="auto"/>
              </w:rPr>
              <w:t>390,600</w:t>
            </w:r>
          </w:p>
        </w:tc>
        <w:tc>
          <w:tcPr>
            <w:tcW w:w="0" w:type="dxa"/>
            <w:vAlign w:val="bottom"/>
          </w:tcPr>
          <w:p>
            <w:pPr>
              <w:spacing w:after="0"/>
              <w:rPr>
                <w:sz w:val="1"/>
                <w:szCs w:val="1"/>
                <w:color w:val="auto"/>
              </w:rPr>
            </w:pPr>
          </w:p>
        </w:tc>
      </w:tr>
      <w:tr>
        <w:trPr>
          <w:trHeight w:val="270"/>
        </w:trPr>
        <w:tc>
          <w:tcPr>
            <w:tcW w:w="1480" w:type="dxa"/>
            <w:vAlign w:val="bottom"/>
            <w:tcBorders>
              <w:right w:val="single" w:sz="8" w:color="0072AF"/>
            </w:tcBorders>
          </w:tcPr>
          <w:p>
            <w:pPr>
              <w:spacing w:after="0"/>
              <w:rPr>
                <w:sz w:val="23"/>
                <w:szCs w:val="23"/>
                <w:color w:val="auto"/>
              </w:rPr>
            </w:pPr>
          </w:p>
        </w:tc>
        <w:tc>
          <w:tcPr>
            <w:tcW w:w="140" w:type="dxa"/>
            <w:vAlign w:val="bottom"/>
          </w:tcPr>
          <w:p>
            <w:pPr>
              <w:spacing w:after="0"/>
              <w:rPr>
                <w:sz w:val="23"/>
                <w:szCs w:val="23"/>
                <w:color w:val="auto"/>
              </w:rPr>
            </w:pPr>
          </w:p>
        </w:tc>
        <w:tc>
          <w:tcPr>
            <w:tcW w:w="2080" w:type="dxa"/>
            <w:vAlign w:val="bottom"/>
          </w:tcPr>
          <w:p>
            <w:pPr>
              <w:ind w:left="180"/>
              <w:spacing w:after="0"/>
              <w:rPr>
                <w:sz w:val="20"/>
                <w:szCs w:val="20"/>
                <w:color w:val="auto"/>
              </w:rPr>
            </w:pPr>
            <w:r>
              <w:rPr>
                <w:rFonts w:ascii="Arial" w:cs="Arial" w:eastAsia="Arial" w:hAnsi="Arial"/>
                <w:sz w:val="14"/>
                <w:szCs w:val="14"/>
                <w:color w:val="auto"/>
              </w:rPr>
              <w:t>2022-2024 cycle</w:t>
            </w:r>
          </w:p>
        </w:tc>
        <w:tc>
          <w:tcPr>
            <w:tcW w:w="1060" w:type="dxa"/>
            <w:vAlign w:val="bottom"/>
          </w:tcPr>
          <w:p>
            <w:pPr>
              <w:jc w:val="right"/>
              <w:spacing w:after="0"/>
              <w:rPr>
                <w:sz w:val="20"/>
                <w:szCs w:val="20"/>
                <w:color w:val="auto"/>
              </w:rPr>
            </w:pPr>
            <w:r>
              <w:rPr>
                <w:rFonts w:ascii="Arial" w:cs="Arial" w:eastAsia="Arial" w:hAnsi="Arial"/>
                <w:sz w:val="14"/>
                <w:szCs w:val="14"/>
                <w:color w:val="auto"/>
              </w:rPr>
              <w:t>397,500</w:t>
            </w:r>
          </w:p>
        </w:tc>
        <w:tc>
          <w:tcPr>
            <w:tcW w:w="1280" w:type="dxa"/>
            <w:vAlign w:val="bottom"/>
          </w:tcPr>
          <w:p>
            <w:pPr>
              <w:jc w:val="right"/>
              <w:spacing w:after="0"/>
              <w:rPr>
                <w:sz w:val="20"/>
                <w:szCs w:val="20"/>
                <w:color w:val="auto"/>
              </w:rPr>
            </w:pPr>
            <w:r>
              <w:rPr>
                <w:rFonts w:ascii="Arial" w:cs="Arial" w:eastAsia="Arial" w:hAnsi="Arial"/>
                <w:sz w:val="14"/>
                <w:szCs w:val="14"/>
                <w:color w:val="auto"/>
              </w:rPr>
              <w:t>397,500</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- 397,500</w:t>
            </w:r>
          </w:p>
        </w:tc>
        <w:tc>
          <w:tcPr>
            <w:tcW w:w="1480" w:type="dxa"/>
            <w:vAlign w:val="bottom"/>
          </w:tcPr>
          <w:p>
            <w:pPr>
              <w:jc w:val="right"/>
              <w:ind w:right="389"/>
              <w:spacing w:after="0"/>
              <w:rPr>
                <w:sz w:val="20"/>
                <w:szCs w:val="20"/>
                <w:color w:val="auto"/>
              </w:rPr>
            </w:pPr>
            <w:r>
              <w:rPr>
                <w:rFonts w:ascii="Arial" w:cs="Arial" w:eastAsia="Arial" w:hAnsi="Arial"/>
                <w:sz w:val="14"/>
                <w:szCs w:val="14"/>
                <w:color w:val="auto"/>
              </w:rPr>
              <w:t>750,000</w:t>
            </w:r>
          </w:p>
        </w:tc>
        <w:tc>
          <w:tcPr>
            <w:tcW w:w="840" w:type="dxa"/>
            <w:vAlign w:val="bottom"/>
          </w:tcPr>
          <w:p>
            <w:pPr>
              <w:jc w:val="right"/>
              <w:spacing w:after="0"/>
              <w:rPr>
                <w:sz w:val="20"/>
                <w:szCs w:val="20"/>
                <w:color w:val="auto"/>
              </w:rPr>
            </w:pPr>
            <w:r>
              <w:rPr>
                <w:rFonts w:ascii="Arial" w:cs="Arial" w:eastAsia="Arial" w:hAnsi="Arial"/>
                <w:sz w:val="14"/>
                <w:szCs w:val="14"/>
                <w:color w:val="auto"/>
              </w:rPr>
              <w:t>265,000</w:t>
            </w:r>
          </w:p>
        </w:tc>
        <w:tc>
          <w:tcPr>
            <w:tcW w:w="0" w:type="dxa"/>
            <w:vAlign w:val="bottom"/>
          </w:tcPr>
          <w:p>
            <w:pPr>
              <w:spacing w:after="0"/>
              <w:rPr>
                <w:sz w:val="1"/>
                <w:szCs w:val="1"/>
                <w:color w:val="auto"/>
              </w:rPr>
            </w:pPr>
          </w:p>
        </w:tc>
      </w:tr>
      <w:tr>
        <w:trPr>
          <w:trHeight w:val="270"/>
        </w:trPr>
        <w:tc>
          <w:tcPr>
            <w:tcW w:w="1480" w:type="dxa"/>
            <w:vAlign w:val="bottom"/>
            <w:tcBorders>
              <w:right w:val="single" w:sz="8" w:color="0072AF"/>
            </w:tcBorders>
          </w:tcPr>
          <w:p>
            <w:pPr>
              <w:spacing w:after="0"/>
              <w:rPr>
                <w:sz w:val="23"/>
                <w:szCs w:val="23"/>
                <w:color w:val="auto"/>
              </w:rPr>
            </w:pPr>
          </w:p>
        </w:tc>
        <w:tc>
          <w:tcPr>
            <w:tcW w:w="140" w:type="dxa"/>
            <w:vAlign w:val="bottom"/>
          </w:tcPr>
          <w:p>
            <w:pPr>
              <w:spacing w:after="0"/>
              <w:rPr>
                <w:sz w:val="23"/>
                <w:szCs w:val="23"/>
                <w:color w:val="auto"/>
              </w:rPr>
            </w:pPr>
          </w:p>
        </w:tc>
        <w:tc>
          <w:tcPr>
            <w:tcW w:w="2080" w:type="dxa"/>
            <w:vAlign w:val="bottom"/>
          </w:tcPr>
          <w:p>
            <w:pPr>
              <w:ind w:left="180"/>
              <w:spacing w:after="0"/>
              <w:rPr>
                <w:sz w:val="20"/>
                <w:szCs w:val="20"/>
                <w:color w:val="auto"/>
              </w:rPr>
            </w:pPr>
            <w:r>
              <w:rPr>
                <w:rFonts w:ascii="Arial" w:cs="Arial" w:eastAsia="Arial" w:hAnsi="Arial"/>
                <w:sz w:val="14"/>
                <w:szCs w:val="14"/>
                <w:color w:val="auto"/>
              </w:rPr>
              <w:t>2023-2025 cycle</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0</w:t>
            </w:r>
          </w:p>
        </w:tc>
        <w:tc>
          <w:tcPr>
            <w:tcW w:w="128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0 - 0</w:t>
            </w:r>
          </w:p>
        </w:tc>
        <w:tc>
          <w:tcPr>
            <w:tcW w:w="1480" w:type="dxa"/>
            <w:vAlign w:val="bottom"/>
          </w:tcPr>
          <w:p>
            <w:pPr>
              <w:jc w:val="right"/>
              <w:ind w:right="389"/>
              <w:spacing w:after="0"/>
              <w:rPr>
                <w:sz w:val="20"/>
                <w:szCs w:val="20"/>
                <w:color w:val="auto"/>
              </w:rPr>
            </w:pPr>
            <w:r>
              <w:rPr>
                <w:rFonts w:ascii="Arial" w:cs="Arial" w:eastAsia="Arial" w:hAnsi="Arial"/>
                <w:sz w:val="14"/>
                <w:szCs w:val="14"/>
                <w:color w:val="auto"/>
              </w:rPr>
              <w:t>750,000</w:t>
            </w:r>
          </w:p>
        </w:tc>
        <w:tc>
          <w:tcPr>
            <w:tcW w:w="840" w:type="dxa"/>
            <w:vAlign w:val="bottom"/>
          </w:tcPr>
          <w:p>
            <w:pPr>
              <w:jc w:val="right"/>
              <w:spacing w:after="0"/>
              <w:rPr>
                <w:sz w:val="20"/>
                <w:szCs w:val="20"/>
                <w:color w:val="auto"/>
              </w:rPr>
            </w:pPr>
            <w:r>
              <w:rPr>
                <w:rFonts w:ascii="Arial" w:cs="Arial" w:eastAsia="Arial" w:hAnsi="Arial"/>
                <w:sz w:val="14"/>
                <w:szCs w:val="14"/>
                <w:color w:val="auto"/>
              </w:rPr>
              <w:t>232,500</w:t>
            </w:r>
          </w:p>
        </w:tc>
        <w:tc>
          <w:tcPr>
            <w:tcW w:w="0" w:type="dxa"/>
            <w:vAlign w:val="bottom"/>
          </w:tcPr>
          <w:p>
            <w:pPr>
              <w:spacing w:after="0"/>
              <w:rPr>
                <w:sz w:val="1"/>
                <w:szCs w:val="1"/>
                <w:color w:val="auto"/>
              </w:rPr>
            </w:pPr>
          </w:p>
        </w:tc>
      </w:tr>
      <w:tr>
        <w:trPr>
          <w:trHeight w:val="374"/>
        </w:trPr>
        <w:tc>
          <w:tcPr>
            <w:tcW w:w="1480" w:type="dxa"/>
            <w:vAlign w:val="bottom"/>
            <w:tcBorders>
              <w:right w:val="single" w:sz="8" w:color="0072AF"/>
            </w:tcBorders>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Financial Counseling</w:t>
            </w:r>
            <w:r>
              <w:rPr>
                <w:rFonts w:ascii="Arial" w:cs="Arial" w:eastAsia="Arial" w:hAnsi="Arial"/>
                <w:sz w:val="23"/>
                <w:szCs w:val="23"/>
                <w:color w:val="auto"/>
                <w:vertAlign w:val="superscript"/>
              </w:rPr>
              <w:t>(6)</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0 - 22,193</w:t>
            </w:r>
          </w:p>
        </w:tc>
        <w:tc>
          <w:tcPr>
            <w:tcW w:w="1480" w:type="dxa"/>
            <w:vAlign w:val="bottom"/>
          </w:tcPr>
          <w:p>
            <w:pPr>
              <w:jc w:val="right"/>
              <w:ind w:right="40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1480" w:type="dxa"/>
            <w:vAlign w:val="bottom"/>
            <w:tcBorders>
              <w:right w:val="single" w:sz="8" w:color="0072AF"/>
            </w:tcBorders>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Medical &amp; other benefits</w:t>
            </w:r>
            <w:r>
              <w:rPr>
                <w:rFonts w:ascii="Arial" w:cs="Arial" w:eastAsia="Arial" w:hAnsi="Arial"/>
                <w:sz w:val="23"/>
                <w:szCs w:val="23"/>
                <w:color w:val="auto"/>
                <w:vertAlign w:val="superscript"/>
              </w:rPr>
              <w:t>(7)</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389"/>
              <w:spacing w:after="0"/>
              <w:rPr>
                <w:sz w:val="20"/>
                <w:szCs w:val="20"/>
                <w:color w:val="auto"/>
              </w:rPr>
            </w:pPr>
            <w:r>
              <w:rPr>
                <w:rFonts w:ascii="Arial" w:cs="Arial" w:eastAsia="Arial" w:hAnsi="Arial"/>
                <w:sz w:val="14"/>
                <w:szCs w:val="14"/>
                <w:color w:val="auto"/>
              </w:rPr>
              <w:t>51,880</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1480" w:type="dxa"/>
            <w:vAlign w:val="bottom"/>
            <w:tcBorders>
              <w:right w:val="single" w:sz="8" w:color="0072AF"/>
            </w:tcBorders>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Incremental Pension Benefit</w:t>
            </w:r>
            <w:r>
              <w:rPr>
                <w:rFonts w:ascii="Arial" w:cs="Arial" w:eastAsia="Arial" w:hAnsi="Arial"/>
                <w:sz w:val="23"/>
                <w:szCs w:val="23"/>
                <w:color w:val="auto"/>
                <w:vertAlign w:val="superscript"/>
              </w:rPr>
              <w:t>(8)</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0 - 0</w:t>
            </w:r>
          </w:p>
        </w:tc>
        <w:tc>
          <w:tcPr>
            <w:tcW w:w="1480" w:type="dxa"/>
            <w:vAlign w:val="bottom"/>
          </w:tcPr>
          <w:p>
            <w:pPr>
              <w:jc w:val="right"/>
              <w:ind w:right="389"/>
              <w:spacing w:after="0"/>
              <w:rPr>
                <w:sz w:val="20"/>
                <w:szCs w:val="20"/>
                <w:color w:val="auto"/>
              </w:rPr>
            </w:pPr>
            <w:r>
              <w:rPr>
                <w:rFonts w:ascii="Arial" w:cs="Arial" w:eastAsia="Arial" w:hAnsi="Arial"/>
                <w:sz w:val="14"/>
                <w:szCs w:val="14"/>
                <w:color w:val="auto"/>
              </w:rPr>
              <w:t>31,632</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9"/>
        </w:trPr>
        <w:tc>
          <w:tcPr>
            <w:tcW w:w="1480" w:type="dxa"/>
            <w:vAlign w:val="bottom"/>
            <w:tcBorders>
              <w:bottom w:val="single" w:sz="8" w:color="0072AF"/>
              <w:right w:val="single" w:sz="8" w:color="0072AF"/>
            </w:tcBorders>
          </w:tcPr>
          <w:p>
            <w:pPr>
              <w:spacing w:after="0"/>
              <w:rPr>
                <w:sz w:val="24"/>
                <w:szCs w:val="24"/>
                <w:color w:val="auto"/>
              </w:rPr>
            </w:pPr>
          </w:p>
        </w:tc>
        <w:tc>
          <w:tcPr>
            <w:tcW w:w="140" w:type="dxa"/>
            <w:vAlign w:val="bottom"/>
            <w:tcBorders>
              <w:bottom w:val="single" w:sz="8" w:color="0072AF"/>
            </w:tcBorders>
          </w:tcPr>
          <w:p>
            <w:pPr>
              <w:spacing w:after="0"/>
              <w:rPr>
                <w:sz w:val="24"/>
                <w:szCs w:val="24"/>
                <w:color w:val="auto"/>
              </w:rPr>
            </w:pPr>
          </w:p>
        </w:tc>
        <w:tc>
          <w:tcPr>
            <w:tcW w:w="2080" w:type="dxa"/>
            <w:vAlign w:val="bottom"/>
            <w:tcBorders>
              <w:bottom w:val="single" w:sz="8" w:color="0072AF"/>
            </w:tcBorders>
          </w:tcPr>
          <w:p>
            <w:pPr>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23"/>
                <w:szCs w:val="23"/>
                <w:b w:val="1"/>
                <w:bCs w:val="1"/>
                <w:color w:val="auto"/>
                <w:vertAlign w:val="superscript"/>
              </w:rPr>
              <w:t>(9)</w:t>
            </w:r>
          </w:p>
        </w:tc>
        <w:tc>
          <w:tcPr>
            <w:tcW w:w="1060" w:type="dxa"/>
            <w:vAlign w:val="bottom"/>
            <w:tcBorders>
              <w:bottom w:val="single" w:sz="8" w:color="0072AF"/>
            </w:tcBorders>
          </w:tcPr>
          <w:p>
            <w:pPr>
              <w:jc w:val="right"/>
              <w:spacing w:after="0"/>
              <w:rPr>
                <w:sz w:val="20"/>
                <w:szCs w:val="20"/>
                <w:color w:val="auto"/>
              </w:rPr>
            </w:pPr>
            <w:r>
              <w:rPr>
                <w:rFonts w:ascii="Arial" w:cs="Arial" w:eastAsia="Arial" w:hAnsi="Arial"/>
                <w:sz w:val="14"/>
                <w:szCs w:val="14"/>
                <w:b w:val="1"/>
                <w:bCs w:val="1"/>
                <w:color w:val="auto"/>
              </w:rPr>
              <w:t>1,033,042</w:t>
            </w:r>
          </w:p>
        </w:tc>
        <w:tc>
          <w:tcPr>
            <w:tcW w:w="2100" w:type="dxa"/>
            <w:vAlign w:val="bottom"/>
            <w:tcBorders>
              <w:bottom w:val="single" w:sz="8" w:color="0072AF"/>
            </w:tcBorders>
            <w:gridSpan w:val="2"/>
          </w:tcPr>
          <w:p>
            <w:pPr>
              <w:jc w:val="right"/>
              <w:ind w:right="88"/>
              <w:spacing w:after="0"/>
              <w:rPr>
                <w:sz w:val="20"/>
                <w:szCs w:val="20"/>
                <w:color w:val="auto"/>
              </w:rPr>
            </w:pPr>
            <w:r>
              <w:rPr>
                <w:rFonts w:ascii="Arial" w:cs="Arial" w:eastAsia="Arial" w:hAnsi="Arial"/>
                <w:sz w:val="14"/>
                <w:szCs w:val="14"/>
                <w:b w:val="1"/>
                <w:bCs w:val="1"/>
                <w:color w:val="auto"/>
              </w:rPr>
              <w:t>1,056,437 - 2,697,559</w:t>
            </w:r>
          </w:p>
        </w:tc>
        <w:tc>
          <w:tcPr>
            <w:tcW w:w="1480" w:type="dxa"/>
            <w:vAlign w:val="bottom"/>
            <w:tcBorders>
              <w:bottom w:val="single" w:sz="8" w:color="0072AF"/>
            </w:tcBorders>
          </w:tcPr>
          <w:p>
            <w:pPr>
              <w:jc w:val="right"/>
              <w:ind w:right="369"/>
              <w:spacing w:after="0"/>
              <w:rPr>
                <w:sz w:val="20"/>
                <w:szCs w:val="20"/>
                <w:color w:val="auto"/>
              </w:rPr>
            </w:pPr>
            <w:r>
              <w:rPr>
                <w:rFonts w:ascii="Arial" w:cs="Arial" w:eastAsia="Arial" w:hAnsi="Arial"/>
                <w:sz w:val="14"/>
                <w:szCs w:val="14"/>
                <w:b w:val="1"/>
                <w:bCs w:val="1"/>
                <w:color w:val="auto"/>
              </w:rPr>
              <w:t>5,426,898</w:t>
            </w:r>
          </w:p>
        </w:tc>
        <w:tc>
          <w:tcPr>
            <w:tcW w:w="840" w:type="dxa"/>
            <w:vAlign w:val="bottom"/>
            <w:tcBorders>
              <w:bottom w:val="single" w:sz="8" w:color="0072AF"/>
            </w:tcBorders>
          </w:tcPr>
          <w:p>
            <w:pPr>
              <w:jc w:val="right"/>
              <w:spacing w:after="0"/>
              <w:rPr>
                <w:sz w:val="20"/>
                <w:szCs w:val="20"/>
                <w:color w:val="auto"/>
              </w:rPr>
            </w:pPr>
            <w:r>
              <w:rPr>
                <w:rFonts w:ascii="Arial" w:cs="Arial" w:eastAsia="Arial" w:hAnsi="Arial"/>
                <w:sz w:val="14"/>
                <w:szCs w:val="14"/>
                <w:b w:val="1"/>
                <w:bCs w:val="1"/>
                <w:color w:val="auto"/>
              </w:rPr>
              <w:t>1,635,324</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9180"/>
          </w:cols>
          <w:pgMar w:left="1360" w:top="114" w:right="1359" w:bottom="0"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EXECUTIVE COMPENSATION TABLES AND RELATED NARRATIVE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2" w:lineRule="exact"/>
        <w:rPr>
          <w:sz w:val="20"/>
          <w:szCs w:val="20"/>
          <w:color w:val="auto"/>
        </w:rPr>
      </w:pPr>
    </w:p>
    <w:tbl>
      <w:tblPr>
        <w:tblLayout w:type="fixed"/>
        <w:tblInd w:w="6" w:type="dxa"/>
        <w:tblCellMar>
          <w:top w:w="0" w:type="dxa"/>
          <w:left w:w="0" w:type="dxa"/>
          <w:bottom w:w="0" w:type="dxa"/>
          <w:right w:w="0" w:type="dxa"/>
        </w:tblCellMar>
      </w:tblPr>
      <w:tr>
        <w:trPr>
          <w:trHeight w:val="283"/>
        </w:trPr>
        <w:tc>
          <w:tcPr>
            <w:tcW w:w="1480" w:type="dxa"/>
            <w:vAlign w:val="bottom"/>
            <w:tcBorders>
              <w:top w:val="single" w:sz="8" w:color="0072AF"/>
              <w:right w:val="single" w:sz="8" w:color="0072AF"/>
            </w:tcBorders>
          </w:tcPr>
          <w:p>
            <w:pPr>
              <w:spacing w:after="0"/>
              <w:rPr>
                <w:sz w:val="24"/>
                <w:szCs w:val="24"/>
                <w:color w:val="auto"/>
              </w:rPr>
            </w:pPr>
          </w:p>
        </w:tc>
        <w:tc>
          <w:tcPr>
            <w:tcW w:w="140" w:type="dxa"/>
            <w:vAlign w:val="bottom"/>
            <w:tcBorders>
              <w:top w:val="single" w:sz="8" w:color="0072AF"/>
            </w:tcBorders>
          </w:tcPr>
          <w:p>
            <w:pPr>
              <w:spacing w:after="0"/>
              <w:rPr>
                <w:sz w:val="24"/>
                <w:szCs w:val="24"/>
                <w:color w:val="auto"/>
              </w:rPr>
            </w:pPr>
          </w:p>
        </w:tc>
        <w:tc>
          <w:tcPr>
            <w:tcW w:w="2080" w:type="dxa"/>
            <w:vAlign w:val="bottom"/>
            <w:tcBorders>
              <w:top w:val="single" w:sz="8" w:color="0072AF"/>
            </w:tcBorders>
          </w:tcPr>
          <w:p>
            <w:pPr>
              <w:spacing w:after="0"/>
              <w:rPr>
                <w:sz w:val="24"/>
                <w:szCs w:val="24"/>
                <w:color w:val="auto"/>
              </w:rPr>
            </w:pPr>
          </w:p>
        </w:tc>
        <w:tc>
          <w:tcPr>
            <w:tcW w:w="1060" w:type="dxa"/>
            <w:vAlign w:val="bottom"/>
            <w:tcBorders>
              <w:top w:val="single" w:sz="8" w:color="0072AF"/>
            </w:tcBorders>
          </w:tcPr>
          <w:p>
            <w:pPr>
              <w:ind w:left="360"/>
              <w:spacing w:after="0"/>
              <w:rPr>
                <w:sz w:val="20"/>
                <w:szCs w:val="20"/>
                <w:color w:val="auto"/>
              </w:rPr>
            </w:pPr>
            <w:r>
              <w:rPr>
                <w:rFonts w:ascii="Arial" w:cs="Arial" w:eastAsia="Arial" w:hAnsi="Arial"/>
                <w:sz w:val="13"/>
                <w:szCs w:val="13"/>
                <w:b w:val="1"/>
                <w:bCs w:val="1"/>
                <w:color w:val="auto"/>
              </w:rPr>
              <w:t>Retirement</w:t>
            </w:r>
          </w:p>
        </w:tc>
        <w:tc>
          <w:tcPr>
            <w:tcW w:w="2100" w:type="dxa"/>
            <w:vAlign w:val="bottom"/>
            <w:tcBorders>
              <w:top w:val="single" w:sz="8" w:color="0072AF"/>
            </w:tcBorders>
          </w:tcPr>
          <w:p>
            <w:pPr>
              <w:jc w:val="center"/>
              <w:ind w:left="90"/>
              <w:spacing w:after="0"/>
              <w:rPr>
                <w:sz w:val="20"/>
                <w:szCs w:val="20"/>
                <w:color w:val="auto"/>
              </w:rPr>
            </w:pPr>
            <w:r>
              <w:rPr>
                <w:rFonts w:ascii="Arial" w:cs="Arial" w:eastAsia="Arial" w:hAnsi="Arial"/>
                <w:sz w:val="13"/>
                <w:szCs w:val="13"/>
                <w:b w:val="1"/>
                <w:bCs w:val="1"/>
                <w:color w:val="auto"/>
                <w:w w:val="96"/>
              </w:rPr>
              <w:t>Involuntary Not for Cause</w:t>
            </w:r>
          </w:p>
        </w:tc>
        <w:tc>
          <w:tcPr>
            <w:tcW w:w="1320" w:type="dxa"/>
            <w:vAlign w:val="bottom"/>
            <w:tcBorders>
              <w:top w:val="single" w:sz="8" w:color="0072AF"/>
            </w:tcBorders>
          </w:tcPr>
          <w:p>
            <w:pPr>
              <w:jc w:val="center"/>
              <w:ind w:left="71"/>
              <w:spacing w:after="0"/>
              <w:rPr>
                <w:sz w:val="20"/>
                <w:szCs w:val="20"/>
                <w:color w:val="auto"/>
              </w:rPr>
            </w:pPr>
            <w:r>
              <w:rPr>
                <w:rFonts w:ascii="Arial" w:cs="Arial" w:eastAsia="Arial" w:hAnsi="Arial"/>
                <w:sz w:val="13"/>
                <w:szCs w:val="13"/>
                <w:b w:val="1"/>
                <w:bCs w:val="1"/>
                <w:color w:val="auto"/>
                <w:w w:val="96"/>
              </w:rPr>
              <w:t>Change of Control</w:t>
            </w:r>
          </w:p>
        </w:tc>
        <w:tc>
          <w:tcPr>
            <w:tcW w:w="1000" w:type="dxa"/>
            <w:vAlign w:val="bottom"/>
            <w:tcBorders>
              <w:top w:val="single" w:sz="8" w:color="0072AF"/>
            </w:tcBorders>
          </w:tcPr>
          <w:p>
            <w:pPr>
              <w:jc w:val="center"/>
              <w:ind w:left="230"/>
              <w:spacing w:after="0"/>
              <w:rPr>
                <w:sz w:val="20"/>
                <w:szCs w:val="20"/>
                <w:color w:val="auto"/>
              </w:rPr>
            </w:pPr>
            <w:r>
              <w:rPr>
                <w:rFonts w:ascii="Arial" w:cs="Arial" w:eastAsia="Arial" w:hAnsi="Arial"/>
                <w:sz w:val="13"/>
                <w:szCs w:val="13"/>
                <w:b w:val="1"/>
                <w:bCs w:val="1"/>
                <w:color w:val="auto"/>
                <w:w w:val="98"/>
              </w:rPr>
              <w:t>Death and</w:t>
            </w:r>
          </w:p>
        </w:tc>
        <w:tc>
          <w:tcPr>
            <w:tcW w:w="0" w:type="dxa"/>
            <w:vAlign w:val="bottom"/>
          </w:tcPr>
          <w:p>
            <w:pPr>
              <w:spacing w:after="0"/>
              <w:rPr>
                <w:sz w:val="1"/>
                <w:szCs w:val="1"/>
                <w:color w:val="auto"/>
              </w:rPr>
            </w:pPr>
          </w:p>
        </w:tc>
      </w:tr>
      <w:tr>
        <w:trPr>
          <w:trHeight w:val="135"/>
        </w:trPr>
        <w:tc>
          <w:tcPr>
            <w:tcW w:w="1480" w:type="dxa"/>
            <w:vAlign w:val="bottom"/>
            <w:tcBorders>
              <w:right w:val="single" w:sz="8" w:color="0072AF"/>
            </w:tcBorders>
            <w:vMerge w:val="restart"/>
          </w:tcPr>
          <w:p>
            <w:pPr>
              <w:spacing w:after="0"/>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1"/>
                <w:szCs w:val="11"/>
                <w:color w:val="auto"/>
              </w:rPr>
            </w:pPr>
          </w:p>
        </w:tc>
        <w:tc>
          <w:tcPr>
            <w:tcW w:w="2080" w:type="dxa"/>
            <w:vAlign w:val="bottom"/>
            <w:vMerge w:val="restart"/>
          </w:tcPr>
          <w:p>
            <w:pPr>
              <w:spacing w:after="0"/>
              <w:rPr>
                <w:sz w:val="20"/>
                <w:szCs w:val="20"/>
                <w:color w:val="auto"/>
              </w:rPr>
            </w:pPr>
            <w:r>
              <w:rPr>
                <w:rFonts w:ascii="Arial" w:cs="Arial" w:eastAsia="Arial" w:hAnsi="Arial"/>
                <w:sz w:val="13"/>
                <w:szCs w:val="13"/>
                <w:b w:val="1"/>
                <w:bCs w:val="1"/>
                <w:color w:val="auto"/>
              </w:rPr>
              <w:t>Type of Payment or Benefit</w:t>
            </w:r>
          </w:p>
        </w:tc>
        <w:tc>
          <w:tcPr>
            <w:tcW w:w="1060" w:type="dxa"/>
            <w:vAlign w:val="bottom"/>
          </w:tcPr>
          <w:p>
            <w:pPr>
              <w:ind w:left="460"/>
              <w:spacing w:after="0" w:line="135" w:lineRule="exact"/>
              <w:rPr>
                <w:sz w:val="20"/>
                <w:szCs w:val="20"/>
                <w:color w:val="auto"/>
              </w:rPr>
            </w:pPr>
            <w:r>
              <w:rPr>
                <w:rFonts w:ascii="Arial" w:cs="Arial" w:eastAsia="Arial" w:hAnsi="Arial"/>
                <w:sz w:val="13"/>
                <w:szCs w:val="13"/>
                <w:b w:val="1"/>
                <w:bCs w:val="1"/>
                <w:color w:val="auto"/>
              </w:rPr>
              <w:t>Eligible</w:t>
            </w:r>
          </w:p>
        </w:tc>
        <w:tc>
          <w:tcPr>
            <w:tcW w:w="2100" w:type="dxa"/>
            <w:vAlign w:val="bottom"/>
          </w:tcPr>
          <w:p>
            <w:pPr>
              <w:jc w:val="center"/>
              <w:ind w:left="70"/>
              <w:spacing w:after="0" w:line="135" w:lineRule="exact"/>
              <w:rPr>
                <w:sz w:val="20"/>
                <w:szCs w:val="20"/>
                <w:color w:val="auto"/>
              </w:rPr>
            </w:pPr>
            <w:r>
              <w:rPr>
                <w:rFonts w:ascii="Arial" w:cs="Arial" w:eastAsia="Arial" w:hAnsi="Arial"/>
                <w:sz w:val="13"/>
                <w:szCs w:val="13"/>
                <w:b w:val="1"/>
                <w:bCs w:val="1"/>
                <w:color w:val="auto"/>
                <w:w w:val="96"/>
              </w:rPr>
              <w:t>Termination</w:t>
            </w:r>
          </w:p>
        </w:tc>
        <w:tc>
          <w:tcPr>
            <w:tcW w:w="1320" w:type="dxa"/>
            <w:vAlign w:val="bottom"/>
          </w:tcPr>
          <w:p>
            <w:pPr>
              <w:jc w:val="center"/>
              <w:ind w:left="71"/>
              <w:spacing w:after="0" w:line="135" w:lineRule="exact"/>
              <w:rPr>
                <w:sz w:val="20"/>
                <w:szCs w:val="20"/>
                <w:color w:val="auto"/>
              </w:rPr>
            </w:pPr>
            <w:r>
              <w:rPr>
                <w:rFonts w:ascii="Arial" w:cs="Arial" w:eastAsia="Arial" w:hAnsi="Arial"/>
                <w:sz w:val="13"/>
                <w:szCs w:val="13"/>
                <w:b w:val="1"/>
                <w:bCs w:val="1"/>
                <w:color w:val="auto"/>
                <w:w w:val="94"/>
              </w:rPr>
              <w:t>with Termination</w:t>
            </w:r>
          </w:p>
        </w:tc>
        <w:tc>
          <w:tcPr>
            <w:tcW w:w="1000" w:type="dxa"/>
            <w:vAlign w:val="bottom"/>
          </w:tcPr>
          <w:p>
            <w:pPr>
              <w:jc w:val="center"/>
              <w:ind w:left="250"/>
              <w:spacing w:after="0" w:line="135" w:lineRule="exact"/>
              <w:rPr>
                <w:sz w:val="20"/>
                <w:szCs w:val="20"/>
                <w:color w:val="auto"/>
              </w:rPr>
            </w:pPr>
            <w:r>
              <w:rPr>
                <w:rFonts w:ascii="Arial" w:cs="Arial" w:eastAsia="Arial" w:hAnsi="Arial"/>
                <w:sz w:val="13"/>
                <w:szCs w:val="13"/>
                <w:b w:val="1"/>
                <w:bCs w:val="1"/>
                <w:color w:val="auto"/>
                <w:w w:val="96"/>
              </w:rPr>
              <w:t>Disability</w:t>
            </w:r>
          </w:p>
        </w:tc>
        <w:tc>
          <w:tcPr>
            <w:tcW w:w="0" w:type="dxa"/>
            <w:vAlign w:val="bottom"/>
          </w:tcPr>
          <w:p>
            <w:pPr>
              <w:spacing w:after="0"/>
              <w:rPr>
                <w:sz w:val="1"/>
                <w:szCs w:val="1"/>
                <w:color w:val="auto"/>
              </w:rPr>
            </w:pPr>
          </w:p>
        </w:tc>
      </w:tr>
      <w:tr>
        <w:trPr>
          <w:trHeight w:val="229"/>
        </w:trPr>
        <w:tc>
          <w:tcPr>
            <w:tcW w:w="1480" w:type="dxa"/>
            <w:vAlign w:val="bottom"/>
            <w:tcBorders>
              <w:bottom w:val="single" w:sz="8" w:color="0072AF"/>
              <w:right w:val="single" w:sz="8" w:color="0072AF"/>
            </w:tcBorders>
            <w:vMerge w:val="continue"/>
          </w:tcPr>
          <w:p>
            <w:pPr>
              <w:spacing w:after="0"/>
              <w:rPr>
                <w:sz w:val="19"/>
                <w:szCs w:val="19"/>
                <w:color w:val="auto"/>
              </w:rPr>
            </w:pPr>
          </w:p>
        </w:tc>
        <w:tc>
          <w:tcPr>
            <w:tcW w:w="140" w:type="dxa"/>
            <w:vAlign w:val="bottom"/>
            <w:tcBorders>
              <w:bottom w:val="single" w:sz="8" w:color="0072AF"/>
            </w:tcBorders>
          </w:tcPr>
          <w:p>
            <w:pPr>
              <w:spacing w:after="0"/>
              <w:rPr>
                <w:sz w:val="19"/>
                <w:szCs w:val="19"/>
                <w:color w:val="auto"/>
              </w:rPr>
            </w:pPr>
          </w:p>
        </w:tc>
        <w:tc>
          <w:tcPr>
            <w:tcW w:w="2080" w:type="dxa"/>
            <w:vAlign w:val="bottom"/>
            <w:tcBorders>
              <w:bottom w:val="single" w:sz="8" w:color="0072AF"/>
            </w:tcBorders>
            <w:vMerge w:val="continue"/>
          </w:tcPr>
          <w:p>
            <w:pPr>
              <w:spacing w:after="0"/>
              <w:rPr>
                <w:sz w:val="19"/>
                <w:szCs w:val="19"/>
                <w:color w:val="auto"/>
              </w:rPr>
            </w:pPr>
          </w:p>
        </w:tc>
        <w:tc>
          <w:tcPr>
            <w:tcW w:w="1060" w:type="dxa"/>
            <w:vAlign w:val="bottom"/>
            <w:tcBorders>
              <w:bottom w:val="single" w:sz="8" w:color="0072AF"/>
            </w:tcBorders>
          </w:tcPr>
          <w:p>
            <w:pPr>
              <w:ind w:left="640"/>
              <w:spacing w:after="0"/>
              <w:rPr>
                <w:sz w:val="20"/>
                <w:szCs w:val="20"/>
                <w:color w:val="auto"/>
              </w:rPr>
            </w:pPr>
            <w:r>
              <w:rPr>
                <w:rFonts w:ascii="Arial" w:cs="Arial" w:eastAsia="Arial" w:hAnsi="Arial"/>
                <w:sz w:val="13"/>
                <w:szCs w:val="13"/>
                <w:b w:val="1"/>
                <w:bCs w:val="1"/>
                <w:color w:val="auto"/>
              </w:rPr>
              <w:t>($)</w:t>
            </w:r>
          </w:p>
        </w:tc>
        <w:tc>
          <w:tcPr>
            <w:tcW w:w="2100" w:type="dxa"/>
            <w:vAlign w:val="bottom"/>
            <w:tcBorders>
              <w:bottom w:val="single" w:sz="8" w:color="0072AF"/>
            </w:tcBorders>
          </w:tcPr>
          <w:p>
            <w:pPr>
              <w:jc w:val="center"/>
              <w:ind w:left="110"/>
              <w:spacing w:after="0"/>
              <w:rPr>
                <w:sz w:val="20"/>
                <w:szCs w:val="20"/>
                <w:color w:val="auto"/>
              </w:rPr>
            </w:pPr>
            <w:r>
              <w:rPr>
                <w:rFonts w:ascii="Arial" w:cs="Arial" w:eastAsia="Arial" w:hAnsi="Arial"/>
                <w:sz w:val="13"/>
                <w:szCs w:val="13"/>
                <w:b w:val="1"/>
                <w:bCs w:val="1"/>
                <w:color w:val="auto"/>
              </w:rPr>
              <w:t>($)</w:t>
            </w:r>
          </w:p>
        </w:tc>
        <w:tc>
          <w:tcPr>
            <w:tcW w:w="1320" w:type="dxa"/>
            <w:vAlign w:val="bottom"/>
            <w:tcBorders>
              <w:bottom w:val="single" w:sz="8" w:color="0072AF"/>
            </w:tcBorders>
          </w:tcPr>
          <w:p>
            <w:pPr>
              <w:jc w:val="center"/>
              <w:ind w:left="91"/>
              <w:spacing w:after="0" w:line="229" w:lineRule="exact"/>
              <w:rPr>
                <w:sz w:val="20"/>
                <w:szCs w:val="20"/>
                <w:color w:val="auto"/>
              </w:rPr>
            </w:pPr>
            <w:r>
              <w:rPr>
                <w:rFonts w:ascii="Arial" w:cs="Arial" w:eastAsia="Arial" w:hAnsi="Arial"/>
                <w:sz w:val="25"/>
                <w:szCs w:val="25"/>
                <w:b w:val="1"/>
                <w:bCs w:val="1"/>
                <w:color w:val="auto"/>
                <w:w w:val="85"/>
                <w:vertAlign w:val="subscript"/>
              </w:rPr>
              <w:t>($)</w:t>
            </w:r>
            <w:r>
              <w:rPr>
                <w:rFonts w:ascii="Arial" w:cs="Arial" w:eastAsia="Arial" w:hAnsi="Arial"/>
                <w:sz w:val="10"/>
                <w:szCs w:val="10"/>
                <w:b w:val="1"/>
                <w:bCs w:val="1"/>
                <w:color w:val="auto"/>
                <w:w w:val="85"/>
              </w:rPr>
              <w:t>(2)</w:t>
            </w:r>
          </w:p>
        </w:tc>
        <w:tc>
          <w:tcPr>
            <w:tcW w:w="1000" w:type="dxa"/>
            <w:vAlign w:val="bottom"/>
            <w:tcBorders>
              <w:bottom w:val="single" w:sz="8" w:color="0072AF"/>
            </w:tcBorders>
          </w:tcPr>
          <w:p>
            <w:pPr>
              <w:jc w:val="center"/>
              <w:ind w:left="270"/>
              <w:spacing w:after="0"/>
              <w:rPr>
                <w:sz w:val="20"/>
                <w:szCs w:val="20"/>
                <w:color w:val="auto"/>
              </w:rPr>
            </w:pPr>
            <w:r>
              <w:rPr>
                <w:rFonts w:ascii="Arial" w:cs="Arial" w:eastAsia="Arial" w:hAnsi="Arial"/>
                <w:sz w:val="13"/>
                <w:szCs w:val="13"/>
                <w:b w:val="1"/>
                <w:bCs w:val="1"/>
                <w:color w:val="auto"/>
                <w:w w:val="87"/>
              </w:rPr>
              <w:t>($)</w:t>
            </w:r>
          </w:p>
        </w:tc>
        <w:tc>
          <w:tcPr>
            <w:tcW w:w="0" w:type="dxa"/>
            <w:vAlign w:val="bottom"/>
          </w:tcPr>
          <w:p>
            <w:pPr>
              <w:spacing w:after="0"/>
              <w:rPr>
                <w:sz w:val="1"/>
                <w:szCs w:val="1"/>
                <w:color w:val="auto"/>
              </w:rPr>
            </w:pPr>
          </w:p>
        </w:tc>
      </w:tr>
      <w:tr>
        <w:trPr>
          <w:trHeight w:val="248"/>
        </w:trPr>
        <w:tc>
          <w:tcPr>
            <w:tcW w:w="1480" w:type="dxa"/>
            <w:vAlign w:val="bottom"/>
            <w:tcBorders>
              <w:right w:val="single" w:sz="8" w:color="0072AF"/>
            </w:tcBorders>
          </w:tcPr>
          <w:p>
            <w:pPr>
              <w:spacing w:after="0"/>
              <w:rPr>
                <w:sz w:val="20"/>
                <w:szCs w:val="20"/>
                <w:color w:val="auto"/>
              </w:rPr>
            </w:pPr>
            <w:r>
              <w:rPr>
                <w:rFonts w:ascii="Arial" w:cs="Arial" w:eastAsia="Arial" w:hAnsi="Arial"/>
                <w:sz w:val="14"/>
                <w:szCs w:val="14"/>
                <w:b w:val="1"/>
                <w:bCs w:val="1"/>
                <w:color w:val="auto"/>
              </w:rPr>
              <w:t>James Fairweather</w:t>
            </w:r>
          </w:p>
        </w:tc>
        <w:tc>
          <w:tcPr>
            <w:tcW w:w="140" w:type="dxa"/>
            <w:vAlign w:val="bottom"/>
            <w:shd w:val="clear" w:color="auto" w:fill="CBCEE0"/>
          </w:tcPr>
          <w:p>
            <w:pPr>
              <w:spacing w:after="0"/>
              <w:rPr>
                <w:sz w:val="21"/>
                <w:szCs w:val="21"/>
                <w:color w:val="auto"/>
              </w:rPr>
            </w:pPr>
          </w:p>
        </w:tc>
        <w:tc>
          <w:tcPr>
            <w:tcW w:w="2080" w:type="dxa"/>
            <w:vAlign w:val="bottom"/>
            <w:shd w:val="clear" w:color="auto" w:fill="CBCEE0"/>
          </w:tcPr>
          <w:p>
            <w:pPr>
              <w:spacing w:after="0"/>
              <w:rPr>
                <w:sz w:val="20"/>
                <w:szCs w:val="20"/>
                <w:color w:val="auto"/>
              </w:rPr>
            </w:pPr>
            <w:r>
              <w:rPr>
                <w:rFonts w:ascii="Arial" w:cs="Arial" w:eastAsia="Arial" w:hAnsi="Arial"/>
                <w:sz w:val="14"/>
                <w:szCs w:val="14"/>
                <w:color w:val="auto"/>
              </w:rPr>
              <w:t>Severance</w:t>
            </w:r>
          </w:p>
        </w:tc>
        <w:tc>
          <w:tcPr>
            <w:tcW w:w="1060" w:type="dxa"/>
            <w:vAlign w:val="bottom"/>
            <w:shd w:val="clear" w:color="auto" w:fill="CBCEE0"/>
          </w:tcPr>
          <w:p>
            <w:pPr>
              <w:ind w:left="640"/>
              <w:spacing w:after="0"/>
              <w:rPr>
                <w:sz w:val="20"/>
                <w:szCs w:val="20"/>
                <w:color w:val="auto"/>
              </w:rPr>
            </w:pPr>
            <w:r>
              <w:rPr>
                <w:rFonts w:ascii="Arial" w:cs="Arial" w:eastAsia="Arial" w:hAnsi="Arial"/>
                <w:sz w:val="14"/>
                <w:szCs w:val="14"/>
                <w:color w:val="auto"/>
              </w:rPr>
              <w:t>-</w:t>
            </w:r>
          </w:p>
        </w:tc>
        <w:tc>
          <w:tcPr>
            <w:tcW w:w="2100" w:type="dxa"/>
            <w:vAlign w:val="bottom"/>
            <w:shd w:val="clear" w:color="auto" w:fill="CBCEE0"/>
          </w:tcPr>
          <w:p>
            <w:pPr>
              <w:jc w:val="right"/>
              <w:ind w:right="90"/>
              <w:spacing w:after="0"/>
              <w:rPr>
                <w:sz w:val="20"/>
                <w:szCs w:val="20"/>
                <w:color w:val="auto"/>
              </w:rPr>
            </w:pPr>
            <w:r>
              <w:rPr>
                <w:rFonts w:ascii="Arial" w:cs="Arial" w:eastAsia="Arial" w:hAnsi="Arial"/>
                <w:sz w:val="14"/>
                <w:szCs w:val="14"/>
                <w:color w:val="auto"/>
              </w:rPr>
              <w:t>22,617 - 1,411,315</w:t>
            </w:r>
          </w:p>
        </w:tc>
        <w:tc>
          <w:tcPr>
            <w:tcW w:w="1320" w:type="dxa"/>
            <w:vAlign w:val="bottom"/>
            <w:shd w:val="clear" w:color="auto" w:fill="CBCEE0"/>
          </w:tcPr>
          <w:p>
            <w:pPr>
              <w:jc w:val="center"/>
              <w:ind w:left="51"/>
              <w:spacing w:after="0"/>
              <w:rPr>
                <w:sz w:val="20"/>
                <w:szCs w:val="20"/>
                <w:color w:val="auto"/>
              </w:rPr>
            </w:pPr>
            <w:r>
              <w:rPr>
                <w:rFonts w:ascii="Arial" w:cs="Arial" w:eastAsia="Arial" w:hAnsi="Arial"/>
                <w:sz w:val="14"/>
                <w:szCs w:val="14"/>
                <w:color w:val="auto"/>
              </w:rPr>
              <w:t>1,881,754</w:t>
            </w:r>
          </w:p>
        </w:tc>
        <w:tc>
          <w:tcPr>
            <w:tcW w:w="1000" w:type="dxa"/>
            <w:vAlign w:val="bottom"/>
            <w:shd w:val="clear" w:color="auto" w:fill="CBCEE0"/>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480" w:type="dxa"/>
            <w:vAlign w:val="bottom"/>
            <w:tcBorders>
              <w:right w:val="single" w:sz="8" w:color="0072AF"/>
            </w:tcBorders>
          </w:tcPr>
          <w:p>
            <w:pPr>
              <w:spacing w:after="0"/>
              <w:rPr>
                <w:sz w:val="22"/>
                <w:szCs w:val="22"/>
                <w:color w:val="auto"/>
              </w:rPr>
            </w:pPr>
          </w:p>
        </w:tc>
        <w:tc>
          <w:tcPr>
            <w:tcW w:w="140" w:type="dxa"/>
            <w:vAlign w:val="bottom"/>
            <w:shd w:val="clear" w:color="auto" w:fill="CBCEE0"/>
          </w:tcPr>
          <w:p>
            <w:pPr>
              <w:spacing w:after="0"/>
              <w:rPr>
                <w:sz w:val="22"/>
                <w:szCs w:val="22"/>
                <w:color w:val="auto"/>
              </w:rPr>
            </w:pPr>
          </w:p>
        </w:tc>
        <w:tc>
          <w:tcPr>
            <w:tcW w:w="2080" w:type="dxa"/>
            <w:vAlign w:val="bottom"/>
            <w:shd w:val="clear" w:color="auto" w:fill="CBCEE0"/>
          </w:tcPr>
          <w:p>
            <w:pPr>
              <w:spacing w:after="0"/>
              <w:rPr>
                <w:sz w:val="20"/>
                <w:szCs w:val="20"/>
                <w:color w:val="auto"/>
              </w:rPr>
            </w:pPr>
            <w:r>
              <w:rPr>
                <w:rFonts w:ascii="Arial" w:cs="Arial" w:eastAsia="Arial" w:hAnsi="Arial"/>
                <w:sz w:val="14"/>
                <w:szCs w:val="14"/>
                <w:color w:val="auto"/>
              </w:rPr>
              <w:t>Annual Incentive</w:t>
            </w:r>
          </w:p>
        </w:tc>
        <w:tc>
          <w:tcPr>
            <w:tcW w:w="1060" w:type="dxa"/>
            <w:vAlign w:val="bottom"/>
            <w:shd w:val="clear" w:color="auto" w:fill="CBCEE0"/>
          </w:tcPr>
          <w:p>
            <w:pPr>
              <w:ind w:left="640"/>
              <w:spacing w:after="0"/>
              <w:rPr>
                <w:sz w:val="20"/>
                <w:szCs w:val="20"/>
                <w:color w:val="auto"/>
              </w:rPr>
            </w:pPr>
            <w:r>
              <w:rPr>
                <w:rFonts w:ascii="Arial" w:cs="Arial" w:eastAsia="Arial" w:hAnsi="Arial"/>
                <w:sz w:val="14"/>
                <w:szCs w:val="14"/>
                <w:color w:val="auto"/>
              </w:rPr>
              <w:t>-</w:t>
            </w:r>
          </w:p>
        </w:tc>
        <w:tc>
          <w:tcPr>
            <w:tcW w:w="2100" w:type="dxa"/>
            <w:vAlign w:val="bottom"/>
            <w:shd w:val="clear" w:color="auto" w:fill="CBCEE0"/>
          </w:tcPr>
          <w:p>
            <w:pPr>
              <w:jc w:val="right"/>
              <w:ind w:right="90"/>
              <w:spacing w:after="0"/>
              <w:rPr>
                <w:sz w:val="20"/>
                <w:szCs w:val="20"/>
                <w:color w:val="auto"/>
              </w:rPr>
            </w:pPr>
            <w:r>
              <w:rPr>
                <w:rFonts w:ascii="Arial" w:cs="Arial" w:eastAsia="Arial" w:hAnsi="Arial"/>
                <w:sz w:val="14"/>
                <w:szCs w:val="14"/>
                <w:color w:val="auto"/>
              </w:rPr>
              <w:t>0 - 152,422</w:t>
            </w:r>
          </w:p>
        </w:tc>
        <w:tc>
          <w:tcPr>
            <w:tcW w:w="1320" w:type="dxa"/>
            <w:vAlign w:val="bottom"/>
            <w:shd w:val="clear" w:color="auto" w:fill="CBCEE0"/>
          </w:tcPr>
          <w:p>
            <w:pPr>
              <w:jc w:val="right"/>
              <w:ind w:right="231"/>
              <w:spacing w:after="0"/>
              <w:rPr>
                <w:sz w:val="20"/>
                <w:szCs w:val="20"/>
                <w:color w:val="auto"/>
              </w:rPr>
            </w:pPr>
            <w:r>
              <w:rPr>
                <w:rFonts w:ascii="Arial" w:cs="Arial" w:eastAsia="Arial" w:hAnsi="Arial"/>
                <w:sz w:val="14"/>
                <w:szCs w:val="14"/>
                <w:color w:val="auto"/>
              </w:rPr>
              <w:t>352,829</w:t>
            </w:r>
          </w:p>
        </w:tc>
        <w:tc>
          <w:tcPr>
            <w:tcW w:w="1000" w:type="dxa"/>
            <w:vAlign w:val="bottom"/>
            <w:shd w:val="clear" w:color="auto" w:fill="CBCEE0"/>
          </w:tcPr>
          <w:p>
            <w:pPr>
              <w:jc w:val="right"/>
              <w:spacing w:after="0"/>
              <w:rPr>
                <w:sz w:val="20"/>
                <w:szCs w:val="20"/>
                <w:color w:val="auto"/>
              </w:rPr>
            </w:pPr>
            <w:r>
              <w:rPr>
                <w:rFonts w:ascii="Arial" w:cs="Arial" w:eastAsia="Arial" w:hAnsi="Arial"/>
                <w:sz w:val="14"/>
                <w:szCs w:val="14"/>
                <w:color w:val="auto"/>
              </w:rPr>
              <w:t>152,422</w:t>
            </w:r>
          </w:p>
        </w:tc>
        <w:tc>
          <w:tcPr>
            <w:tcW w:w="0" w:type="dxa"/>
            <w:vAlign w:val="bottom"/>
          </w:tcPr>
          <w:p>
            <w:pPr>
              <w:spacing w:after="0"/>
              <w:rPr>
                <w:sz w:val="1"/>
                <w:szCs w:val="1"/>
                <w:color w:val="auto"/>
              </w:rPr>
            </w:pPr>
          </w:p>
        </w:tc>
      </w:tr>
      <w:tr>
        <w:trPr>
          <w:trHeight w:val="332"/>
        </w:trPr>
        <w:tc>
          <w:tcPr>
            <w:tcW w:w="1480" w:type="dxa"/>
            <w:vAlign w:val="bottom"/>
            <w:tcBorders>
              <w:right w:val="single" w:sz="8" w:color="0072AF"/>
            </w:tcBorders>
          </w:tcPr>
          <w:p>
            <w:pPr>
              <w:spacing w:after="0"/>
              <w:rPr>
                <w:sz w:val="24"/>
                <w:szCs w:val="24"/>
                <w:color w:val="auto"/>
              </w:rPr>
            </w:pPr>
          </w:p>
        </w:tc>
        <w:tc>
          <w:tcPr>
            <w:tcW w:w="140" w:type="dxa"/>
            <w:vAlign w:val="bottom"/>
            <w:shd w:val="clear" w:color="auto" w:fill="CBCEE0"/>
          </w:tcPr>
          <w:p>
            <w:pPr>
              <w:spacing w:after="0"/>
              <w:rPr>
                <w:sz w:val="24"/>
                <w:szCs w:val="24"/>
                <w:color w:val="auto"/>
              </w:rPr>
            </w:pPr>
          </w:p>
        </w:tc>
        <w:tc>
          <w:tcPr>
            <w:tcW w:w="2080" w:type="dxa"/>
            <w:vAlign w:val="bottom"/>
            <w:shd w:val="clear" w:color="auto" w:fill="CBCEE0"/>
          </w:tcPr>
          <w:p>
            <w:pPr>
              <w:spacing w:after="0"/>
              <w:rPr>
                <w:sz w:val="20"/>
                <w:szCs w:val="20"/>
                <w:color w:val="auto"/>
              </w:rPr>
            </w:pPr>
            <w:r>
              <w:rPr>
                <w:rFonts w:ascii="Arial" w:cs="Arial" w:eastAsia="Arial" w:hAnsi="Arial"/>
                <w:sz w:val="14"/>
                <w:szCs w:val="14"/>
                <w:color w:val="auto"/>
              </w:rPr>
              <w:t>Stock Options Accelerated</w:t>
            </w:r>
            <w:r>
              <w:rPr>
                <w:rFonts w:ascii="Arial" w:cs="Arial" w:eastAsia="Arial" w:hAnsi="Arial"/>
                <w:sz w:val="23"/>
                <w:szCs w:val="23"/>
                <w:color w:val="auto"/>
                <w:vertAlign w:val="superscript"/>
              </w:rPr>
              <w:t>(3)</w:t>
            </w:r>
          </w:p>
        </w:tc>
        <w:tc>
          <w:tcPr>
            <w:tcW w:w="1060" w:type="dxa"/>
            <w:vAlign w:val="bottom"/>
            <w:shd w:val="clear" w:color="auto" w:fill="CBCEE0"/>
          </w:tcPr>
          <w:p>
            <w:pPr>
              <w:ind w:left="640"/>
              <w:spacing w:after="0"/>
              <w:rPr>
                <w:sz w:val="20"/>
                <w:szCs w:val="20"/>
                <w:color w:val="auto"/>
              </w:rPr>
            </w:pPr>
            <w:r>
              <w:rPr>
                <w:rFonts w:ascii="Arial" w:cs="Arial" w:eastAsia="Arial" w:hAnsi="Arial"/>
                <w:sz w:val="14"/>
                <w:szCs w:val="14"/>
                <w:color w:val="auto"/>
              </w:rPr>
              <w:t>-</w:t>
            </w:r>
          </w:p>
        </w:tc>
        <w:tc>
          <w:tcPr>
            <w:tcW w:w="2100" w:type="dxa"/>
            <w:vAlign w:val="bottom"/>
            <w:shd w:val="clear" w:color="auto" w:fill="CBCEE0"/>
          </w:tcPr>
          <w:p>
            <w:pPr>
              <w:jc w:val="right"/>
              <w:ind w:right="9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BCEE0"/>
          </w:tcPr>
          <w:p>
            <w:pPr>
              <w:jc w:val="right"/>
              <w:ind w:right="251"/>
              <w:spacing w:after="0"/>
              <w:rPr>
                <w:sz w:val="20"/>
                <w:szCs w:val="20"/>
                <w:color w:val="auto"/>
              </w:rPr>
            </w:pPr>
            <w:r>
              <w:rPr>
                <w:rFonts w:ascii="Arial" w:cs="Arial" w:eastAsia="Arial" w:hAnsi="Arial"/>
                <w:sz w:val="14"/>
                <w:szCs w:val="14"/>
                <w:color w:val="auto"/>
              </w:rPr>
              <w:t>-</w:t>
            </w:r>
          </w:p>
        </w:tc>
        <w:tc>
          <w:tcPr>
            <w:tcW w:w="1000" w:type="dxa"/>
            <w:vAlign w:val="bottom"/>
            <w:shd w:val="clear" w:color="auto" w:fill="CBCEE0"/>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480" w:type="dxa"/>
            <w:vAlign w:val="bottom"/>
            <w:tcBorders>
              <w:right w:val="single" w:sz="8" w:color="0072AF"/>
            </w:tcBorders>
          </w:tcPr>
          <w:p>
            <w:pPr>
              <w:spacing w:after="0"/>
              <w:rPr>
                <w:sz w:val="17"/>
                <w:szCs w:val="17"/>
                <w:color w:val="auto"/>
              </w:rPr>
            </w:pPr>
          </w:p>
        </w:tc>
        <w:tc>
          <w:tcPr>
            <w:tcW w:w="140" w:type="dxa"/>
            <w:vAlign w:val="bottom"/>
            <w:shd w:val="clear" w:color="auto" w:fill="CBCEE0"/>
          </w:tcPr>
          <w:p>
            <w:pPr>
              <w:spacing w:after="0"/>
              <w:rPr>
                <w:sz w:val="17"/>
                <w:szCs w:val="17"/>
                <w:color w:val="auto"/>
              </w:rPr>
            </w:pPr>
          </w:p>
        </w:tc>
        <w:tc>
          <w:tcPr>
            <w:tcW w:w="2080" w:type="dxa"/>
            <w:vAlign w:val="bottom"/>
            <w:shd w:val="clear" w:color="auto" w:fill="CBCEE0"/>
          </w:tcPr>
          <w:p>
            <w:pPr>
              <w:spacing w:after="0"/>
              <w:rPr>
                <w:sz w:val="20"/>
                <w:szCs w:val="20"/>
                <w:color w:val="auto"/>
              </w:rPr>
            </w:pPr>
            <w:r>
              <w:rPr>
                <w:rFonts w:ascii="Arial" w:cs="Arial" w:eastAsia="Arial" w:hAnsi="Arial"/>
                <w:sz w:val="14"/>
                <w:szCs w:val="14"/>
                <w:color w:val="auto"/>
              </w:rPr>
              <w:t>Restricted Stock Units</w:t>
            </w:r>
          </w:p>
        </w:tc>
        <w:tc>
          <w:tcPr>
            <w:tcW w:w="1060" w:type="dxa"/>
            <w:vAlign w:val="bottom"/>
            <w:shd w:val="clear" w:color="auto" w:fill="CBCEE0"/>
          </w:tcPr>
          <w:p>
            <w:pPr>
              <w:spacing w:after="0"/>
              <w:rPr>
                <w:sz w:val="17"/>
                <w:szCs w:val="17"/>
                <w:color w:val="auto"/>
              </w:rPr>
            </w:pPr>
          </w:p>
        </w:tc>
        <w:tc>
          <w:tcPr>
            <w:tcW w:w="2100" w:type="dxa"/>
            <w:vAlign w:val="bottom"/>
            <w:shd w:val="clear" w:color="auto" w:fill="CBCEE0"/>
          </w:tcPr>
          <w:p>
            <w:pPr>
              <w:spacing w:after="0"/>
              <w:rPr>
                <w:sz w:val="17"/>
                <w:szCs w:val="17"/>
                <w:color w:val="auto"/>
              </w:rPr>
            </w:pPr>
          </w:p>
        </w:tc>
        <w:tc>
          <w:tcPr>
            <w:tcW w:w="1320" w:type="dxa"/>
            <w:vAlign w:val="bottom"/>
            <w:shd w:val="clear" w:color="auto" w:fill="CBCEE0"/>
          </w:tcPr>
          <w:p>
            <w:pPr>
              <w:spacing w:after="0"/>
              <w:rPr>
                <w:sz w:val="17"/>
                <w:szCs w:val="17"/>
                <w:color w:val="auto"/>
              </w:rPr>
            </w:pPr>
          </w:p>
        </w:tc>
        <w:tc>
          <w:tcPr>
            <w:tcW w:w="1000" w:type="dxa"/>
            <w:vAlign w:val="bottom"/>
            <w:shd w:val="clear" w:color="auto" w:fill="CBCEE0"/>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480" w:type="dxa"/>
            <w:vAlign w:val="bottom"/>
            <w:tcBorders>
              <w:right w:val="single" w:sz="8" w:color="0072AF"/>
            </w:tcBorders>
          </w:tcPr>
          <w:p>
            <w:pPr>
              <w:spacing w:after="0"/>
              <w:rPr>
                <w:sz w:val="22"/>
                <w:szCs w:val="22"/>
                <w:color w:val="auto"/>
              </w:rPr>
            </w:pPr>
          </w:p>
        </w:tc>
        <w:tc>
          <w:tcPr>
            <w:tcW w:w="140" w:type="dxa"/>
            <w:vAlign w:val="bottom"/>
            <w:shd w:val="clear" w:color="auto" w:fill="CBCEE0"/>
          </w:tcPr>
          <w:p>
            <w:pPr>
              <w:spacing w:after="0"/>
              <w:rPr>
                <w:sz w:val="22"/>
                <w:szCs w:val="22"/>
                <w:color w:val="auto"/>
              </w:rPr>
            </w:pPr>
          </w:p>
        </w:tc>
        <w:tc>
          <w:tcPr>
            <w:tcW w:w="2080" w:type="dxa"/>
            <w:vAlign w:val="bottom"/>
            <w:shd w:val="clear" w:color="auto" w:fill="CBCEE0"/>
          </w:tcPr>
          <w:p>
            <w:pPr>
              <w:spacing w:after="0" w:line="255" w:lineRule="exact"/>
              <w:rPr>
                <w:sz w:val="20"/>
                <w:szCs w:val="20"/>
                <w:color w:val="auto"/>
              </w:rPr>
            </w:pPr>
            <w:r>
              <w:rPr>
                <w:rFonts w:ascii="Arial" w:cs="Arial" w:eastAsia="Arial" w:hAnsi="Arial"/>
                <w:sz w:val="14"/>
                <w:szCs w:val="14"/>
                <w:color w:val="auto"/>
              </w:rPr>
              <w:t>Accelerated</w:t>
            </w:r>
            <w:r>
              <w:rPr>
                <w:rFonts w:ascii="Arial" w:cs="Arial" w:eastAsia="Arial" w:hAnsi="Arial"/>
                <w:sz w:val="23"/>
                <w:szCs w:val="23"/>
                <w:color w:val="auto"/>
                <w:vertAlign w:val="superscript"/>
              </w:rPr>
              <w:t>(4)</w:t>
            </w:r>
          </w:p>
        </w:tc>
        <w:tc>
          <w:tcPr>
            <w:tcW w:w="1060" w:type="dxa"/>
            <w:vAlign w:val="bottom"/>
            <w:shd w:val="clear" w:color="auto" w:fill="CBCEE0"/>
          </w:tcPr>
          <w:p>
            <w:pPr>
              <w:ind w:left="640"/>
              <w:spacing w:after="0"/>
              <w:rPr>
                <w:sz w:val="20"/>
                <w:szCs w:val="20"/>
                <w:color w:val="auto"/>
              </w:rPr>
            </w:pPr>
            <w:r>
              <w:rPr>
                <w:rFonts w:ascii="Arial" w:cs="Arial" w:eastAsia="Arial" w:hAnsi="Arial"/>
                <w:sz w:val="14"/>
                <w:szCs w:val="14"/>
                <w:color w:val="auto"/>
              </w:rPr>
              <w:t>-</w:t>
            </w:r>
          </w:p>
        </w:tc>
        <w:tc>
          <w:tcPr>
            <w:tcW w:w="2100" w:type="dxa"/>
            <w:vAlign w:val="bottom"/>
            <w:shd w:val="clear" w:color="auto" w:fill="CBCEE0"/>
          </w:tcPr>
          <w:p>
            <w:pPr>
              <w:jc w:val="right"/>
              <w:ind w:right="90"/>
              <w:spacing w:after="0"/>
              <w:rPr>
                <w:sz w:val="20"/>
                <w:szCs w:val="20"/>
                <w:color w:val="auto"/>
              </w:rPr>
            </w:pPr>
            <w:r>
              <w:rPr>
                <w:rFonts w:ascii="Arial" w:cs="Arial" w:eastAsia="Arial" w:hAnsi="Arial"/>
                <w:sz w:val="14"/>
                <w:szCs w:val="14"/>
                <w:color w:val="auto"/>
              </w:rPr>
              <w:t>0 - 133,109</w:t>
            </w:r>
          </w:p>
        </w:tc>
        <w:tc>
          <w:tcPr>
            <w:tcW w:w="1320" w:type="dxa"/>
            <w:vAlign w:val="bottom"/>
            <w:shd w:val="clear" w:color="auto" w:fill="CBCEE0"/>
          </w:tcPr>
          <w:p>
            <w:pPr>
              <w:jc w:val="right"/>
              <w:ind w:right="231"/>
              <w:spacing w:after="0"/>
              <w:rPr>
                <w:sz w:val="20"/>
                <w:szCs w:val="20"/>
                <w:color w:val="auto"/>
              </w:rPr>
            </w:pPr>
            <w:r>
              <w:rPr>
                <w:rFonts w:ascii="Arial" w:cs="Arial" w:eastAsia="Arial" w:hAnsi="Arial"/>
                <w:sz w:val="14"/>
                <w:szCs w:val="14"/>
                <w:color w:val="auto"/>
              </w:rPr>
              <w:t>776,032</w:t>
            </w:r>
          </w:p>
        </w:tc>
        <w:tc>
          <w:tcPr>
            <w:tcW w:w="1000" w:type="dxa"/>
            <w:vAlign w:val="bottom"/>
            <w:shd w:val="clear" w:color="auto" w:fill="CBCEE0"/>
          </w:tcPr>
          <w:p>
            <w:pPr>
              <w:jc w:val="right"/>
              <w:spacing w:after="0"/>
              <w:rPr>
                <w:sz w:val="20"/>
                <w:szCs w:val="20"/>
                <w:color w:val="auto"/>
              </w:rPr>
            </w:pPr>
            <w:r>
              <w:rPr>
                <w:rFonts w:ascii="Arial" w:cs="Arial" w:eastAsia="Arial" w:hAnsi="Arial"/>
                <w:sz w:val="14"/>
                <w:szCs w:val="14"/>
                <w:color w:val="auto"/>
              </w:rPr>
              <w:t>776,032</w:t>
            </w:r>
          </w:p>
        </w:tc>
        <w:tc>
          <w:tcPr>
            <w:tcW w:w="0" w:type="dxa"/>
            <w:vAlign w:val="bottom"/>
          </w:tcPr>
          <w:p>
            <w:pPr>
              <w:spacing w:after="0"/>
              <w:rPr>
                <w:sz w:val="1"/>
                <w:szCs w:val="1"/>
                <w:color w:val="auto"/>
              </w:rPr>
            </w:pPr>
          </w:p>
        </w:tc>
      </w:tr>
      <w:tr>
        <w:trPr>
          <w:trHeight w:val="297"/>
        </w:trPr>
        <w:tc>
          <w:tcPr>
            <w:tcW w:w="1480" w:type="dxa"/>
            <w:vAlign w:val="bottom"/>
            <w:tcBorders>
              <w:right w:val="single" w:sz="8" w:color="0072AF"/>
            </w:tcBorders>
          </w:tcPr>
          <w:p>
            <w:pPr>
              <w:spacing w:after="0"/>
              <w:rPr>
                <w:sz w:val="24"/>
                <w:szCs w:val="24"/>
                <w:color w:val="auto"/>
              </w:rPr>
            </w:pPr>
          </w:p>
        </w:tc>
        <w:tc>
          <w:tcPr>
            <w:tcW w:w="140" w:type="dxa"/>
            <w:vAlign w:val="bottom"/>
            <w:shd w:val="clear" w:color="auto" w:fill="CBCEE0"/>
          </w:tcPr>
          <w:p>
            <w:pPr>
              <w:spacing w:after="0"/>
              <w:rPr>
                <w:sz w:val="24"/>
                <w:szCs w:val="24"/>
                <w:color w:val="auto"/>
              </w:rPr>
            </w:pPr>
          </w:p>
        </w:tc>
        <w:tc>
          <w:tcPr>
            <w:tcW w:w="2080" w:type="dxa"/>
            <w:vAlign w:val="bottom"/>
            <w:shd w:val="clear" w:color="auto" w:fill="CBCEE0"/>
          </w:tcPr>
          <w:p>
            <w:pPr>
              <w:spacing w:after="0"/>
              <w:rPr>
                <w:sz w:val="20"/>
                <w:szCs w:val="20"/>
                <w:color w:val="auto"/>
              </w:rPr>
            </w:pPr>
            <w:r>
              <w:rPr>
                <w:rFonts w:ascii="Arial" w:cs="Arial" w:eastAsia="Arial" w:hAnsi="Arial"/>
                <w:sz w:val="14"/>
                <w:szCs w:val="14"/>
                <w:color w:val="auto"/>
              </w:rPr>
              <w:t>Cash Incentive Units</w:t>
            </w:r>
            <w:r>
              <w:rPr>
                <w:rFonts w:ascii="Arial" w:cs="Arial" w:eastAsia="Arial" w:hAnsi="Arial"/>
                <w:sz w:val="23"/>
                <w:szCs w:val="23"/>
                <w:color w:val="auto"/>
                <w:vertAlign w:val="superscript"/>
              </w:rPr>
              <w:t>(5)</w:t>
            </w:r>
          </w:p>
        </w:tc>
        <w:tc>
          <w:tcPr>
            <w:tcW w:w="1060" w:type="dxa"/>
            <w:vAlign w:val="bottom"/>
            <w:shd w:val="clear" w:color="auto" w:fill="CBCEE0"/>
          </w:tcPr>
          <w:p>
            <w:pPr>
              <w:spacing w:after="0"/>
              <w:rPr>
                <w:sz w:val="24"/>
                <w:szCs w:val="24"/>
                <w:color w:val="auto"/>
              </w:rPr>
            </w:pPr>
          </w:p>
        </w:tc>
        <w:tc>
          <w:tcPr>
            <w:tcW w:w="2100" w:type="dxa"/>
            <w:vAlign w:val="bottom"/>
            <w:shd w:val="clear" w:color="auto" w:fill="CBCEE0"/>
          </w:tcPr>
          <w:p>
            <w:pPr>
              <w:spacing w:after="0"/>
              <w:rPr>
                <w:sz w:val="24"/>
                <w:szCs w:val="24"/>
                <w:color w:val="auto"/>
              </w:rPr>
            </w:pPr>
          </w:p>
        </w:tc>
        <w:tc>
          <w:tcPr>
            <w:tcW w:w="1320" w:type="dxa"/>
            <w:vAlign w:val="bottom"/>
            <w:shd w:val="clear" w:color="auto" w:fill="CBCEE0"/>
          </w:tcPr>
          <w:p>
            <w:pPr>
              <w:spacing w:after="0"/>
              <w:rPr>
                <w:sz w:val="24"/>
                <w:szCs w:val="24"/>
                <w:color w:val="auto"/>
              </w:rPr>
            </w:pPr>
          </w:p>
        </w:tc>
        <w:tc>
          <w:tcPr>
            <w:tcW w:w="1000" w:type="dxa"/>
            <w:vAlign w:val="bottom"/>
            <w:shd w:val="clear" w:color="auto" w:fill="CBCEE0"/>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480" w:type="dxa"/>
            <w:vAlign w:val="bottom"/>
            <w:tcBorders>
              <w:right w:val="single" w:sz="8" w:color="0072AF"/>
            </w:tcBorders>
          </w:tcPr>
          <w:p>
            <w:pPr>
              <w:spacing w:after="0"/>
              <w:rPr>
                <w:sz w:val="20"/>
                <w:szCs w:val="20"/>
                <w:color w:val="auto"/>
              </w:rPr>
            </w:pPr>
          </w:p>
        </w:tc>
        <w:tc>
          <w:tcPr>
            <w:tcW w:w="140" w:type="dxa"/>
            <w:vAlign w:val="bottom"/>
            <w:shd w:val="clear" w:color="auto" w:fill="CBCEE0"/>
          </w:tcPr>
          <w:p>
            <w:pPr>
              <w:spacing w:after="0"/>
              <w:rPr>
                <w:sz w:val="20"/>
                <w:szCs w:val="20"/>
                <w:color w:val="auto"/>
              </w:rPr>
            </w:pPr>
          </w:p>
        </w:tc>
        <w:tc>
          <w:tcPr>
            <w:tcW w:w="2080" w:type="dxa"/>
            <w:vAlign w:val="bottom"/>
            <w:shd w:val="clear" w:color="auto" w:fill="CBCEE0"/>
          </w:tcPr>
          <w:p>
            <w:pPr>
              <w:ind w:left="180"/>
              <w:spacing w:after="0"/>
              <w:rPr>
                <w:sz w:val="20"/>
                <w:szCs w:val="20"/>
                <w:color w:val="auto"/>
              </w:rPr>
            </w:pPr>
            <w:r>
              <w:rPr>
                <w:rFonts w:ascii="Arial" w:cs="Arial" w:eastAsia="Arial" w:hAnsi="Arial"/>
                <w:sz w:val="14"/>
                <w:szCs w:val="14"/>
                <w:color w:val="auto"/>
              </w:rPr>
              <w:t>2021-2023 cycle</w:t>
            </w:r>
          </w:p>
        </w:tc>
        <w:tc>
          <w:tcPr>
            <w:tcW w:w="1060" w:type="dxa"/>
            <w:vAlign w:val="bottom"/>
            <w:shd w:val="clear" w:color="auto" w:fill="CBCEE0"/>
          </w:tcPr>
          <w:p>
            <w:pPr>
              <w:ind w:left="640"/>
              <w:spacing w:after="0"/>
              <w:rPr>
                <w:sz w:val="20"/>
                <w:szCs w:val="20"/>
                <w:color w:val="auto"/>
              </w:rPr>
            </w:pPr>
            <w:r>
              <w:rPr>
                <w:rFonts w:ascii="Arial" w:cs="Arial" w:eastAsia="Arial" w:hAnsi="Arial"/>
                <w:sz w:val="14"/>
                <w:szCs w:val="14"/>
                <w:color w:val="auto"/>
              </w:rPr>
              <w:t>-</w:t>
            </w:r>
          </w:p>
        </w:tc>
        <w:tc>
          <w:tcPr>
            <w:tcW w:w="2100" w:type="dxa"/>
            <w:vAlign w:val="bottom"/>
            <w:shd w:val="clear" w:color="auto" w:fill="CBCEE0"/>
          </w:tcPr>
          <w:p>
            <w:pPr>
              <w:jc w:val="right"/>
              <w:ind w:right="90"/>
              <w:spacing w:after="0"/>
              <w:rPr>
                <w:sz w:val="20"/>
                <w:szCs w:val="20"/>
                <w:color w:val="auto"/>
              </w:rPr>
            </w:pPr>
            <w:r>
              <w:rPr>
                <w:rFonts w:ascii="Arial" w:cs="Arial" w:eastAsia="Arial" w:hAnsi="Arial"/>
                <w:sz w:val="14"/>
                <w:szCs w:val="14"/>
                <w:color w:val="auto"/>
              </w:rPr>
              <w:t>0 - 213,900</w:t>
            </w:r>
          </w:p>
        </w:tc>
        <w:tc>
          <w:tcPr>
            <w:tcW w:w="1320" w:type="dxa"/>
            <w:vAlign w:val="bottom"/>
            <w:shd w:val="clear" w:color="auto" w:fill="CBCEE0"/>
          </w:tcPr>
          <w:p>
            <w:pPr>
              <w:jc w:val="right"/>
              <w:ind w:right="231"/>
              <w:spacing w:after="0"/>
              <w:rPr>
                <w:sz w:val="20"/>
                <w:szCs w:val="20"/>
                <w:color w:val="auto"/>
              </w:rPr>
            </w:pPr>
            <w:r>
              <w:rPr>
                <w:rFonts w:ascii="Arial" w:cs="Arial" w:eastAsia="Arial" w:hAnsi="Arial"/>
                <w:sz w:val="14"/>
                <w:szCs w:val="14"/>
                <w:color w:val="auto"/>
              </w:rPr>
              <w:t>345,000</w:t>
            </w:r>
          </w:p>
        </w:tc>
        <w:tc>
          <w:tcPr>
            <w:tcW w:w="1000" w:type="dxa"/>
            <w:vAlign w:val="bottom"/>
            <w:shd w:val="clear" w:color="auto" w:fill="CBCEE0"/>
          </w:tcPr>
          <w:p>
            <w:pPr>
              <w:jc w:val="right"/>
              <w:spacing w:after="0"/>
              <w:rPr>
                <w:sz w:val="20"/>
                <w:szCs w:val="20"/>
                <w:color w:val="auto"/>
              </w:rPr>
            </w:pPr>
            <w:r>
              <w:rPr>
                <w:rFonts w:ascii="Arial" w:cs="Arial" w:eastAsia="Arial" w:hAnsi="Arial"/>
                <w:sz w:val="14"/>
                <w:szCs w:val="14"/>
                <w:color w:val="auto"/>
              </w:rPr>
              <w:t>213,900</w:t>
            </w:r>
          </w:p>
        </w:tc>
        <w:tc>
          <w:tcPr>
            <w:tcW w:w="0" w:type="dxa"/>
            <w:vAlign w:val="bottom"/>
          </w:tcPr>
          <w:p>
            <w:pPr>
              <w:spacing w:after="0"/>
              <w:rPr>
                <w:sz w:val="1"/>
                <w:szCs w:val="1"/>
                <w:color w:val="auto"/>
              </w:rPr>
            </w:pPr>
          </w:p>
        </w:tc>
      </w:tr>
      <w:tr>
        <w:trPr>
          <w:trHeight w:val="270"/>
        </w:trPr>
        <w:tc>
          <w:tcPr>
            <w:tcW w:w="1480" w:type="dxa"/>
            <w:vAlign w:val="bottom"/>
            <w:tcBorders>
              <w:right w:val="single" w:sz="8" w:color="0072AF"/>
            </w:tcBorders>
          </w:tcPr>
          <w:p>
            <w:pPr>
              <w:spacing w:after="0"/>
              <w:rPr>
                <w:sz w:val="23"/>
                <w:szCs w:val="23"/>
                <w:color w:val="auto"/>
              </w:rPr>
            </w:pPr>
          </w:p>
        </w:tc>
        <w:tc>
          <w:tcPr>
            <w:tcW w:w="140" w:type="dxa"/>
            <w:vAlign w:val="bottom"/>
            <w:shd w:val="clear" w:color="auto" w:fill="CBCEE0"/>
          </w:tcPr>
          <w:p>
            <w:pPr>
              <w:spacing w:after="0"/>
              <w:rPr>
                <w:sz w:val="23"/>
                <w:szCs w:val="23"/>
                <w:color w:val="auto"/>
              </w:rPr>
            </w:pPr>
          </w:p>
        </w:tc>
        <w:tc>
          <w:tcPr>
            <w:tcW w:w="2080" w:type="dxa"/>
            <w:vAlign w:val="bottom"/>
            <w:shd w:val="clear" w:color="auto" w:fill="CBCEE0"/>
          </w:tcPr>
          <w:p>
            <w:pPr>
              <w:ind w:left="180"/>
              <w:spacing w:after="0"/>
              <w:rPr>
                <w:sz w:val="20"/>
                <w:szCs w:val="20"/>
                <w:color w:val="auto"/>
              </w:rPr>
            </w:pPr>
            <w:r>
              <w:rPr>
                <w:rFonts w:ascii="Arial" w:cs="Arial" w:eastAsia="Arial" w:hAnsi="Arial"/>
                <w:sz w:val="14"/>
                <w:szCs w:val="14"/>
                <w:color w:val="auto"/>
              </w:rPr>
              <w:t>2022-2024 cycle</w:t>
            </w:r>
          </w:p>
        </w:tc>
        <w:tc>
          <w:tcPr>
            <w:tcW w:w="1060" w:type="dxa"/>
            <w:vAlign w:val="bottom"/>
            <w:shd w:val="clear" w:color="auto" w:fill="CBCEE0"/>
          </w:tcPr>
          <w:p>
            <w:pPr>
              <w:ind w:left="640"/>
              <w:spacing w:after="0"/>
              <w:rPr>
                <w:sz w:val="20"/>
                <w:szCs w:val="20"/>
                <w:color w:val="auto"/>
              </w:rPr>
            </w:pPr>
            <w:r>
              <w:rPr>
                <w:rFonts w:ascii="Arial" w:cs="Arial" w:eastAsia="Arial" w:hAnsi="Arial"/>
                <w:sz w:val="14"/>
                <w:szCs w:val="14"/>
                <w:color w:val="auto"/>
              </w:rPr>
              <w:t>-</w:t>
            </w:r>
          </w:p>
        </w:tc>
        <w:tc>
          <w:tcPr>
            <w:tcW w:w="2100" w:type="dxa"/>
            <w:vAlign w:val="bottom"/>
            <w:shd w:val="clear" w:color="auto" w:fill="CBCEE0"/>
          </w:tcPr>
          <w:p>
            <w:pPr>
              <w:jc w:val="right"/>
              <w:ind w:right="90"/>
              <w:spacing w:after="0"/>
              <w:rPr>
                <w:sz w:val="20"/>
                <w:szCs w:val="20"/>
                <w:color w:val="auto"/>
              </w:rPr>
            </w:pPr>
            <w:r>
              <w:rPr>
                <w:rFonts w:ascii="Arial" w:cs="Arial" w:eastAsia="Arial" w:hAnsi="Arial"/>
                <w:sz w:val="14"/>
                <w:szCs w:val="14"/>
                <w:color w:val="auto"/>
              </w:rPr>
              <w:t>0 - 275,600</w:t>
            </w:r>
          </w:p>
        </w:tc>
        <w:tc>
          <w:tcPr>
            <w:tcW w:w="1320" w:type="dxa"/>
            <w:vAlign w:val="bottom"/>
            <w:shd w:val="clear" w:color="auto" w:fill="CBCEE0"/>
          </w:tcPr>
          <w:p>
            <w:pPr>
              <w:jc w:val="right"/>
              <w:ind w:right="231"/>
              <w:spacing w:after="0"/>
              <w:rPr>
                <w:sz w:val="20"/>
                <w:szCs w:val="20"/>
                <w:color w:val="auto"/>
              </w:rPr>
            </w:pPr>
            <w:r>
              <w:rPr>
                <w:rFonts w:ascii="Arial" w:cs="Arial" w:eastAsia="Arial" w:hAnsi="Arial"/>
                <w:sz w:val="14"/>
                <w:szCs w:val="14"/>
                <w:color w:val="auto"/>
              </w:rPr>
              <w:t>780,000</w:t>
            </w:r>
          </w:p>
        </w:tc>
        <w:tc>
          <w:tcPr>
            <w:tcW w:w="1000" w:type="dxa"/>
            <w:vAlign w:val="bottom"/>
            <w:shd w:val="clear" w:color="auto" w:fill="CBCEE0"/>
          </w:tcPr>
          <w:p>
            <w:pPr>
              <w:jc w:val="right"/>
              <w:spacing w:after="0"/>
              <w:rPr>
                <w:sz w:val="20"/>
                <w:szCs w:val="20"/>
                <w:color w:val="auto"/>
              </w:rPr>
            </w:pPr>
            <w:r>
              <w:rPr>
                <w:rFonts w:ascii="Arial" w:cs="Arial" w:eastAsia="Arial" w:hAnsi="Arial"/>
                <w:sz w:val="14"/>
                <w:szCs w:val="14"/>
                <w:color w:val="auto"/>
              </w:rPr>
              <w:t>275,600</w:t>
            </w:r>
          </w:p>
        </w:tc>
        <w:tc>
          <w:tcPr>
            <w:tcW w:w="0" w:type="dxa"/>
            <w:vAlign w:val="bottom"/>
          </w:tcPr>
          <w:p>
            <w:pPr>
              <w:spacing w:after="0"/>
              <w:rPr>
                <w:sz w:val="1"/>
                <w:szCs w:val="1"/>
                <w:color w:val="auto"/>
              </w:rPr>
            </w:pPr>
          </w:p>
        </w:tc>
      </w:tr>
      <w:tr>
        <w:trPr>
          <w:trHeight w:val="270"/>
        </w:trPr>
        <w:tc>
          <w:tcPr>
            <w:tcW w:w="1480" w:type="dxa"/>
            <w:vAlign w:val="bottom"/>
            <w:tcBorders>
              <w:right w:val="single" w:sz="8" w:color="0072AF"/>
            </w:tcBorders>
          </w:tcPr>
          <w:p>
            <w:pPr>
              <w:spacing w:after="0"/>
              <w:rPr>
                <w:sz w:val="23"/>
                <w:szCs w:val="23"/>
                <w:color w:val="auto"/>
              </w:rPr>
            </w:pPr>
          </w:p>
        </w:tc>
        <w:tc>
          <w:tcPr>
            <w:tcW w:w="140" w:type="dxa"/>
            <w:vAlign w:val="bottom"/>
            <w:shd w:val="clear" w:color="auto" w:fill="CBCEE0"/>
          </w:tcPr>
          <w:p>
            <w:pPr>
              <w:spacing w:after="0"/>
              <w:rPr>
                <w:sz w:val="23"/>
                <w:szCs w:val="23"/>
                <w:color w:val="auto"/>
              </w:rPr>
            </w:pPr>
          </w:p>
        </w:tc>
        <w:tc>
          <w:tcPr>
            <w:tcW w:w="2080" w:type="dxa"/>
            <w:vAlign w:val="bottom"/>
            <w:shd w:val="clear" w:color="auto" w:fill="CBCEE0"/>
          </w:tcPr>
          <w:p>
            <w:pPr>
              <w:ind w:left="180"/>
              <w:spacing w:after="0"/>
              <w:rPr>
                <w:sz w:val="20"/>
                <w:szCs w:val="20"/>
                <w:color w:val="auto"/>
              </w:rPr>
            </w:pPr>
            <w:r>
              <w:rPr>
                <w:rFonts w:ascii="Arial" w:cs="Arial" w:eastAsia="Arial" w:hAnsi="Arial"/>
                <w:sz w:val="14"/>
                <w:szCs w:val="14"/>
                <w:color w:val="auto"/>
              </w:rPr>
              <w:t>2023-2025 cycle</w:t>
            </w:r>
          </w:p>
        </w:tc>
        <w:tc>
          <w:tcPr>
            <w:tcW w:w="1060" w:type="dxa"/>
            <w:vAlign w:val="bottom"/>
            <w:shd w:val="clear" w:color="auto" w:fill="CBCEE0"/>
          </w:tcPr>
          <w:p>
            <w:pPr>
              <w:ind w:left="640"/>
              <w:spacing w:after="0"/>
              <w:rPr>
                <w:sz w:val="20"/>
                <w:szCs w:val="20"/>
                <w:color w:val="auto"/>
              </w:rPr>
            </w:pPr>
            <w:r>
              <w:rPr>
                <w:rFonts w:ascii="Arial" w:cs="Arial" w:eastAsia="Arial" w:hAnsi="Arial"/>
                <w:sz w:val="14"/>
                <w:szCs w:val="14"/>
                <w:color w:val="auto"/>
              </w:rPr>
              <w:t>-</w:t>
            </w:r>
          </w:p>
        </w:tc>
        <w:tc>
          <w:tcPr>
            <w:tcW w:w="2100" w:type="dxa"/>
            <w:vAlign w:val="bottom"/>
            <w:shd w:val="clear" w:color="auto" w:fill="CBCEE0"/>
          </w:tcPr>
          <w:p>
            <w:pPr>
              <w:jc w:val="right"/>
              <w:ind w:right="110"/>
              <w:spacing w:after="0"/>
              <w:rPr>
                <w:sz w:val="20"/>
                <w:szCs w:val="20"/>
                <w:color w:val="auto"/>
              </w:rPr>
            </w:pPr>
            <w:r>
              <w:rPr>
                <w:rFonts w:ascii="Arial" w:cs="Arial" w:eastAsia="Arial" w:hAnsi="Arial"/>
                <w:sz w:val="14"/>
                <w:szCs w:val="14"/>
                <w:color w:val="auto"/>
              </w:rPr>
              <w:t>0 - 0</w:t>
            </w:r>
          </w:p>
        </w:tc>
        <w:tc>
          <w:tcPr>
            <w:tcW w:w="1320" w:type="dxa"/>
            <w:vAlign w:val="bottom"/>
            <w:shd w:val="clear" w:color="auto" w:fill="CBCEE0"/>
          </w:tcPr>
          <w:p>
            <w:pPr>
              <w:jc w:val="right"/>
              <w:ind w:right="231"/>
              <w:spacing w:after="0"/>
              <w:rPr>
                <w:sz w:val="20"/>
                <w:szCs w:val="20"/>
                <w:color w:val="auto"/>
              </w:rPr>
            </w:pPr>
            <w:r>
              <w:rPr>
                <w:rFonts w:ascii="Arial" w:cs="Arial" w:eastAsia="Arial" w:hAnsi="Arial"/>
                <w:sz w:val="14"/>
                <w:szCs w:val="14"/>
                <w:color w:val="auto"/>
              </w:rPr>
              <w:t>960,000</w:t>
            </w:r>
          </w:p>
        </w:tc>
        <w:tc>
          <w:tcPr>
            <w:tcW w:w="1000" w:type="dxa"/>
            <w:vAlign w:val="bottom"/>
            <w:shd w:val="clear" w:color="auto" w:fill="CBCEE0"/>
          </w:tcPr>
          <w:p>
            <w:pPr>
              <w:jc w:val="right"/>
              <w:spacing w:after="0"/>
              <w:rPr>
                <w:sz w:val="20"/>
                <w:szCs w:val="20"/>
                <w:color w:val="auto"/>
              </w:rPr>
            </w:pPr>
            <w:r>
              <w:rPr>
                <w:rFonts w:ascii="Arial" w:cs="Arial" w:eastAsia="Arial" w:hAnsi="Arial"/>
                <w:sz w:val="14"/>
                <w:szCs w:val="14"/>
                <w:color w:val="auto"/>
              </w:rPr>
              <w:t>297,600</w:t>
            </w:r>
          </w:p>
        </w:tc>
        <w:tc>
          <w:tcPr>
            <w:tcW w:w="0" w:type="dxa"/>
            <w:vAlign w:val="bottom"/>
          </w:tcPr>
          <w:p>
            <w:pPr>
              <w:spacing w:after="0"/>
              <w:rPr>
                <w:sz w:val="1"/>
                <w:szCs w:val="1"/>
                <w:color w:val="auto"/>
              </w:rPr>
            </w:pPr>
          </w:p>
        </w:tc>
      </w:tr>
      <w:tr>
        <w:trPr>
          <w:trHeight w:val="332"/>
        </w:trPr>
        <w:tc>
          <w:tcPr>
            <w:tcW w:w="1480" w:type="dxa"/>
            <w:vAlign w:val="bottom"/>
            <w:tcBorders>
              <w:right w:val="single" w:sz="8" w:color="0072AF"/>
            </w:tcBorders>
          </w:tcPr>
          <w:p>
            <w:pPr>
              <w:spacing w:after="0"/>
              <w:rPr>
                <w:sz w:val="24"/>
                <w:szCs w:val="24"/>
                <w:color w:val="auto"/>
              </w:rPr>
            </w:pPr>
          </w:p>
        </w:tc>
        <w:tc>
          <w:tcPr>
            <w:tcW w:w="140" w:type="dxa"/>
            <w:vAlign w:val="bottom"/>
            <w:shd w:val="clear" w:color="auto" w:fill="CBCEE0"/>
          </w:tcPr>
          <w:p>
            <w:pPr>
              <w:spacing w:after="0"/>
              <w:rPr>
                <w:sz w:val="24"/>
                <w:szCs w:val="24"/>
                <w:color w:val="auto"/>
              </w:rPr>
            </w:pPr>
          </w:p>
        </w:tc>
        <w:tc>
          <w:tcPr>
            <w:tcW w:w="2080" w:type="dxa"/>
            <w:vAlign w:val="bottom"/>
            <w:shd w:val="clear" w:color="auto" w:fill="CBCEE0"/>
          </w:tcPr>
          <w:p>
            <w:pPr>
              <w:spacing w:after="0"/>
              <w:rPr>
                <w:sz w:val="20"/>
                <w:szCs w:val="20"/>
                <w:color w:val="auto"/>
              </w:rPr>
            </w:pPr>
            <w:r>
              <w:rPr>
                <w:rFonts w:ascii="Arial" w:cs="Arial" w:eastAsia="Arial" w:hAnsi="Arial"/>
                <w:sz w:val="14"/>
                <w:szCs w:val="14"/>
                <w:color w:val="auto"/>
              </w:rPr>
              <w:t>Financial Counseling</w:t>
            </w:r>
            <w:r>
              <w:rPr>
                <w:rFonts w:ascii="Arial" w:cs="Arial" w:eastAsia="Arial" w:hAnsi="Arial"/>
                <w:sz w:val="23"/>
                <w:szCs w:val="23"/>
                <w:color w:val="auto"/>
                <w:vertAlign w:val="superscript"/>
              </w:rPr>
              <w:t>(6)</w:t>
            </w:r>
          </w:p>
        </w:tc>
        <w:tc>
          <w:tcPr>
            <w:tcW w:w="1060" w:type="dxa"/>
            <w:vAlign w:val="bottom"/>
            <w:shd w:val="clear" w:color="auto" w:fill="CBCEE0"/>
          </w:tcPr>
          <w:p>
            <w:pPr>
              <w:ind w:left="640"/>
              <w:spacing w:after="0"/>
              <w:rPr>
                <w:sz w:val="20"/>
                <w:szCs w:val="20"/>
                <w:color w:val="auto"/>
              </w:rPr>
            </w:pPr>
            <w:r>
              <w:rPr>
                <w:rFonts w:ascii="Arial" w:cs="Arial" w:eastAsia="Arial" w:hAnsi="Arial"/>
                <w:sz w:val="14"/>
                <w:szCs w:val="14"/>
                <w:color w:val="auto"/>
              </w:rPr>
              <w:t>-</w:t>
            </w:r>
          </w:p>
        </w:tc>
        <w:tc>
          <w:tcPr>
            <w:tcW w:w="2100" w:type="dxa"/>
            <w:vAlign w:val="bottom"/>
            <w:shd w:val="clear" w:color="auto" w:fill="CBCEE0"/>
          </w:tcPr>
          <w:p>
            <w:pPr>
              <w:jc w:val="right"/>
              <w:ind w:right="110"/>
              <w:spacing w:after="0"/>
              <w:rPr>
                <w:sz w:val="20"/>
                <w:szCs w:val="20"/>
                <w:color w:val="auto"/>
              </w:rPr>
            </w:pPr>
            <w:r>
              <w:rPr>
                <w:rFonts w:ascii="Arial" w:cs="Arial" w:eastAsia="Arial" w:hAnsi="Arial"/>
                <w:sz w:val="14"/>
                <w:szCs w:val="14"/>
                <w:color w:val="auto"/>
              </w:rPr>
              <w:t>0 - 22,193</w:t>
            </w:r>
          </w:p>
        </w:tc>
        <w:tc>
          <w:tcPr>
            <w:tcW w:w="1320" w:type="dxa"/>
            <w:vAlign w:val="bottom"/>
            <w:shd w:val="clear" w:color="auto" w:fill="CBCEE0"/>
          </w:tcPr>
          <w:p>
            <w:pPr>
              <w:jc w:val="right"/>
              <w:ind w:right="251"/>
              <w:spacing w:after="0"/>
              <w:rPr>
                <w:sz w:val="20"/>
                <w:szCs w:val="20"/>
                <w:color w:val="auto"/>
              </w:rPr>
            </w:pPr>
            <w:r>
              <w:rPr>
                <w:rFonts w:ascii="Arial" w:cs="Arial" w:eastAsia="Arial" w:hAnsi="Arial"/>
                <w:sz w:val="14"/>
                <w:szCs w:val="14"/>
                <w:color w:val="auto"/>
              </w:rPr>
              <w:t>-</w:t>
            </w:r>
          </w:p>
        </w:tc>
        <w:tc>
          <w:tcPr>
            <w:tcW w:w="1000" w:type="dxa"/>
            <w:vAlign w:val="bottom"/>
            <w:shd w:val="clear" w:color="auto" w:fill="CBCEE0"/>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1480" w:type="dxa"/>
            <w:vAlign w:val="bottom"/>
            <w:tcBorders>
              <w:right w:val="single" w:sz="8" w:color="0072AF"/>
            </w:tcBorders>
          </w:tcPr>
          <w:p>
            <w:pPr>
              <w:spacing w:after="0"/>
              <w:rPr>
                <w:sz w:val="24"/>
                <w:szCs w:val="24"/>
                <w:color w:val="auto"/>
              </w:rPr>
            </w:pPr>
          </w:p>
        </w:tc>
        <w:tc>
          <w:tcPr>
            <w:tcW w:w="140" w:type="dxa"/>
            <w:vAlign w:val="bottom"/>
            <w:shd w:val="clear" w:color="auto" w:fill="CBCEE0"/>
          </w:tcPr>
          <w:p>
            <w:pPr>
              <w:spacing w:after="0"/>
              <w:rPr>
                <w:sz w:val="24"/>
                <w:szCs w:val="24"/>
                <w:color w:val="auto"/>
              </w:rPr>
            </w:pPr>
          </w:p>
        </w:tc>
        <w:tc>
          <w:tcPr>
            <w:tcW w:w="2080" w:type="dxa"/>
            <w:vAlign w:val="bottom"/>
            <w:shd w:val="clear" w:color="auto" w:fill="CBCEE0"/>
          </w:tcPr>
          <w:p>
            <w:pPr>
              <w:spacing w:after="0"/>
              <w:rPr>
                <w:sz w:val="20"/>
                <w:szCs w:val="20"/>
                <w:color w:val="auto"/>
              </w:rPr>
            </w:pPr>
            <w:r>
              <w:rPr>
                <w:rFonts w:ascii="Arial" w:cs="Arial" w:eastAsia="Arial" w:hAnsi="Arial"/>
                <w:sz w:val="14"/>
                <w:szCs w:val="14"/>
                <w:color w:val="auto"/>
              </w:rPr>
              <w:t>Medical &amp; other benefits</w:t>
            </w:r>
            <w:r>
              <w:rPr>
                <w:rFonts w:ascii="Arial" w:cs="Arial" w:eastAsia="Arial" w:hAnsi="Arial"/>
                <w:sz w:val="23"/>
                <w:szCs w:val="23"/>
                <w:color w:val="auto"/>
                <w:vertAlign w:val="superscript"/>
              </w:rPr>
              <w:t>(7)</w:t>
            </w:r>
          </w:p>
        </w:tc>
        <w:tc>
          <w:tcPr>
            <w:tcW w:w="1060" w:type="dxa"/>
            <w:vAlign w:val="bottom"/>
            <w:shd w:val="clear" w:color="auto" w:fill="CBCEE0"/>
          </w:tcPr>
          <w:p>
            <w:pPr>
              <w:ind w:left="640"/>
              <w:spacing w:after="0"/>
              <w:rPr>
                <w:sz w:val="20"/>
                <w:szCs w:val="20"/>
                <w:color w:val="auto"/>
              </w:rPr>
            </w:pPr>
            <w:r>
              <w:rPr>
                <w:rFonts w:ascii="Arial" w:cs="Arial" w:eastAsia="Arial" w:hAnsi="Arial"/>
                <w:sz w:val="14"/>
                <w:szCs w:val="14"/>
                <w:color w:val="auto"/>
              </w:rPr>
              <w:t>-</w:t>
            </w:r>
          </w:p>
        </w:tc>
        <w:tc>
          <w:tcPr>
            <w:tcW w:w="2100" w:type="dxa"/>
            <w:vAlign w:val="bottom"/>
            <w:shd w:val="clear" w:color="auto" w:fill="CBCEE0"/>
          </w:tcPr>
          <w:p>
            <w:pPr>
              <w:jc w:val="right"/>
              <w:ind w:right="11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BCEE0"/>
          </w:tcPr>
          <w:p>
            <w:pPr>
              <w:jc w:val="right"/>
              <w:ind w:right="231"/>
              <w:spacing w:after="0"/>
              <w:rPr>
                <w:sz w:val="20"/>
                <w:szCs w:val="20"/>
                <w:color w:val="auto"/>
              </w:rPr>
            </w:pPr>
            <w:r>
              <w:rPr>
                <w:rFonts w:ascii="Arial" w:cs="Arial" w:eastAsia="Arial" w:hAnsi="Arial"/>
                <w:sz w:val="14"/>
                <w:szCs w:val="14"/>
                <w:color w:val="auto"/>
              </w:rPr>
              <w:t>77,944</w:t>
            </w:r>
          </w:p>
        </w:tc>
        <w:tc>
          <w:tcPr>
            <w:tcW w:w="1000" w:type="dxa"/>
            <w:vAlign w:val="bottom"/>
            <w:shd w:val="clear" w:color="auto" w:fill="CBCEE0"/>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1480" w:type="dxa"/>
            <w:vAlign w:val="bottom"/>
            <w:tcBorders>
              <w:right w:val="single" w:sz="8" w:color="0072AF"/>
            </w:tcBorders>
          </w:tcPr>
          <w:p>
            <w:pPr>
              <w:spacing w:after="0"/>
              <w:rPr>
                <w:sz w:val="24"/>
                <w:szCs w:val="24"/>
                <w:color w:val="auto"/>
              </w:rPr>
            </w:pPr>
          </w:p>
        </w:tc>
        <w:tc>
          <w:tcPr>
            <w:tcW w:w="140" w:type="dxa"/>
            <w:vAlign w:val="bottom"/>
            <w:shd w:val="clear" w:color="auto" w:fill="CBCEE0"/>
          </w:tcPr>
          <w:p>
            <w:pPr>
              <w:spacing w:after="0"/>
              <w:rPr>
                <w:sz w:val="24"/>
                <w:szCs w:val="24"/>
                <w:color w:val="auto"/>
              </w:rPr>
            </w:pPr>
          </w:p>
        </w:tc>
        <w:tc>
          <w:tcPr>
            <w:tcW w:w="2080" w:type="dxa"/>
            <w:vAlign w:val="bottom"/>
            <w:shd w:val="clear" w:color="auto" w:fill="CBCEE0"/>
          </w:tcPr>
          <w:p>
            <w:pPr>
              <w:spacing w:after="0"/>
              <w:rPr>
                <w:sz w:val="20"/>
                <w:szCs w:val="20"/>
                <w:color w:val="auto"/>
              </w:rPr>
            </w:pPr>
            <w:r>
              <w:rPr>
                <w:rFonts w:ascii="Arial" w:cs="Arial" w:eastAsia="Arial" w:hAnsi="Arial"/>
                <w:sz w:val="14"/>
                <w:szCs w:val="14"/>
                <w:color w:val="auto"/>
              </w:rPr>
              <w:t>Incremental Pension Benefit</w:t>
            </w:r>
            <w:r>
              <w:rPr>
                <w:rFonts w:ascii="Arial" w:cs="Arial" w:eastAsia="Arial" w:hAnsi="Arial"/>
                <w:sz w:val="23"/>
                <w:szCs w:val="23"/>
                <w:color w:val="auto"/>
                <w:vertAlign w:val="superscript"/>
              </w:rPr>
              <w:t>(8)</w:t>
            </w:r>
          </w:p>
        </w:tc>
        <w:tc>
          <w:tcPr>
            <w:tcW w:w="1060" w:type="dxa"/>
            <w:vAlign w:val="bottom"/>
            <w:shd w:val="clear" w:color="auto" w:fill="CBCEE0"/>
          </w:tcPr>
          <w:p>
            <w:pPr>
              <w:ind w:left="640"/>
              <w:spacing w:after="0"/>
              <w:rPr>
                <w:sz w:val="20"/>
                <w:szCs w:val="20"/>
                <w:color w:val="auto"/>
              </w:rPr>
            </w:pPr>
            <w:r>
              <w:rPr>
                <w:rFonts w:ascii="Arial" w:cs="Arial" w:eastAsia="Arial" w:hAnsi="Arial"/>
                <w:sz w:val="14"/>
                <w:szCs w:val="14"/>
                <w:color w:val="auto"/>
              </w:rPr>
              <w:t>-</w:t>
            </w:r>
          </w:p>
        </w:tc>
        <w:tc>
          <w:tcPr>
            <w:tcW w:w="2100" w:type="dxa"/>
            <w:vAlign w:val="bottom"/>
            <w:shd w:val="clear" w:color="auto" w:fill="CBCEE0"/>
          </w:tcPr>
          <w:p>
            <w:pPr>
              <w:jc w:val="right"/>
              <w:ind w:right="110"/>
              <w:spacing w:after="0"/>
              <w:rPr>
                <w:sz w:val="20"/>
                <w:szCs w:val="20"/>
                <w:color w:val="auto"/>
              </w:rPr>
            </w:pPr>
            <w:r>
              <w:rPr>
                <w:rFonts w:ascii="Arial" w:cs="Arial" w:eastAsia="Arial" w:hAnsi="Arial"/>
                <w:sz w:val="14"/>
                <w:szCs w:val="14"/>
                <w:color w:val="auto"/>
              </w:rPr>
              <w:t>0 - 5,534</w:t>
            </w:r>
          </w:p>
        </w:tc>
        <w:tc>
          <w:tcPr>
            <w:tcW w:w="1320" w:type="dxa"/>
            <w:vAlign w:val="bottom"/>
            <w:shd w:val="clear" w:color="auto" w:fill="CBCEE0"/>
          </w:tcPr>
          <w:p>
            <w:pPr>
              <w:jc w:val="right"/>
              <w:ind w:right="231"/>
              <w:spacing w:after="0"/>
              <w:rPr>
                <w:sz w:val="20"/>
                <w:szCs w:val="20"/>
                <w:color w:val="auto"/>
              </w:rPr>
            </w:pPr>
            <w:r>
              <w:rPr>
                <w:rFonts w:ascii="Arial" w:cs="Arial" w:eastAsia="Arial" w:hAnsi="Arial"/>
                <w:sz w:val="14"/>
                <w:szCs w:val="14"/>
                <w:color w:val="auto"/>
              </w:rPr>
              <w:t>19,246</w:t>
            </w:r>
          </w:p>
        </w:tc>
        <w:tc>
          <w:tcPr>
            <w:tcW w:w="1000" w:type="dxa"/>
            <w:vAlign w:val="bottom"/>
            <w:shd w:val="clear" w:color="auto" w:fill="CBCEE0"/>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1480" w:type="dxa"/>
            <w:vAlign w:val="bottom"/>
            <w:tcBorders>
              <w:bottom w:val="single" w:sz="8" w:color="0072AF"/>
              <w:right w:val="single" w:sz="8" w:color="0072AF"/>
            </w:tcBorders>
          </w:tcPr>
          <w:p>
            <w:pPr>
              <w:spacing w:after="0"/>
              <w:rPr>
                <w:sz w:val="24"/>
                <w:szCs w:val="24"/>
                <w:color w:val="auto"/>
              </w:rPr>
            </w:pPr>
          </w:p>
        </w:tc>
        <w:tc>
          <w:tcPr>
            <w:tcW w:w="140" w:type="dxa"/>
            <w:vAlign w:val="bottom"/>
            <w:tcBorders>
              <w:bottom w:val="single" w:sz="8" w:color="0072AF"/>
            </w:tcBorders>
            <w:shd w:val="clear" w:color="auto" w:fill="CBCEE0"/>
          </w:tcPr>
          <w:p>
            <w:pPr>
              <w:spacing w:after="0"/>
              <w:rPr>
                <w:sz w:val="24"/>
                <w:szCs w:val="24"/>
                <w:color w:val="auto"/>
              </w:rPr>
            </w:pPr>
          </w:p>
        </w:tc>
        <w:tc>
          <w:tcPr>
            <w:tcW w:w="2080" w:type="dxa"/>
            <w:vAlign w:val="bottom"/>
            <w:tcBorders>
              <w:bottom w:val="single" w:sz="8" w:color="0072AF"/>
            </w:tcBorders>
            <w:shd w:val="clear" w:color="auto" w:fill="CBCEE0"/>
          </w:tcPr>
          <w:p>
            <w:pPr>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23"/>
                <w:szCs w:val="23"/>
                <w:b w:val="1"/>
                <w:bCs w:val="1"/>
                <w:color w:val="auto"/>
                <w:vertAlign w:val="superscript"/>
              </w:rPr>
              <w:t>(9)</w:t>
            </w:r>
          </w:p>
        </w:tc>
        <w:tc>
          <w:tcPr>
            <w:tcW w:w="1060" w:type="dxa"/>
            <w:vAlign w:val="bottom"/>
            <w:tcBorders>
              <w:bottom w:val="single" w:sz="8" w:color="0072AF"/>
            </w:tcBorders>
            <w:shd w:val="clear" w:color="auto" w:fill="CBCEE0"/>
          </w:tcPr>
          <w:p>
            <w:pPr>
              <w:ind w:left="640"/>
              <w:spacing w:after="0"/>
              <w:rPr>
                <w:sz w:val="20"/>
                <w:szCs w:val="20"/>
                <w:color w:val="auto"/>
              </w:rPr>
            </w:pPr>
            <w:r>
              <w:rPr>
                <w:rFonts w:ascii="Arial" w:cs="Arial" w:eastAsia="Arial" w:hAnsi="Arial"/>
                <w:sz w:val="14"/>
                <w:szCs w:val="14"/>
                <w:b w:val="1"/>
                <w:bCs w:val="1"/>
                <w:color w:val="auto"/>
              </w:rPr>
              <w:t>-</w:t>
            </w:r>
          </w:p>
        </w:tc>
        <w:tc>
          <w:tcPr>
            <w:tcW w:w="2100" w:type="dxa"/>
            <w:vAlign w:val="bottom"/>
            <w:tcBorders>
              <w:bottom w:val="single" w:sz="8" w:color="0072AF"/>
            </w:tcBorders>
            <w:shd w:val="clear" w:color="auto" w:fill="CBCEE0"/>
          </w:tcPr>
          <w:p>
            <w:pPr>
              <w:jc w:val="right"/>
              <w:ind w:right="110"/>
              <w:spacing w:after="0"/>
              <w:rPr>
                <w:sz w:val="20"/>
                <w:szCs w:val="20"/>
                <w:color w:val="auto"/>
              </w:rPr>
            </w:pPr>
            <w:r>
              <w:rPr>
                <w:rFonts w:ascii="Arial" w:cs="Arial" w:eastAsia="Arial" w:hAnsi="Arial"/>
                <w:sz w:val="14"/>
                <w:szCs w:val="14"/>
                <w:b w:val="1"/>
                <w:bCs w:val="1"/>
                <w:color w:val="auto"/>
              </w:rPr>
              <w:t>22,617 - 2,214,073</w:t>
            </w:r>
          </w:p>
        </w:tc>
        <w:tc>
          <w:tcPr>
            <w:tcW w:w="1320" w:type="dxa"/>
            <w:vAlign w:val="bottom"/>
            <w:tcBorders>
              <w:bottom w:val="single" w:sz="8" w:color="0072AF"/>
            </w:tcBorders>
            <w:shd w:val="clear" w:color="auto" w:fill="CBCEE0"/>
          </w:tcPr>
          <w:p>
            <w:pPr>
              <w:jc w:val="right"/>
              <w:ind w:right="211"/>
              <w:spacing w:after="0"/>
              <w:rPr>
                <w:sz w:val="20"/>
                <w:szCs w:val="20"/>
                <w:color w:val="auto"/>
              </w:rPr>
            </w:pPr>
            <w:r>
              <w:rPr>
                <w:rFonts w:ascii="Arial" w:cs="Arial" w:eastAsia="Arial" w:hAnsi="Arial"/>
                <w:sz w:val="14"/>
                <w:szCs w:val="14"/>
                <w:b w:val="1"/>
                <w:bCs w:val="1"/>
                <w:color w:val="auto"/>
              </w:rPr>
              <w:t>5,192,805</w:t>
            </w:r>
          </w:p>
        </w:tc>
        <w:tc>
          <w:tcPr>
            <w:tcW w:w="1000" w:type="dxa"/>
            <w:vAlign w:val="bottom"/>
            <w:tcBorders>
              <w:bottom w:val="single" w:sz="8" w:color="0072AF"/>
            </w:tcBorders>
            <w:shd w:val="clear" w:color="auto" w:fill="CBCEE0"/>
          </w:tcPr>
          <w:p>
            <w:pPr>
              <w:jc w:val="right"/>
              <w:spacing w:after="0"/>
              <w:rPr>
                <w:sz w:val="20"/>
                <w:szCs w:val="20"/>
                <w:color w:val="auto"/>
              </w:rPr>
            </w:pPr>
            <w:r>
              <w:rPr>
                <w:rFonts w:ascii="Arial" w:cs="Arial" w:eastAsia="Arial" w:hAnsi="Arial"/>
                <w:sz w:val="14"/>
                <w:szCs w:val="14"/>
                <w:b w:val="1"/>
                <w:bCs w:val="1"/>
                <w:color w:val="auto"/>
              </w:rPr>
              <w:t>1,715,554</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6" w:hanging="346"/>
        <w:spacing w:after="0" w:line="204" w:lineRule="auto"/>
        <w:tabs>
          <w:tab w:leader="none" w:pos="346" w:val="left"/>
        </w:tabs>
        <w:numPr>
          <w:ilvl w:val="0"/>
          <w:numId w:val="67"/>
        </w:numPr>
        <w:rPr>
          <w:rFonts w:ascii="Arial" w:cs="Arial" w:eastAsia="Arial" w:hAnsi="Arial"/>
          <w:sz w:val="22"/>
          <w:szCs w:val="22"/>
          <w:color w:val="auto"/>
          <w:vertAlign w:val="superscript"/>
        </w:rPr>
      </w:pPr>
      <w:r>
        <w:rPr>
          <w:rFonts w:ascii="Arial" w:cs="Arial" w:eastAsia="Arial" w:hAnsi="Arial"/>
          <w:sz w:val="14"/>
          <w:szCs w:val="14"/>
          <w:color w:val="auto"/>
        </w:rPr>
        <w:t xml:space="preserve">All data is shown assuming termination on December 31, 2023. Post-termination payments and benefits are further discussed in the section entitled “Explanation of Benefits Payable upon Various Termination Events” on page </w:t>
      </w:r>
      <w:r>
        <w:rPr>
          <w:rFonts w:ascii="Arial" w:cs="Arial" w:eastAsia="Arial" w:hAnsi="Arial"/>
          <w:sz w:val="14"/>
          <w:szCs w:val="14"/>
          <w:u w:val="single" w:color="auto"/>
          <w:color w:val="0000EE"/>
        </w:rPr>
        <w:t>87</w:t>
      </w:r>
      <w:r>
        <w:rPr>
          <w:rFonts w:ascii="Arial" w:cs="Arial" w:eastAsia="Arial" w:hAnsi="Arial"/>
          <w:sz w:val="14"/>
          <w:szCs w:val="14"/>
          <w:color w:val="auto"/>
        </w:rPr>
        <w:t xml:space="preserve"> of this Proxy Statement.</w:t>
      </w:r>
    </w:p>
    <w:p>
      <w:pPr>
        <w:spacing w:after="0" w:line="26" w:lineRule="exact"/>
        <w:rPr>
          <w:sz w:val="20"/>
          <w:szCs w:val="20"/>
          <w:color w:val="auto"/>
        </w:rPr>
      </w:pPr>
    </w:p>
    <w:p>
      <w:pPr>
        <w:jc w:val="both"/>
        <w:ind w:left="346" w:hanging="346"/>
        <w:spacing w:after="0" w:line="245" w:lineRule="auto"/>
        <w:tabs>
          <w:tab w:leader="none" w:pos="346" w:val="left"/>
        </w:tabs>
        <w:numPr>
          <w:ilvl w:val="0"/>
          <w:numId w:val="68"/>
        </w:numPr>
        <w:rPr>
          <w:rFonts w:ascii="Arial" w:cs="Arial" w:eastAsia="Arial" w:hAnsi="Arial"/>
          <w:sz w:val="14"/>
          <w:szCs w:val="14"/>
          <w:color w:val="auto"/>
        </w:rPr>
      </w:pPr>
      <w:r>
        <w:rPr>
          <w:rFonts w:ascii="Arial" w:cs="Arial" w:eastAsia="Arial" w:hAnsi="Arial"/>
          <w:sz w:val="14"/>
          <w:szCs w:val="14"/>
          <w:color w:val="auto"/>
        </w:rPr>
        <w:t>Mr. Lautenbach’s last day with Pitney Bowes was October 1, 2023. As a result of his involuntary termination, Mr. Lautenbach and the Company entered into a Separation Agreement and General Release providing for the severance payments and benefits for which Mr. Lautenbach was eligible under the Company’s Severance Pay Plan, determined in accordance with the Company’s general practices for determining severance pay, as well as benefits he is entitled to upon retirement. Mr. Lautenbach received a cash payment of severance benefits in an amount equal to the sum of 78 weeks of both base salary plus his target annual incentive award (payable in equal installments in accordance with the Company’s payroll practices over the 78-week severance period), and also received a prorated 2023 annual incentive award based on actual performance for the 2023 performance period. Because Mr. Lautenbach was retirement eligible (since June 2021) at the time of his departure, under the pre-existing terms of our equity plan and applicable equity grant agreements, outstanding equity awards consisting of 101,293 NSOs and 52,988 RSUs vested at separation and a total of 8,460,000 CIUs (4,230,000 from the 2021 grant and 4,230,000 from the 2022 grant) will continue vesting and be paid based on the target multipliers at the end of the performance period. Equity awards not outstanding at least one year are forfeited under the pre-existing terms and conditions and grant agreements; accordingly, Mr. Lautenbach forfeited his 2023 RSU award of 643,836 RSUs and his 2023 CIU award of 4,230,000 units. Refer to Form 8-K filed October 2, 2023 for a copy of the complete Separation Agreement and General Release.</w:t>
      </w:r>
    </w:p>
    <w:p>
      <w:pPr>
        <w:spacing w:after="0" w:line="50" w:lineRule="exact"/>
        <w:rPr>
          <w:sz w:val="20"/>
          <w:szCs w:val="20"/>
          <w:color w:val="auto"/>
        </w:rPr>
      </w:pPr>
    </w:p>
    <w:p>
      <w:pPr>
        <w:ind w:left="366"/>
        <w:spacing w:after="0"/>
        <w:rPr>
          <w:sz w:val="20"/>
          <w:szCs w:val="20"/>
          <w:color w:val="auto"/>
        </w:rPr>
      </w:pPr>
      <w:r>
        <w:rPr>
          <w:rFonts w:ascii="Arial" w:cs="Arial" w:eastAsia="Arial" w:hAnsi="Arial"/>
          <w:sz w:val="14"/>
          <w:szCs w:val="14"/>
          <w:color w:val="auto"/>
        </w:rPr>
        <w:t>Mr. Goldstein and Mr. Zegras are the only retirement eligible NEOs.</w:t>
      </w:r>
    </w:p>
    <w:p>
      <w:pPr>
        <w:spacing w:after="0" w:line="55" w:lineRule="exact"/>
        <w:rPr>
          <w:sz w:val="20"/>
          <w:szCs w:val="20"/>
          <w:color w:val="auto"/>
        </w:rPr>
      </w:pPr>
    </w:p>
    <w:p>
      <w:pPr>
        <w:jc w:val="both"/>
        <w:ind w:left="346" w:hanging="346"/>
        <w:spacing w:after="0" w:line="220" w:lineRule="auto"/>
        <w:tabs>
          <w:tab w:leader="none" w:pos="346" w:val="left"/>
        </w:tabs>
        <w:numPr>
          <w:ilvl w:val="0"/>
          <w:numId w:val="69"/>
        </w:numPr>
        <w:rPr>
          <w:rFonts w:ascii="Arial" w:cs="Arial" w:eastAsia="Arial" w:hAnsi="Arial"/>
          <w:sz w:val="22"/>
          <w:szCs w:val="22"/>
          <w:color w:val="auto"/>
          <w:vertAlign w:val="superscript"/>
        </w:rPr>
      </w:pPr>
      <w:r>
        <w:rPr>
          <w:rFonts w:ascii="Arial" w:cs="Arial" w:eastAsia="Arial" w:hAnsi="Arial"/>
          <w:sz w:val="14"/>
          <w:szCs w:val="14"/>
          <w:color w:val="auto"/>
        </w:rPr>
        <w:t>The Company does not apply a tax gross-up on any Change of Control payments. In paying Change of Control Severance benefits, the Company utilizes a “best net” approach. Under this approach, a determination is made as to whether paying the full Change of Control benefits or the value of a payment that is capped at the 280G limit provides the NEO with the higher net after-tax benefit. The amounts reported in the table above do not reflect the application of any reduction in compensation pursuant to this approach.</w:t>
      </w:r>
    </w:p>
    <w:p>
      <w:pPr>
        <w:spacing w:after="0" w:line="27" w:lineRule="exact"/>
        <w:rPr>
          <w:rFonts w:ascii="Arial" w:cs="Arial" w:eastAsia="Arial" w:hAnsi="Arial"/>
          <w:sz w:val="22"/>
          <w:szCs w:val="22"/>
          <w:color w:val="auto"/>
          <w:vertAlign w:val="superscript"/>
        </w:rPr>
      </w:pPr>
    </w:p>
    <w:p>
      <w:pPr>
        <w:jc w:val="both"/>
        <w:ind w:left="346" w:hanging="346"/>
        <w:spacing w:after="0" w:line="224" w:lineRule="auto"/>
        <w:tabs>
          <w:tab w:leader="none" w:pos="346" w:val="left"/>
        </w:tabs>
        <w:numPr>
          <w:ilvl w:val="0"/>
          <w:numId w:val="69"/>
        </w:numPr>
        <w:rPr>
          <w:rFonts w:ascii="Arial" w:cs="Arial" w:eastAsia="Arial" w:hAnsi="Arial"/>
          <w:sz w:val="22"/>
          <w:szCs w:val="22"/>
          <w:color w:val="auto"/>
          <w:vertAlign w:val="superscript"/>
        </w:rPr>
      </w:pPr>
      <w:r>
        <w:rPr>
          <w:rFonts w:ascii="Arial" w:cs="Arial" w:eastAsia="Arial" w:hAnsi="Arial"/>
          <w:sz w:val="14"/>
          <w:szCs w:val="14"/>
          <w:color w:val="auto"/>
        </w:rPr>
        <w:t>In cases of retirement, options outstanding for at least one year will immediately vest and remain exercisable for the balance of the option term. In cases of involuntary not for cause termination, options outstanding for at least 12 months will continue to vest and remain exercisable for 24 months following termination of employment contingent upon signing a waiver and release. In cases of retirement or involuntary not for cause termination, options outstanding for less than 12 months forfeit. In cases of Change of Control, death, and disability, all outstanding options will immediately vest and remain exercisable for the balance of the option term.</w:t>
      </w:r>
    </w:p>
    <w:p>
      <w:pPr>
        <w:spacing w:after="0" w:line="26" w:lineRule="exact"/>
        <w:rPr>
          <w:rFonts w:ascii="Arial" w:cs="Arial" w:eastAsia="Arial" w:hAnsi="Arial"/>
          <w:sz w:val="22"/>
          <w:szCs w:val="22"/>
          <w:color w:val="auto"/>
          <w:vertAlign w:val="superscript"/>
        </w:rPr>
      </w:pPr>
    </w:p>
    <w:p>
      <w:pPr>
        <w:jc w:val="both"/>
        <w:ind w:left="346" w:right="20" w:hanging="346"/>
        <w:spacing w:after="0" w:line="214" w:lineRule="auto"/>
        <w:tabs>
          <w:tab w:leader="none" w:pos="346" w:val="left"/>
        </w:tabs>
        <w:numPr>
          <w:ilvl w:val="0"/>
          <w:numId w:val="69"/>
        </w:numPr>
        <w:rPr>
          <w:rFonts w:ascii="Arial" w:cs="Arial" w:eastAsia="Arial" w:hAnsi="Arial"/>
          <w:sz w:val="22"/>
          <w:szCs w:val="22"/>
          <w:color w:val="auto"/>
          <w:vertAlign w:val="superscript"/>
        </w:rPr>
      </w:pPr>
      <w:r>
        <w:rPr>
          <w:rFonts w:ascii="Arial" w:cs="Arial" w:eastAsia="Arial" w:hAnsi="Arial"/>
          <w:sz w:val="14"/>
          <w:szCs w:val="14"/>
          <w:color w:val="auto"/>
        </w:rPr>
        <w:t xml:space="preserve">Performance-based and time-based RSUs are valued at the closing price on December 29, 2023, the last trading day of 2023, and vesting rules are applied as described in section entitled “Explanation of Benefits Payable upon Various Termination Events” on page </w:t>
      </w:r>
      <w:r>
        <w:rPr>
          <w:rFonts w:ascii="Arial" w:cs="Arial" w:eastAsia="Arial" w:hAnsi="Arial"/>
          <w:sz w:val="14"/>
          <w:szCs w:val="14"/>
          <w:u w:val="single" w:color="auto"/>
          <w:color w:val="0000EE"/>
        </w:rPr>
        <w:t>87</w:t>
      </w:r>
      <w:r>
        <w:rPr>
          <w:rFonts w:ascii="Arial" w:cs="Arial" w:eastAsia="Arial" w:hAnsi="Arial"/>
          <w:sz w:val="14"/>
          <w:szCs w:val="14"/>
          <w:color w:val="auto"/>
        </w:rPr>
        <w:t xml:space="preserve"> of this Proxy Statement.</w:t>
      </w:r>
    </w:p>
    <w:p>
      <w:pPr>
        <w:spacing w:after="0" w:line="27" w:lineRule="exact"/>
        <w:rPr>
          <w:rFonts w:ascii="Arial" w:cs="Arial" w:eastAsia="Arial" w:hAnsi="Arial"/>
          <w:sz w:val="22"/>
          <w:szCs w:val="22"/>
          <w:color w:val="auto"/>
          <w:vertAlign w:val="superscript"/>
        </w:rPr>
      </w:pPr>
    </w:p>
    <w:p>
      <w:pPr>
        <w:jc w:val="both"/>
        <w:ind w:left="346" w:right="20" w:hanging="346"/>
        <w:spacing w:after="0" w:line="220" w:lineRule="auto"/>
        <w:tabs>
          <w:tab w:leader="none" w:pos="346" w:val="left"/>
        </w:tabs>
        <w:numPr>
          <w:ilvl w:val="0"/>
          <w:numId w:val="69"/>
        </w:numPr>
        <w:rPr>
          <w:rFonts w:ascii="Arial" w:cs="Arial" w:eastAsia="Arial" w:hAnsi="Arial"/>
          <w:sz w:val="22"/>
          <w:szCs w:val="22"/>
          <w:color w:val="auto"/>
          <w:vertAlign w:val="superscript"/>
        </w:rPr>
      </w:pPr>
      <w:r>
        <w:rPr>
          <w:rFonts w:ascii="Arial" w:cs="Arial" w:eastAsia="Arial" w:hAnsi="Arial"/>
          <w:sz w:val="14"/>
          <w:szCs w:val="14"/>
          <w:color w:val="auto"/>
        </w:rPr>
        <w:t>For retirement, involuntary termination, and death and disability purposes: CIUs for the 2021-2023 cycle are valued at 0.62 per unit (inclusive of TSR modifier) based upon actual achievement of performance metrics, CIUs for the 2022-2024 cycle are being accrued at 0.53 per unit (inclusive of TSR modifier), and the CIUs for the 2023-2025 cycle are being accrued at 0.93 per unit (inclusive of TSR modifier). For Change of Control purposes, CIUs are valued at target.</w:t>
      </w:r>
    </w:p>
    <w:p>
      <w:pPr>
        <w:spacing w:after="0" w:line="27" w:lineRule="exact"/>
        <w:rPr>
          <w:sz w:val="20"/>
          <w:szCs w:val="20"/>
          <w:color w:val="auto"/>
        </w:rPr>
      </w:pPr>
    </w:p>
    <w:p>
      <w:pPr>
        <w:ind w:left="346" w:hanging="346"/>
        <w:spacing w:after="0"/>
        <w:tabs>
          <w:tab w:leader="none" w:pos="346" w:val="left"/>
        </w:tabs>
        <w:numPr>
          <w:ilvl w:val="0"/>
          <w:numId w:val="70"/>
        </w:numPr>
        <w:rPr>
          <w:rFonts w:ascii="Arial" w:cs="Arial" w:eastAsia="Arial" w:hAnsi="Arial"/>
          <w:sz w:val="14"/>
          <w:szCs w:val="14"/>
          <w:color w:val="auto"/>
        </w:rPr>
      </w:pPr>
      <w:r>
        <w:rPr>
          <w:rFonts w:ascii="Arial" w:cs="Arial" w:eastAsia="Arial" w:hAnsi="Arial"/>
          <w:sz w:val="14"/>
          <w:szCs w:val="14"/>
          <w:color w:val="auto"/>
        </w:rPr>
        <w:t xml:space="preserve">For more information, please see “Explanation of Benefits Payable upon Various Termination Events” on page </w:t>
      </w:r>
      <w:r>
        <w:rPr>
          <w:rFonts w:ascii="Arial" w:cs="Arial" w:eastAsia="Arial" w:hAnsi="Arial"/>
          <w:sz w:val="14"/>
          <w:szCs w:val="14"/>
          <w:u w:val="single" w:color="auto"/>
          <w:color w:val="0000EE"/>
        </w:rPr>
        <w:t>87</w:t>
      </w:r>
      <w:r>
        <w:rPr>
          <w:rFonts w:ascii="Arial" w:cs="Arial" w:eastAsia="Arial" w:hAnsi="Arial"/>
          <w:sz w:val="14"/>
          <w:szCs w:val="14"/>
          <w:color w:val="auto"/>
        </w:rPr>
        <w:t xml:space="preserve"> of this Proxy Statement.</w:t>
      </w:r>
    </w:p>
    <w:p>
      <w:pPr>
        <w:spacing w:after="0" w:line="55" w:lineRule="exact"/>
        <w:rPr>
          <w:sz w:val="20"/>
          <w:szCs w:val="20"/>
          <w:color w:val="auto"/>
        </w:rPr>
      </w:pPr>
    </w:p>
    <w:p>
      <w:pPr>
        <w:ind w:left="346" w:right="20" w:hanging="346"/>
        <w:spacing w:after="0" w:line="204" w:lineRule="auto"/>
        <w:tabs>
          <w:tab w:leader="none" w:pos="346"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Amount shown is the incremental cost to the Company of providing financial counseling through the severance period using the 2023 financial rate of $14,795.</w:t>
      </w:r>
    </w:p>
    <w:p>
      <w:pPr>
        <w:spacing w:after="0" w:line="26" w:lineRule="exact"/>
        <w:rPr>
          <w:rFonts w:ascii="Arial" w:cs="Arial" w:eastAsia="Arial" w:hAnsi="Arial"/>
          <w:sz w:val="22"/>
          <w:szCs w:val="22"/>
          <w:color w:val="auto"/>
          <w:vertAlign w:val="superscript"/>
        </w:rPr>
      </w:pPr>
    </w:p>
    <w:p>
      <w:pPr>
        <w:ind w:left="346" w:right="20" w:hanging="346"/>
        <w:spacing w:after="0" w:line="204" w:lineRule="auto"/>
        <w:tabs>
          <w:tab w:leader="none" w:pos="346"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Amount shown is the present value of the Company’s incremental cost to continue medical and other health and welfare plans for two years, plus the Company’s cost for outplacement services calculated at 12 percent of base salary up to a maximum of $50,000.</w:t>
      </w:r>
    </w:p>
    <w:p>
      <w:pPr>
        <w:spacing w:after="0" w:line="26" w:lineRule="exact"/>
        <w:rPr>
          <w:rFonts w:ascii="Arial" w:cs="Arial" w:eastAsia="Arial" w:hAnsi="Arial"/>
          <w:sz w:val="22"/>
          <w:szCs w:val="22"/>
          <w:color w:val="auto"/>
          <w:vertAlign w:val="superscript"/>
        </w:rPr>
      </w:pPr>
    </w:p>
    <w:p>
      <w:pPr>
        <w:jc w:val="both"/>
        <w:ind w:left="346" w:hanging="346"/>
        <w:spacing w:after="0" w:line="224" w:lineRule="auto"/>
        <w:tabs>
          <w:tab w:leader="none" w:pos="346"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Mr. Goldstein and Mr. Fairweather are the only pension eligible NEOs and are fully vested in their pension benefit. Amounts shown in the case of a Change of Control with termination and Involuntary Not for Cause Termination is the increase in lump-sum actuarial equivalent of the pension age and service and earnings credits for the associated severance period. The incremental pension benefit under Involuntary Not for Cause Termination was a decrease of $19,031 for Mr. Goldstein. For purposes of computing amounts in the table above, negative values were reflected at $0.</w:t>
      </w:r>
    </w:p>
    <w:p>
      <w:pPr>
        <w:spacing w:after="0" w:line="26" w:lineRule="exact"/>
        <w:rPr>
          <w:rFonts w:ascii="Arial" w:cs="Arial" w:eastAsia="Arial" w:hAnsi="Arial"/>
          <w:sz w:val="22"/>
          <w:szCs w:val="22"/>
          <w:color w:val="auto"/>
          <w:vertAlign w:val="superscript"/>
        </w:rPr>
      </w:pPr>
    </w:p>
    <w:p>
      <w:pPr>
        <w:jc w:val="both"/>
        <w:ind w:left="346" w:right="20" w:hanging="346"/>
        <w:spacing w:after="0" w:line="214" w:lineRule="auto"/>
        <w:tabs>
          <w:tab w:leader="none" w:pos="346"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 xml:space="preserve">Ranges under the Involuntary Not for Cause Termination column represent variance between the named executive officer’s basic severance plan and conditional severance payment as explained in “Involuntary/Not for Cause Termination – Severance Pay Plan” on page </w:t>
      </w:r>
      <w:r>
        <w:rPr>
          <w:rFonts w:ascii="Arial" w:cs="Arial" w:eastAsia="Arial" w:hAnsi="Arial"/>
          <w:sz w:val="14"/>
          <w:szCs w:val="14"/>
          <w:u w:val="single" w:color="auto"/>
          <w:color w:val="0000EE"/>
        </w:rPr>
        <w:t>87</w:t>
      </w:r>
      <w:r>
        <w:rPr>
          <w:rFonts w:ascii="Arial" w:cs="Arial" w:eastAsia="Arial" w:hAnsi="Arial"/>
          <w:sz w:val="14"/>
          <w:szCs w:val="14"/>
          <w:color w:val="auto"/>
        </w:rPr>
        <w:t xml:space="preserve"> of this Proxy Statement. Ranges also include applicability of retiree treatment where relevant.</w:t>
      </w:r>
    </w:p>
    <w:p>
      <w:pPr>
        <w:spacing w:after="0" w:line="180"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128905</wp:posOffset>
            </wp:positionV>
            <wp:extent cx="699516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EXECUTIVE COMPENSATION TABLES AND RELATED NARRATIVE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175260</wp:posOffset>
            </wp:positionV>
            <wp:extent cx="582930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Explanation of Benefits Payable upon Various Termination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Resignation</w:t>
      </w:r>
    </w:p>
    <w:p>
      <w:pPr>
        <w:spacing w:after="0" w:line="17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 voluntary termination would not provide any compensation, benefits or special treatment under equity plans for any of the NEOs.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Early and Normal Retirement</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U.S. Pitney Bowes Pension Plan allows for early retirement at age 55 with at least ten years of service, and normal retirement at age 65 with at least three years of service.</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long-term incentive program defines retirement as at least age 60 with five or more years of service. For those who have not reached 60 years of age, early retirement is defined as at least age 55 with ten or more years of service.</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NEOs meeting the requirements for retirement are entitled to a prorated annual incentive award in addition to the following upon termination: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NEOs at least 60 years of age with five or more years of service:</w:t>
      </w:r>
    </w:p>
    <w:p>
      <w:pPr>
        <w:spacing w:after="0" w:line="50" w:lineRule="exact"/>
        <w:rPr>
          <w:sz w:val="20"/>
          <w:szCs w:val="20"/>
          <w:color w:val="auto"/>
        </w:rPr>
      </w:pPr>
    </w:p>
    <w:p>
      <w:pPr>
        <w:ind w:left="420" w:hanging="210"/>
        <w:spacing w:after="0" w:line="266" w:lineRule="auto"/>
        <w:tabs>
          <w:tab w:leader="none" w:pos="420" w:val="left"/>
        </w:tabs>
        <w:numPr>
          <w:ilvl w:val="0"/>
          <w:numId w:val="72"/>
        </w:numPr>
        <w:rPr>
          <w:rFonts w:ascii="Arial" w:cs="Arial" w:eastAsia="Arial" w:hAnsi="Arial"/>
          <w:sz w:val="18"/>
          <w:szCs w:val="18"/>
          <w:color w:val="0072AF"/>
        </w:rPr>
      </w:pPr>
      <w:r>
        <w:rPr>
          <w:rFonts w:ascii="Arial" w:cs="Arial" w:eastAsia="Arial" w:hAnsi="Arial"/>
          <w:sz w:val="18"/>
          <w:szCs w:val="18"/>
          <w:color w:val="auto"/>
        </w:rPr>
        <w:t>PSUs and CIUs which are outstanding for at least 12 months prior to separation, fully vest at the end of the performance period. Awards outstanding for less than 12 months are forfeited.</w:t>
      </w:r>
    </w:p>
    <w:p>
      <w:pPr>
        <w:jc w:val="both"/>
        <w:ind w:left="420" w:hanging="210"/>
        <w:spacing w:after="0" w:line="253" w:lineRule="auto"/>
        <w:tabs>
          <w:tab w:leader="none" w:pos="420" w:val="left"/>
        </w:tabs>
        <w:numPr>
          <w:ilvl w:val="0"/>
          <w:numId w:val="72"/>
        </w:numPr>
        <w:rPr>
          <w:rFonts w:ascii="Arial" w:cs="Arial" w:eastAsia="Arial" w:hAnsi="Arial"/>
          <w:sz w:val="18"/>
          <w:szCs w:val="18"/>
          <w:color w:val="0072AF"/>
        </w:rPr>
      </w:pPr>
      <w:r>
        <w:rPr>
          <w:rFonts w:ascii="Arial" w:cs="Arial" w:eastAsia="Arial" w:hAnsi="Arial"/>
          <w:sz w:val="18"/>
          <w:szCs w:val="18"/>
          <w:color w:val="auto"/>
        </w:rPr>
        <w:t>NSOs and performance-based and time-based RSUs, which are outstanding for at least 12 months prior to separation, fully vest. NSOs remain exercisable for the duration of the term. Awards outstanding for less than 12 months are forfeited.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NEOs at least 55 years of age with ten or more years of service:</w:t>
      </w:r>
    </w:p>
    <w:p>
      <w:pPr>
        <w:spacing w:after="0" w:line="50" w:lineRule="exact"/>
        <w:rPr>
          <w:sz w:val="20"/>
          <w:szCs w:val="20"/>
          <w:color w:val="auto"/>
        </w:rPr>
      </w:pPr>
    </w:p>
    <w:p>
      <w:pPr>
        <w:jc w:val="both"/>
        <w:ind w:left="420" w:hanging="210"/>
        <w:spacing w:after="0" w:line="253" w:lineRule="auto"/>
        <w:tabs>
          <w:tab w:leader="none" w:pos="420" w:val="left"/>
        </w:tabs>
        <w:numPr>
          <w:ilvl w:val="0"/>
          <w:numId w:val="73"/>
        </w:numPr>
        <w:rPr>
          <w:rFonts w:ascii="Arial" w:cs="Arial" w:eastAsia="Arial" w:hAnsi="Arial"/>
          <w:sz w:val="18"/>
          <w:szCs w:val="18"/>
          <w:color w:val="0072AF"/>
        </w:rPr>
      </w:pPr>
      <w:r>
        <w:rPr>
          <w:rFonts w:ascii="Arial" w:cs="Arial" w:eastAsia="Arial" w:hAnsi="Arial"/>
          <w:sz w:val="18"/>
          <w:szCs w:val="18"/>
          <w:color w:val="auto"/>
        </w:rPr>
        <w:t>Prorated PSUs and CIUs based on full months of active service during the performance period vest at the end of the performance period. However, for NEOs at least 60 years of age with one or more CIU grants outstanding for at least 12 months fully vest, while those outstanding less than 12 months are forfeited;</w:t>
      </w:r>
    </w:p>
    <w:p>
      <w:pPr>
        <w:spacing w:after="0" w:line="6" w:lineRule="exact"/>
        <w:rPr>
          <w:rFonts w:ascii="Arial" w:cs="Arial" w:eastAsia="Arial" w:hAnsi="Arial"/>
          <w:sz w:val="18"/>
          <w:szCs w:val="18"/>
          <w:color w:val="0072AF"/>
        </w:rPr>
      </w:pPr>
    </w:p>
    <w:p>
      <w:pPr>
        <w:ind w:left="420" w:hanging="210"/>
        <w:spacing w:after="0" w:line="271" w:lineRule="auto"/>
        <w:tabs>
          <w:tab w:leader="none" w:pos="420" w:val="left"/>
        </w:tabs>
        <w:numPr>
          <w:ilvl w:val="0"/>
          <w:numId w:val="73"/>
        </w:numPr>
        <w:rPr>
          <w:rFonts w:ascii="Arial" w:cs="Arial" w:eastAsia="Arial" w:hAnsi="Arial"/>
          <w:sz w:val="18"/>
          <w:szCs w:val="18"/>
          <w:color w:val="0072AF"/>
        </w:rPr>
      </w:pPr>
      <w:r>
        <w:rPr>
          <w:rFonts w:ascii="Arial" w:cs="Arial" w:eastAsia="Arial" w:hAnsi="Arial"/>
          <w:sz w:val="18"/>
          <w:szCs w:val="18"/>
          <w:color w:val="auto"/>
        </w:rPr>
        <w:t>NSOs, performance-based and time-based RSUs outstanding for at least 12 months fully vest and NSOs remain exercisable for the duration of the term. Awards outstanding less than 12 months are forfeited.</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Involuntary/Not for Cause Termination – Severance Pay Plan</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maintain a severance pay plan that provides for separation pay to full-time employees based in the United States whose employment is terminated under certain business circumstances. The Pitney Bowes Severance Pay Plan provides a continuation of compensation upon a termination by the Company due to a full or partial shutdown of a business, a facility or department; certain sales of all or part of the Company’s business; the elimination of the employee’s job; or other circumstances deemed appropriate by the Company in its discretion as summarized below. Where an employee is involuntarily terminated after becoming eligible for early retirement, the employee is eligible for benefits afforded early retirees or involuntarily terminated employees, whichever is greater.</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Severance Pay Plan provides for a minimum of two-weeks of salary continuation (Base Severance) and for one week of salary continuation benefits per year of service and a half week of salary continuation for each completed half year of service, inclusive of Base Severance. Salary continuation benefits in excess of two weeks of salary require a signed agreement containing a waiver and release (Conditional Severance). The Company’s practice is generally to pay additional severance based on factors such as years of service and level within the Company. NEOs may be eligible for up to 78 weeks of the sum of both base pay and current target annual incentive, inclusive of severance payable under the Severance Pay Plan. The maximum severance benefit under the Severance Pay Plan is two years of salary continuation.</w:t>
      </w:r>
    </w:p>
    <w:p>
      <w:pPr>
        <w:spacing w:after="0" w:line="3"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In the event a participant terminates employment under the terms of a written severance agreement but is not otherwise retirement eligible:</w:t>
      </w:r>
    </w:p>
    <w:p>
      <w:pPr>
        <w:spacing w:after="0" w:line="10" w:lineRule="exact"/>
        <w:rPr>
          <w:sz w:val="20"/>
          <w:szCs w:val="20"/>
          <w:color w:val="auto"/>
        </w:rPr>
      </w:pPr>
    </w:p>
    <w:p>
      <w:pPr>
        <w:ind w:left="420" w:right="20" w:hanging="210"/>
        <w:spacing w:after="0" w:line="266" w:lineRule="auto"/>
        <w:tabs>
          <w:tab w:leader="none" w:pos="420" w:val="left"/>
        </w:tabs>
        <w:numPr>
          <w:ilvl w:val="0"/>
          <w:numId w:val="74"/>
        </w:numPr>
        <w:rPr>
          <w:rFonts w:ascii="Arial" w:cs="Arial" w:eastAsia="Arial" w:hAnsi="Arial"/>
          <w:sz w:val="18"/>
          <w:szCs w:val="18"/>
          <w:color w:val="0072AF"/>
        </w:rPr>
      </w:pPr>
      <w:r>
        <w:rPr>
          <w:rFonts w:ascii="Arial" w:cs="Arial" w:eastAsia="Arial" w:hAnsi="Arial"/>
          <w:sz w:val="18"/>
          <w:szCs w:val="18"/>
          <w:color w:val="auto"/>
        </w:rPr>
        <w:t>Under the applicable award agreements, PSUs outstanding for at least 12 months are prorated based on service during the three-year performance cycle, vested and paid at the end of each three-year cycle</w:t>
      </w:r>
    </w:p>
    <w:p>
      <w:pPr>
        <w:ind w:left="420" w:right="20" w:hanging="210"/>
        <w:spacing w:after="0" w:line="271" w:lineRule="auto"/>
        <w:tabs>
          <w:tab w:leader="none" w:pos="420" w:val="left"/>
        </w:tabs>
        <w:numPr>
          <w:ilvl w:val="0"/>
          <w:numId w:val="74"/>
        </w:numPr>
        <w:rPr>
          <w:rFonts w:ascii="Arial" w:cs="Arial" w:eastAsia="Arial" w:hAnsi="Arial"/>
          <w:sz w:val="18"/>
          <w:szCs w:val="18"/>
          <w:color w:val="0072AF"/>
        </w:rPr>
      </w:pPr>
      <w:r>
        <w:rPr>
          <w:rFonts w:ascii="Arial" w:cs="Arial" w:eastAsia="Arial" w:hAnsi="Arial"/>
          <w:sz w:val="18"/>
          <w:szCs w:val="18"/>
          <w:color w:val="auto"/>
        </w:rPr>
        <w:t>For NEOs, NSOs and performance-based and time-based RSUs outstanding for at least 12 months will continue to vest up to 24 months following termination and will expire at the end of this period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EXECUTIVE COMPENSATION TABLES AND RELATED NARRATIVE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ind w:left="420" w:right="20" w:hanging="210"/>
        <w:spacing w:after="0" w:line="271" w:lineRule="auto"/>
        <w:tabs>
          <w:tab w:leader="none" w:pos="420" w:val="left"/>
        </w:tabs>
        <w:numPr>
          <w:ilvl w:val="0"/>
          <w:numId w:val="75"/>
        </w:numPr>
        <w:rPr>
          <w:rFonts w:ascii="Arial" w:cs="Arial" w:eastAsia="Arial" w:hAnsi="Arial"/>
          <w:sz w:val="18"/>
          <w:szCs w:val="18"/>
          <w:color w:val="0072AF"/>
        </w:rPr>
      </w:pPr>
      <w:r>
        <w:rPr>
          <w:rFonts w:ascii="Arial" w:cs="Arial" w:eastAsia="Arial" w:hAnsi="Arial"/>
          <w:sz w:val="18"/>
          <w:szCs w:val="18"/>
          <w:color w:val="auto"/>
        </w:rPr>
        <w:t>Under the KEIP, CIUs outstanding for at least 12 months will be prorated based on service during the three-year performance cycle, vested and paid at the end of each three-year cycle.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 a sale, spin-off or outsourcing of a business unit:</w:t>
      </w:r>
    </w:p>
    <w:p>
      <w:pPr>
        <w:spacing w:after="0" w:line="50" w:lineRule="exact"/>
        <w:rPr>
          <w:sz w:val="20"/>
          <w:szCs w:val="20"/>
          <w:color w:val="auto"/>
        </w:rPr>
      </w:pPr>
    </w:p>
    <w:p>
      <w:pPr>
        <w:jc w:val="both"/>
        <w:ind w:left="420" w:right="20" w:hanging="210"/>
        <w:spacing w:after="0" w:line="247" w:lineRule="auto"/>
        <w:tabs>
          <w:tab w:leader="none" w:pos="420" w:val="left"/>
        </w:tabs>
        <w:numPr>
          <w:ilvl w:val="0"/>
          <w:numId w:val="76"/>
        </w:numPr>
        <w:rPr>
          <w:rFonts w:ascii="Arial" w:cs="Arial" w:eastAsia="Arial" w:hAnsi="Arial"/>
          <w:sz w:val="18"/>
          <w:szCs w:val="18"/>
          <w:color w:val="0072AF"/>
        </w:rPr>
      </w:pPr>
      <w:r>
        <w:rPr>
          <w:rFonts w:ascii="Arial" w:cs="Arial" w:eastAsia="Arial" w:hAnsi="Arial"/>
          <w:sz w:val="18"/>
          <w:szCs w:val="18"/>
          <w:color w:val="auto"/>
        </w:rPr>
        <w:t>Under the applicable award agreements, time-based RSUs will vest in full, performance-based RSUs will vest upon meeting the applicable performance goal, and PSUs will vest on a prorated basis based on service during the performance cycle with the number of units vesting determined and converted into stock at the end of the three-year cycle.</w:t>
      </w:r>
    </w:p>
    <w:p>
      <w:pPr>
        <w:spacing w:after="0" w:line="11" w:lineRule="exact"/>
        <w:rPr>
          <w:rFonts w:ascii="Arial" w:cs="Arial" w:eastAsia="Arial" w:hAnsi="Arial"/>
          <w:sz w:val="18"/>
          <w:szCs w:val="18"/>
          <w:color w:val="0072AF"/>
        </w:rPr>
      </w:pPr>
    </w:p>
    <w:p>
      <w:pPr>
        <w:ind w:left="420" w:hanging="210"/>
        <w:spacing w:after="0"/>
        <w:tabs>
          <w:tab w:leader="none" w:pos="420" w:val="left"/>
        </w:tabs>
        <w:numPr>
          <w:ilvl w:val="0"/>
          <w:numId w:val="76"/>
        </w:numPr>
        <w:rPr>
          <w:rFonts w:ascii="Arial" w:cs="Arial" w:eastAsia="Arial" w:hAnsi="Arial"/>
          <w:sz w:val="18"/>
          <w:szCs w:val="18"/>
          <w:color w:val="0072AF"/>
        </w:rPr>
      </w:pPr>
      <w:r>
        <w:rPr>
          <w:rFonts w:ascii="Arial" w:cs="Arial" w:eastAsia="Arial" w:hAnsi="Arial"/>
          <w:sz w:val="18"/>
          <w:szCs w:val="18"/>
          <w:color w:val="auto"/>
        </w:rPr>
        <w:t>Under the KEIP, CIUs will be prorated based on service during the performance cycle.</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Board has the discretion to accelerate vesting of restricted stock, performance-based RSUs, time-based RSUs, PSUs, and CIUs that would otherwise be forfeited.</w:t>
      </w:r>
    </w:p>
    <w:p>
      <w:pPr>
        <w:spacing w:after="0" w:line="1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may offer additional severance benefits to employees, including NEOs, upon termination of employment, conditioned upon signing a waiver and release. Additional severance could include the following payments:</w:t>
      </w:r>
    </w:p>
    <w:p>
      <w:pPr>
        <w:ind w:left="420" w:hanging="210"/>
        <w:spacing w:after="0"/>
        <w:tabs>
          <w:tab w:leader="none" w:pos="420" w:val="left"/>
        </w:tabs>
        <w:numPr>
          <w:ilvl w:val="0"/>
          <w:numId w:val="77"/>
        </w:numPr>
        <w:rPr>
          <w:rFonts w:ascii="Arial" w:cs="Arial" w:eastAsia="Arial" w:hAnsi="Arial"/>
          <w:sz w:val="18"/>
          <w:szCs w:val="18"/>
          <w:color w:val="0072AF"/>
        </w:rPr>
      </w:pPr>
      <w:r>
        <w:rPr>
          <w:rFonts w:ascii="Arial" w:cs="Arial" w:eastAsia="Arial" w:hAnsi="Arial"/>
          <w:sz w:val="18"/>
          <w:szCs w:val="18"/>
          <w:color w:val="auto"/>
        </w:rPr>
        <w:t>A prorated annual incentive award to the date of termination of employment;</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77"/>
        </w:numPr>
        <w:rPr>
          <w:rFonts w:ascii="Arial" w:cs="Arial" w:eastAsia="Arial" w:hAnsi="Arial"/>
          <w:sz w:val="18"/>
          <w:szCs w:val="18"/>
          <w:color w:val="0072AF"/>
        </w:rPr>
      </w:pPr>
      <w:r>
        <w:rPr>
          <w:rFonts w:ascii="Arial" w:cs="Arial" w:eastAsia="Arial" w:hAnsi="Arial"/>
          <w:sz w:val="18"/>
          <w:szCs w:val="18"/>
          <w:color w:val="auto"/>
        </w:rPr>
        <w:t>Financial counseling through the severance period; and</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77"/>
        </w:numPr>
        <w:rPr>
          <w:rFonts w:ascii="Arial" w:cs="Arial" w:eastAsia="Arial" w:hAnsi="Arial"/>
          <w:sz w:val="18"/>
          <w:szCs w:val="18"/>
          <w:color w:val="0072AF"/>
        </w:rPr>
      </w:pPr>
      <w:r>
        <w:rPr>
          <w:rFonts w:ascii="Arial" w:cs="Arial" w:eastAsia="Arial" w:hAnsi="Arial"/>
          <w:sz w:val="18"/>
          <w:szCs w:val="18"/>
          <w:color w:val="auto"/>
        </w:rPr>
        <w:t>Outplacement services.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Termination for Cause</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Termination for cause would not provide any additional compensation, severance, benefits or special treatment under equity plans to any of the NEOs. “Cause” as defined under the Severance Pay Plan means with respect to the Company, embezzlement, malfeasance, commission of a felony, the non-performance of one’s job or duties as determined by the Company in its sole discretion and acts of moral turpitude.</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Death</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NEO’s beneficiary would be entitled to the following upon the executive’s death:</w:t>
      </w:r>
    </w:p>
    <w:p>
      <w:pPr>
        <w:spacing w:after="0" w:line="50" w:lineRule="exact"/>
        <w:rPr>
          <w:sz w:val="20"/>
          <w:szCs w:val="20"/>
          <w:color w:val="auto"/>
        </w:rPr>
      </w:pPr>
    </w:p>
    <w:p>
      <w:pPr>
        <w:ind w:left="420" w:hanging="210"/>
        <w:spacing w:after="0"/>
        <w:tabs>
          <w:tab w:leader="none" w:pos="420" w:val="left"/>
        </w:tabs>
        <w:numPr>
          <w:ilvl w:val="0"/>
          <w:numId w:val="78"/>
        </w:numPr>
        <w:rPr>
          <w:rFonts w:ascii="Arial" w:cs="Arial" w:eastAsia="Arial" w:hAnsi="Arial"/>
          <w:sz w:val="18"/>
          <w:szCs w:val="18"/>
          <w:color w:val="0072AF"/>
        </w:rPr>
      </w:pPr>
      <w:r>
        <w:rPr>
          <w:rFonts w:ascii="Arial" w:cs="Arial" w:eastAsia="Arial" w:hAnsi="Arial"/>
          <w:sz w:val="18"/>
          <w:szCs w:val="18"/>
          <w:color w:val="auto"/>
        </w:rPr>
        <w:t>A prorated annual incentive award;</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78"/>
        </w:numPr>
        <w:rPr>
          <w:rFonts w:ascii="Arial" w:cs="Arial" w:eastAsia="Arial" w:hAnsi="Arial"/>
          <w:sz w:val="18"/>
          <w:szCs w:val="18"/>
          <w:color w:val="0072AF"/>
        </w:rPr>
      </w:pPr>
      <w:r>
        <w:rPr>
          <w:rFonts w:ascii="Arial" w:cs="Arial" w:eastAsia="Arial" w:hAnsi="Arial"/>
          <w:sz w:val="18"/>
          <w:szCs w:val="18"/>
          <w:color w:val="auto"/>
        </w:rPr>
        <w:t>PSUs and CIUs are prorated through the date of death and vest at the end of the performance period;</w:t>
      </w:r>
    </w:p>
    <w:p>
      <w:pPr>
        <w:spacing w:after="0" w:line="49" w:lineRule="exact"/>
        <w:rPr>
          <w:rFonts w:ascii="Arial" w:cs="Arial" w:eastAsia="Arial" w:hAnsi="Arial"/>
          <w:sz w:val="18"/>
          <w:szCs w:val="18"/>
          <w:color w:val="0072AF"/>
        </w:rPr>
      </w:pPr>
    </w:p>
    <w:p>
      <w:pPr>
        <w:ind w:left="420" w:right="300" w:hanging="210"/>
        <w:spacing w:after="0" w:line="266" w:lineRule="auto"/>
        <w:tabs>
          <w:tab w:leader="none" w:pos="420" w:val="left"/>
        </w:tabs>
        <w:numPr>
          <w:ilvl w:val="0"/>
          <w:numId w:val="78"/>
        </w:numPr>
        <w:rPr>
          <w:rFonts w:ascii="Arial" w:cs="Arial" w:eastAsia="Arial" w:hAnsi="Arial"/>
          <w:sz w:val="18"/>
          <w:szCs w:val="18"/>
          <w:color w:val="0072AF"/>
        </w:rPr>
      </w:pPr>
      <w:r>
        <w:rPr>
          <w:rFonts w:ascii="Arial" w:cs="Arial" w:eastAsia="Arial" w:hAnsi="Arial"/>
          <w:sz w:val="18"/>
          <w:szCs w:val="18"/>
          <w:color w:val="auto"/>
        </w:rPr>
        <w:t>All NSOs will vest upon death. The NEO’s beneficiary can exercise NSOs during the remaining term of the grant; and</w:t>
      </w:r>
    </w:p>
    <w:p>
      <w:pPr>
        <w:ind w:left="420" w:hanging="210"/>
        <w:spacing w:after="0"/>
        <w:tabs>
          <w:tab w:leader="none" w:pos="420" w:val="left"/>
        </w:tabs>
        <w:numPr>
          <w:ilvl w:val="0"/>
          <w:numId w:val="78"/>
        </w:numPr>
        <w:rPr>
          <w:rFonts w:ascii="Arial" w:cs="Arial" w:eastAsia="Arial" w:hAnsi="Arial"/>
          <w:sz w:val="18"/>
          <w:szCs w:val="18"/>
          <w:color w:val="0072AF"/>
        </w:rPr>
      </w:pPr>
      <w:r>
        <w:rPr>
          <w:rFonts w:ascii="Arial" w:cs="Arial" w:eastAsia="Arial" w:hAnsi="Arial"/>
          <w:sz w:val="18"/>
          <w:szCs w:val="18"/>
          <w:color w:val="auto"/>
        </w:rPr>
        <w:t>Any unvested performance-based and time-based RSUs will vest.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Disability</w:t>
      </w:r>
    </w:p>
    <w:p>
      <w:pPr>
        <w:spacing w:after="0" w:line="17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Disability vesting occurs after the completion of two years of long-term disability or on the date of termination of employment due to disability, whichever is earlier. The NEOs would be entitled to the following upon termination for disability:</w:t>
      </w:r>
    </w:p>
    <w:p>
      <w:pPr>
        <w:spacing w:after="0" w:line="7" w:lineRule="exact"/>
        <w:rPr>
          <w:sz w:val="20"/>
          <w:szCs w:val="20"/>
          <w:color w:val="auto"/>
        </w:rPr>
      </w:pPr>
    </w:p>
    <w:p>
      <w:pPr>
        <w:ind w:left="420" w:hanging="210"/>
        <w:spacing w:after="0"/>
        <w:tabs>
          <w:tab w:leader="none" w:pos="420" w:val="left"/>
        </w:tabs>
        <w:numPr>
          <w:ilvl w:val="0"/>
          <w:numId w:val="79"/>
        </w:numPr>
        <w:rPr>
          <w:rFonts w:ascii="Arial" w:cs="Arial" w:eastAsia="Arial" w:hAnsi="Arial"/>
          <w:sz w:val="18"/>
          <w:szCs w:val="18"/>
          <w:color w:val="0072AF"/>
        </w:rPr>
      </w:pPr>
      <w:r>
        <w:rPr>
          <w:rFonts w:ascii="Arial" w:cs="Arial" w:eastAsia="Arial" w:hAnsi="Arial"/>
          <w:sz w:val="18"/>
          <w:szCs w:val="18"/>
          <w:color w:val="auto"/>
        </w:rPr>
        <w:t>A prorated annual incentive award;</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79"/>
        </w:numPr>
        <w:rPr>
          <w:rFonts w:ascii="Arial" w:cs="Arial" w:eastAsia="Arial" w:hAnsi="Arial"/>
          <w:sz w:val="18"/>
          <w:szCs w:val="18"/>
          <w:color w:val="0072AF"/>
        </w:rPr>
      </w:pPr>
      <w:r>
        <w:rPr>
          <w:rFonts w:ascii="Arial" w:cs="Arial" w:eastAsia="Arial" w:hAnsi="Arial"/>
          <w:sz w:val="18"/>
          <w:szCs w:val="18"/>
          <w:color w:val="auto"/>
        </w:rPr>
        <w:t>PSUs and CIUs are prorated through the date of disability and vest at the end of the performance period; and</w:t>
      </w:r>
    </w:p>
    <w:p>
      <w:pPr>
        <w:spacing w:after="0" w:line="49" w:lineRule="exact"/>
        <w:rPr>
          <w:rFonts w:ascii="Arial" w:cs="Arial" w:eastAsia="Arial" w:hAnsi="Arial"/>
          <w:sz w:val="18"/>
          <w:szCs w:val="18"/>
          <w:color w:val="0072AF"/>
        </w:rPr>
      </w:pPr>
    </w:p>
    <w:p>
      <w:pPr>
        <w:ind w:left="420" w:hanging="210"/>
        <w:spacing w:after="0" w:line="271" w:lineRule="auto"/>
        <w:tabs>
          <w:tab w:leader="none" w:pos="420" w:val="left"/>
        </w:tabs>
        <w:numPr>
          <w:ilvl w:val="0"/>
          <w:numId w:val="79"/>
        </w:numPr>
        <w:rPr>
          <w:rFonts w:ascii="Arial" w:cs="Arial" w:eastAsia="Arial" w:hAnsi="Arial"/>
          <w:sz w:val="18"/>
          <w:szCs w:val="18"/>
          <w:color w:val="0072AF"/>
        </w:rPr>
      </w:pPr>
      <w:r>
        <w:rPr>
          <w:rFonts w:ascii="Arial" w:cs="Arial" w:eastAsia="Arial" w:hAnsi="Arial"/>
          <w:sz w:val="18"/>
          <w:szCs w:val="18"/>
          <w:color w:val="auto"/>
        </w:rPr>
        <w:t>All NSOs, performance-based and time-based RSUs will vest upon disability vesting date (two years after the onset of LTD). NSOs can be exercised during the remaining term of the grant.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128905</wp:posOffset>
            </wp:positionV>
            <wp:extent cx="699516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EXECUTIVE COMPENSATION TABLES AND RELATED NARRATIVE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Change of Control Arrangements</w:t>
      </w:r>
    </w:p>
    <w:p>
      <w:pPr>
        <w:spacing w:after="0" w:line="18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Set forth below is a summary of our Change of Control arrangements as provided in the Senior Executive Severance Policy applicable to senior executives, including NEOs, and the Company’s Stock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 Change of Control is generally defined as:</w:t>
      </w:r>
    </w:p>
    <w:p>
      <w:pPr>
        <w:spacing w:after="0" w:line="50" w:lineRule="exact"/>
        <w:rPr>
          <w:sz w:val="20"/>
          <w:szCs w:val="20"/>
          <w:color w:val="auto"/>
        </w:rPr>
      </w:pPr>
    </w:p>
    <w:p>
      <w:pPr>
        <w:ind w:left="420" w:hanging="210"/>
        <w:spacing w:after="0" w:line="266" w:lineRule="auto"/>
        <w:tabs>
          <w:tab w:leader="none" w:pos="420" w:val="left"/>
        </w:tabs>
        <w:numPr>
          <w:ilvl w:val="0"/>
          <w:numId w:val="80"/>
        </w:numPr>
        <w:rPr>
          <w:rFonts w:ascii="Arial" w:cs="Arial" w:eastAsia="Arial" w:hAnsi="Arial"/>
          <w:sz w:val="18"/>
          <w:szCs w:val="18"/>
          <w:color w:val="0072AF"/>
        </w:rPr>
      </w:pPr>
      <w:r>
        <w:rPr>
          <w:rFonts w:ascii="Arial" w:cs="Arial" w:eastAsia="Arial" w:hAnsi="Arial"/>
          <w:sz w:val="18"/>
          <w:szCs w:val="18"/>
          <w:color w:val="auto"/>
        </w:rPr>
        <w:t>certain acquisitions of 30% or more of our Common Stock or 30% or more of the combined voting power of our voting securities by an individual, entity or group;</w:t>
      </w:r>
    </w:p>
    <w:p>
      <w:pPr>
        <w:ind w:left="420" w:hanging="210"/>
        <w:spacing w:after="0"/>
        <w:tabs>
          <w:tab w:leader="none" w:pos="420" w:val="left"/>
        </w:tabs>
        <w:numPr>
          <w:ilvl w:val="0"/>
          <w:numId w:val="80"/>
        </w:numPr>
        <w:rPr>
          <w:rFonts w:ascii="Arial" w:cs="Arial" w:eastAsia="Arial" w:hAnsi="Arial"/>
          <w:sz w:val="18"/>
          <w:szCs w:val="18"/>
          <w:color w:val="0072AF"/>
        </w:rPr>
      </w:pPr>
      <w:r>
        <w:rPr>
          <w:rFonts w:ascii="Arial" w:cs="Arial" w:eastAsia="Arial" w:hAnsi="Arial"/>
          <w:sz w:val="18"/>
          <w:szCs w:val="18"/>
          <w:color w:val="auto"/>
        </w:rPr>
        <w:t>the replacement of a majority of the Board other than by approval of the incumbent Board;</w:t>
      </w:r>
    </w:p>
    <w:p>
      <w:pPr>
        <w:spacing w:after="0" w:line="49" w:lineRule="exact"/>
        <w:rPr>
          <w:rFonts w:ascii="Arial" w:cs="Arial" w:eastAsia="Arial" w:hAnsi="Arial"/>
          <w:sz w:val="18"/>
          <w:szCs w:val="18"/>
          <w:color w:val="0072AF"/>
        </w:rPr>
      </w:pPr>
    </w:p>
    <w:p>
      <w:pPr>
        <w:ind w:left="420" w:hanging="210"/>
        <w:spacing w:after="0" w:line="266" w:lineRule="auto"/>
        <w:tabs>
          <w:tab w:leader="none" w:pos="420" w:val="left"/>
        </w:tabs>
        <w:numPr>
          <w:ilvl w:val="0"/>
          <w:numId w:val="80"/>
        </w:numPr>
        <w:rPr>
          <w:rFonts w:ascii="Arial" w:cs="Arial" w:eastAsia="Arial" w:hAnsi="Arial"/>
          <w:sz w:val="18"/>
          <w:szCs w:val="18"/>
          <w:color w:val="0072AF"/>
        </w:rPr>
      </w:pPr>
      <w:r>
        <w:rPr>
          <w:rFonts w:ascii="Arial" w:cs="Arial" w:eastAsia="Arial" w:hAnsi="Arial"/>
          <w:sz w:val="18"/>
          <w:szCs w:val="18"/>
          <w:color w:val="auto"/>
        </w:rPr>
        <w:t>the consummation of certain reorganizations, mergers, or consolidations where greater than 50% of our Common Stock and voting power changes hands; or</w:t>
      </w:r>
    </w:p>
    <w:p>
      <w:pPr>
        <w:ind w:left="420" w:hanging="210"/>
        <w:spacing w:after="0"/>
        <w:tabs>
          <w:tab w:leader="none" w:pos="420" w:val="left"/>
        </w:tabs>
        <w:numPr>
          <w:ilvl w:val="0"/>
          <w:numId w:val="80"/>
        </w:numPr>
        <w:rPr>
          <w:rFonts w:ascii="Arial" w:cs="Arial" w:eastAsia="Arial" w:hAnsi="Arial"/>
          <w:sz w:val="18"/>
          <w:szCs w:val="18"/>
          <w:color w:val="0072AF"/>
        </w:rPr>
      </w:pPr>
      <w:r>
        <w:rPr>
          <w:rFonts w:ascii="Arial" w:cs="Arial" w:eastAsia="Arial" w:hAnsi="Arial"/>
          <w:sz w:val="18"/>
          <w:szCs w:val="18"/>
          <w:color w:val="auto"/>
        </w:rPr>
        <w:t>the approval by stockholders of the liquidation or dissolution of the Company.</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event of a Change of Control, followed by a termination from employment without cause or for good reason (defined as certain diminutions in position, authority, duties, responsibilities, compensation or benefits, annual incentive opportunity or relocations, or a successor’s failure to assume the Senior Executive Severance Policy) within two years of a Change of Control, or a Change of Control preceded within 60 days by a termination of employment at the request of a third party who has taken steps reasonably calculated to effect a Change of Control or otherwise in connection with or in anticipation of a Change of Control, NEOs will receive the following severance benefits (assumes termination date of December 31, 2023):</w:t>
      </w:r>
    </w:p>
    <w:p>
      <w:pPr>
        <w:spacing w:after="0" w:line="23" w:lineRule="exact"/>
        <w:rPr>
          <w:sz w:val="20"/>
          <w:szCs w:val="20"/>
          <w:color w:val="auto"/>
        </w:rPr>
      </w:pPr>
    </w:p>
    <w:p>
      <w:pPr>
        <w:ind w:left="420" w:right="320" w:hanging="210"/>
        <w:spacing w:after="0" w:line="266" w:lineRule="auto"/>
        <w:tabs>
          <w:tab w:leader="none" w:pos="420" w:val="left"/>
        </w:tabs>
        <w:numPr>
          <w:ilvl w:val="0"/>
          <w:numId w:val="81"/>
        </w:numPr>
        <w:rPr>
          <w:rFonts w:ascii="Arial" w:cs="Arial" w:eastAsia="Arial" w:hAnsi="Arial"/>
          <w:sz w:val="18"/>
          <w:szCs w:val="18"/>
          <w:color w:val="0072AF"/>
        </w:rPr>
      </w:pPr>
      <w:r>
        <w:rPr>
          <w:rFonts w:ascii="Arial" w:cs="Arial" w:eastAsia="Arial" w:hAnsi="Arial"/>
          <w:sz w:val="18"/>
          <w:szCs w:val="18"/>
          <w:color w:val="auto"/>
        </w:rPr>
        <w:t>Two times the NEO’s annual base salary plus two times the target annual incentive, generally payable in a lump sum;</w:t>
      </w:r>
    </w:p>
    <w:p>
      <w:pPr>
        <w:jc w:val="both"/>
        <w:ind w:left="420" w:right="20" w:hanging="210"/>
        <w:spacing w:after="0" w:line="253" w:lineRule="auto"/>
        <w:tabs>
          <w:tab w:leader="none" w:pos="420" w:val="left"/>
        </w:tabs>
        <w:numPr>
          <w:ilvl w:val="0"/>
          <w:numId w:val="81"/>
        </w:numPr>
        <w:rPr>
          <w:rFonts w:ascii="Arial" w:cs="Arial" w:eastAsia="Arial" w:hAnsi="Arial"/>
          <w:sz w:val="18"/>
          <w:szCs w:val="18"/>
          <w:color w:val="0072AF"/>
        </w:rPr>
      </w:pPr>
      <w:r>
        <w:rPr>
          <w:rFonts w:ascii="Arial" w:cs="Arial" w:eastAsia="Arial" w:hAnsi="Arial"/>
          <w:sz w:val="18"/>
          <w:szCs w:val="18"/>
          <w:color w:val="auto"/>
        </w:rPr>
        <w:t>Health and welfare benefits for the executive and his or her dependents at active employee rates will be provided for a two-year period; and outplacement services of not more than the lesser of $50,000 and 12% of the executive’s salary;</w:t>
      </w:r>
    </w:p>
    <w:p>
      <w:pPr>
        <w:spacing w:after="0" w:line="6" w:lineRule="exact"/>
        <w:rPr>
          <w:rFonts w:ascii="Arial" w:cs="Arial" w:eastAsia="Arial" w:hAnsi="Arial"/>
          <w:sz w:val="18"/>
          <w:szCs w:val="18"/>
          <w:color w:val="0072AF"/>
        </w:rPr>
      </w:pPr>
    </w:p>
    <w:p>
      <w:pPr>
        <w:jc w:val="both"/>
        <w:ind w:left="420" w:hanging="210"/>
        <w:spacing w:after="0" w:line="242" w:lineRule="auto"/>
        <w:tabs>
          <w:tab w:leader="none" w:pos="420" w:val="left"/>
        </w:tabs>
        <w:numPr>
          <w:ilvl w:val="0"/>
          <w:numId w:val="81"/>
        </w:numPr>
        <w:rPr>
          <w:rFonts w:ascii="Arial" w:cs="Arial" w:eastAsia="Arial" w:hAnsi="Arial"/>
          <w:sz w:val="18"/>
          <w:szCs w:val="18"/>
          <w:color w:val="0072AF"/>
        </w:rPr>
      </w:pPr>
      <w:r>
        <w:rPr>
          <w:rFonts w:ascii="Arial" w:cs="Arial" w:eastAsia="Arial" w:hAnsi="Arial"/>
          <w:sz w:val="18"/>
          <w:szCs w:val="18"/>
          <w:color w:val="auto"/>
        </w:rPr>
        <w:t>An amount equal to the difference between (1) the lump sum actuarial equivalent of the benefit under the Pension Plan and the Pension Restoration Plan which the executive would receive if his or her employment continued during the two-year period following the Change of Control, assuming the executive is fully vested in his or her benefit under the Pension Plan as of the termination date, and (2) the lump sum actuarial equivalent of the executive’s actual benefit (paid and payable), if any, under the Pension Plan and the Pension Restoration Plan as of the termination date;</w:t>
      </w:r>
    </w:p>
    <w:p>
      <w:pPr>
        <w:spacing w:after="0" w:line="16" w:lineRule="exact"/>
        <w:rPr>
          <w:rFonts w:ascii="Arial" w:cs="Arial" w:eastAsia="Arial" w:hAnsi="Arial"/>
          <w:sz w:val="18"/>
          <w:szCs w:val="18"/>
          <w:color w:val="0072AF"/>
        </w:rPr>
      </w:pPr>
    </w:p>
    <w:p>
      <w:pPr>
        <w:jc w:val="both"/>
        <w:ind w:left="420" w:hanging="210"/>
        <w:spacing w:after="0" w:line="242" w:lineRule="auto"/>
        <w:tabs>
          <w:tab w:leader="none" w:pos="420" w:val="left"/>
        </w:tabs>
        <w:numPr>
          <w:ilvl w:val="0"/>
          <w:numId w:val="81"/>
        </w:numPr>
        <w:rPr>
          <w:rFonts w:ascii="Arial" w:cs="Arial" w:eastAsia="Arial" w:hAnsi="Arial"/>
          <w:sz w:val="18"/>
          <w:szCs w:val="18"/>
          <w:color w:val="0072AF"/>
        </w:rPr>
      </w:pPr>
      <w:r>
        <w:rPr>
          <w:rFonts w:ascii="Arial" w:cs="Arial" w:eastAsia="Arial" w:hAnsi="Arial"/>
          <w:sz w:val="18"/>
          <w:szCs w:val="18"/>
          <w:color w:val="auto"/>
        </w:rPr>
        <w:t>PSUs to the extent they are outstanding, are vested and converted into either Common Stock or cash, based on target performance, on a NEO’s termination upon a change of control. If the NEO is not terminated upon a change of control or the acquirer does not assume the Company’s Stock Plan or awards, PSUs will vest upon the Change of Control and are converted into either Common Stock or cash based on target performance at the earlier of the NEO’s termination of employment within two years of the change of control or the end of the award’s three-year performance cycle;</w:t>
      </w:r>
    </w:p>
    <w:p>
      <w:pPr>
        <w:spacing w:after="0" w:line="16" w:lineRule="exact"/>
        <w:rPr>
          <w:rFonts w:ascii="Arial" w:cs="Arial" w:eastAsia="Arial" w:hAnsi="Arial"/>
          <w:sz w:val="18"/>
          <w:szCs w:val="18"/>
          <w:color w:val="0072AF"/>
        </w:rPr>
      </w:pPr>
    </w:p>
    <w:p>
      <w:pPr>
        <w:jc w:val="both"/>
        <w:ind w:left="420" w:hanging="210"/>
        <w:spacing w:after="0" w:line="239" w:lineRule="auto"/>
        <w:tabs>
          <w:tab w:leader="none" w:pos="420" w:val="left"/>
        </w:tabs>
        <w:numPr>
          <w:ilvl w:val="0"/>
          <w:numId w:val="81"/>
        </w:numPr>
        <w:rPr>
          <w:rFonts w:ascii="Arial" w:cs="Arial" w:eastAsia="Arial" w:hAnsi="Arial"/>
          <w:sz w:val="18"/>
          <w:szCs w:val="18"/>
          <w:color w:val="0072AF"/>
        </w:rPr>
      </w:pPr>
      <w:r>
        <w:rPr>
          <w:rFonts w:ascii="Arial" w:cs="Arial" w:eastAsia="Arial" w:hAnsi="Arial"/>
          <w:sz w:val="18"/>
          <w:szCs w:val="18"/>
          <w:color w:val="auto"/>
        </w:rPr>
        <w:t>Performance-based and time-based RSUs and NSOs are vested on a NEO’s termination upon a Change of Control with performance-based and time-based RSUs being converted into Common Stock or cash (based on target performance with respect to performance-based RSUs), and NSOs remain exercisable for the balance of the award term. If a NEO is not terminated upon a Change of Control or the acquirer does not assume the Company’s Stock Plan or awards, (1) performance-based and time-based RSUs vest upon a Change of Control and will be converted into Common Stock or cash upon the earlier of the NEO’s termination of employment within two years of the Change of Control or the normal award vesting dates; (2) NSOs will either be cashed out upon the change of control or will vest and become exercisable upon the earlier of the NEOs termination of employment within two years of the Change of Control or the normal vesting dates for the balance of the term;</w:t>
      </w:r>
    </w:p>
    <w:p>
      <w:pPr>
        <w:spacing w:after="0" w:line="17" w:lineRule="exact"/>
        <w:rPr>
          <w:rFonts w:ascii="Arial" w:cs="Arial" w:eastAsia="Arial" w:hAnsi="Arial"/>
          <w:sz w:val="18"/>
          <w:szCs w:val="18"/>
          <w:color w:val="0072AF"/>
        </w:rPr>
      </w:pPr>
    </w:p>
    <w:p>
      <w:pPr>
        <w:jc w:val="both"/>
        <w:ind w:left="420" w:right="20" w:hanging="210"/>
        <w:spacing w:after="0" w:line="247" w:lineRule="auto"/>
        <w:tabs>
          <w:tab w:leader="none" w:pos="420" w:val="left"/>
        </w:tabs>
        <w:numPr>
          <w:ilvl w:val="0"/>
          <w:numId w:val="81"/>
        </w:numPr>
        <w:rPr>
          <w:rFonts w:ascii="Arial" w:cs="Arial" w:eastAsia="Arial" w:hAnsi="Arial"/>
          <w:sz w:val="18"/>
          <w:szCs w:val="18"/>
          <w:color w:val="0072AF"/>
        </w:rPr>
      </w:pPr>
      <w:r>
        <w:rPr>
          <w:rFonts w:ascii="Arial" w:cs="Arial" w:eastAsia="Arial" w:hAnsi="Arial"/>
          <w:sz w:val="18"/>
          <w:szCs w:val="18"/>
          <w:color w:val="auto"/>
        </w:rPr>
        <w:t>The Company does not apply a tax gross-up on any Change of Control payments. In paying Change of Control severance benefits the Company utilizes a “best net” approach. Under this approach a determination is made as to whether paying the full Change of Control benefits or the value of a payment that is capped at the 280G limit provides the NEO with the higher net after-tax benefit.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In addition, under the KEIP, in the event of a Change of Control;</w:t>
      </w:r>
    </w:p>
    <w:p>
      <w:pPr>
        <w:spacing w:after="0" w:line="50" w:lineRule="exact"/>
        <w:rPr>
          <w:sz w:val="20"/>
          <w:szCs w:val="20"/>
          <w:color w:val="auto"/>
        </w:rPr>
      </w:pPr>
    </w:p>
    <w:p>
      <w:pPr>
        <w:jc w:val="both"/>
        <w:ind w:left="420" w:right="20" w:hanging="210"/>
        <w:spacing w:after="0" w:line="247" w:lineRule="auto"/>
        <w:tabs>
          <w:tab w:leader="none" w:pos="420" w:val="left"/>
        </w:tabs>
        <w:numPr>
          <w:ilvl w:val="0"/>
          <w:numId w:val="82"/>
        </w:numPr>
        <w:rPr>
          <w:rFonts w:ascii="Arial" w:cs="Arial" w:eastAsia="Arial" w:hAnsi="Arial"/>
          <w:sz w:val="18"/>
          <w:szCs w:val="18"/>
          <w:color w:val="0072AF"/>
        </w:rPr>
      </w:pPr>
      <w:r>
        <w:rPr>
          <w:rFonts w:ascii="Arial" w:cs="Arial" w:eastAsia="Arial" w:hAnsi="Arial"/>
          <w:sz w:val="18"/>
          <w:szCs w:val="18"/>
          <w:color w:val="auto"/>
        </w:rPr>
        <w:t>A prorated target incentive award for the calendar year of the Change of Control. If the NEO is not terminated upon a Change of Control, they will be paid a target incentive award for the calendar year of the Change of Control and will be paid on the date on which annual incentive awards would otherwise have been paid absent a Change of Control;</w:t>
      </w:r>
    </w:p>
    <w:p>
      <w:pPr>
        <w:spacing w:after="0" w:line="11" w:lineRule="exact"/>
        <w:rPr>
          <w:rFonts w:ascii="Arial" w:cs="Arial" w:eastAsia="Arial" w:hAnsi="Arial"/>
          <w:sz w:val="18"/>
          <w:szCs w:val="18"/>
          <w:color w:val="0072AF"/>
        </w:rPr>
      </w:pPr>
    </w:p>
    <w:p>
      <w:pPr>
        <w:jc w:val="both"/>
        <w:ind w:left="420" w:hanging="210"/>
        <w:spacing w:after="0" w:line="247" w:lineRule="auto"/>
        <w:tabs>
          <w:tab w:leader="none" w:pos="420" w:val="left"/>
        </w:tabs>
        <w:numPr>
          <w:ilvl w:val="0"/>
          <w:numId w:val="82"/>
        </w:numPr>
        <w:rPr>
          <w:rFonts w:ascii="Arial" w:cs="Arial" w:eastAsia="Arial" w:hAnsi="Arial"/>
          <w:sz w:val="18"/>
          <w:szCs w:val="18"/>
          <w:color w:val="0072AF"/>
        </w:rPr>
      </w:pPr>
      <w:r>
        <w:rPr>
          <w:rFonts w:ascii="Arial" w:cs="Arial" w:eastAsia="Arial" w:hAnsi="Arial"/>
          <w:sz w:val="18"/>
          <w:szCs w:val="18"/>
          <w:color w:val="auto"/>
        </w:rPr>
        <w:t>CIUs will be valued at target, as established for each outstanding performance cycle, and paid on the date on which such cycle would otherwise be paid absent a Change of Control, except if a participant suffers a termination of employment on account of a Change of Control, they will be paid no later than 15 days after the termination date.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EXECUTIVE COMPENSATION TABLES AND RELATED NARRATIVE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175260</wp:posOffset>
            </wp:positionV>
            <wp:extent cx="582930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CEO Pay Ratio is a reasonable estimate calculated in a manner consistent with Item 402(u) of Regulation S-K based on our payroll and employment records and the methodology described below.</w:t>
      </w:r>
    </w:p>
    <w:p>
      <w:pPr>
        <w:spacing w:after="0" w:line="113"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To identify the median employee, we reviewed our employee population as of October 2, 2023, excluding Mr. Dies, the Interim CEO, in accordance with SEC rules. The date used is a shift from our previous median employee</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selection date of October 1</w:t>
      </w:r>
      <w:r>
        <w:rPr>
          <w:rFonts w:ascii="Arial" w:cs="Arial" w:eastAsia="Arial" w:hAnsi="Arial"/>
          <w:sz w:val="29"/>
          <w:szCs w:val="29"/>
          <w:color w:val="auto"/>
          <w:vertAlign w:val="superscript"/>
        </w:rPr>
        <w:t>st</w:t>
      </w:r>
      <w:r>
        <w:rPr>
          <w:rFonts w:ascii="Arial" w:cs="Arial" w:eastAsia="Arial" w:hAnsi="Arial"/>
          <w:sz w:val="18"/>
          <w:szCs w:val="18"/>
          <w:color w:val="auto"/>
        </w:rPr>
        <w:t>, which was done to accommodate our October 2, 2023 CEO transition (as discussed in the CD&amp;A above, we had more than one CEO during 2023, as Mr. Dies was appointed as our interim CEO, replacing Mr. Lautenbach). The consistently applied compensation measure used in the determination was annual base salary; for most of our employees, base salary is the primary or sole compensation component and provides an accurate depiction of total earnings.</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2023 annual total compensation of Mr. Dies was $2,712,791 as reported in the 2023 Summary Compensation Table in this Proxy Statement. The annual total compensation of our median employee in 2023 was $49,878. Therefore, the ratio of the annual total compensation of Mr. Dies to that of our median employee in 2023 was approximately 54 to 1.</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92" w:name="page93"/>
    <w:bookmarkEnd w:id="92"/>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EXECUTIVE COMPENSATION TABLES AND RELATED NARRATIVE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4"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72AF"/>
        </w:rPr>
        <w:t>2023 PAY VERSUS PERFORMANCE TABLE</w:t>
      </w:r>
    </w:p>
    <w:p>
      <w:pPr>
        <w:spacing w:after="0" w:line="189" w:lineRule="exact"/>
        <w:rPr>
          <w:sz w:val="20"/>
          <w:szCs w:val="20"/>
          <w:color w:val="auto"/>
        </w:rPr>
      </w:pPr>
    </w:p>
    <w:p>
      <w:pPr>
        <w:ind w:left="6" w:right="20"/>
        <w:spacing w:after="0" w:line="271" w:lineRule="auto"/>
        <w:rPr>
          <w:sz w:val="20"/>
          <w:szCs w:val="20"/>
          <w:color w:val="auto"/>
        </w:rPr>
      </w:pPr>
      <w:r>
        <w:rPr>
          <w:rFonts w:ascii="Arial" w:cs="Arial" w:eastAsia="Arial" w:hAnsi="Arial"/>
          <w:sz w:val="18"/>
          <w:szCs w:val="18"/>
          <w:color w:val="auto"/>
        </w:rPr>
        <w:t>The following table sets forth information regarding the Company’s performance and the “compensation actually paid” (CAP) to our NEOs, as calculated in accordance with SEC disclosure rules:</w:t>
      </w:r>
    </w:p>
    <w:p>
      <w:pPr>
        <w:spacing w:after="0" w:line="71" w:lineRule="exact"/>
        <w:rPr>
          <w:sz w:val="20"/>
          <w:szCs w:val="20"/>
          <w:color w:val="auto"/>
        </w:rPr>
      </w:pPr>
    </w:p>
    <w:tbl>
      <w:tblPr>
        <w:tblLayout w:type="fixed"/>
        <w:tblInd w:w="6" w:type="dxa"/>
        <w:tblCellMar>
          <w:top w:w="0" w:type="dxa"/>
          <w:left w:w="0" w:type="dxa"/>
          <w:bottom w:w="0" w:type="dxa"/>
          <w:right w:w="0" w:type="dxa"/>
        </w:tblCellMar>
      </w:tblPr>
      <w:tr>
        <w:trPr>
          <w:trHeight w:val="216"/>
        </w:trPr>
        <w:tc>
          <w:tcPr>
            <w:tcW w:w="480" w:type="dxa"/>
            <w:vAlign w:val="bottom"/>
            <w:tcBorders>
              <w:top w:val="single" w:sz="8" w:color="0072AF"/>
              <w:right w:val="single" w:sz="8" w:color="0072AF"/>
            </w:tcBorders>
          </w:tcPr>
          <w:p>
            <w:pPr>
              <w:spacing w:after="0"/>
              <w:rPr>
                <w:sz w:val="18"/>
                <w:szCs w:val="18"/>
                <w:color w:val="auto"/>
              </w:rPr>
            </w:pPr>
          </w:p>
        </w:tc>
        <w:tc>
          <w:tcPr>
            <w:tcW w:w="40" w:type="dxa"/>
            <w:vAlign w:val="bottom"/>
            <w:tcBorders>
              <w:top w:val="single" w:sz="8" w:color="0072AF"/>
            </w:tcBorders>
          </w:tcPr>
          <w:p>
            <w:pPr>
              <w:spacing w:after="0"/>
              <w:rPr>
                <w:sz w:val="18"/>
                <w:szCs w:val="18"/>
                <w:color w:val="auto"/>
              </w:rPr>
            </w:pPr>
          </w:p>
        </w:tc>
        <w:tc>
          <w:tcPr>
            <w:tcW w:w="1480" w:type="dxa"/>
            <w:vAlign w:val="bottom"/>
            <w:tcBorders>
              <w:top w:val="single" w:sz="8" w:color="0072AF"/>
            </w:tcBorders>
            <w:gridSpan w:val="3"/>
          </w:tcPr>
          <w:p>
            <w:pPr>
              <w:jc w:val="center"/>
              <w:ind w:right="120"/>
              <w:spacing w:after="0"/>
              <w:rPr>
                <w:sz w:val="20"/>
                <w:szCs w:val="20"/>
                <w:color w:val="auto"/>
              </w:rPr>
            </w:pPr>
            <w:r>
              <w:rPr>
                <w:rFonts w:ascii="Arial" w:cs="Arial" w:eastAsia="Arial" w:hAnsi="Arial"/>
                <w:sz w:val="11"/>
                <w:szCs w:val="11"/>
                <w:b w:val="1"/>
                <w:bCs w:val="1"/>
                <w:color w:val="auto"/>
                <w:w w:val="98"/>
              </w:rPr>
              <w:t>Summary Compensation</w:t>
            </w:r>
          </w:p>
        </w:tc>
        <w:tc>
          <w:tcPr>
            <w:tcW w:w="1440" w:type="dxa"/>
            <w:vAlign w:val="bottom"/>
            <w:tcBorders>
              <w:top w:val="single" w:sz="8" w:color="0072AF"/>
            </w:tcBorders>
            <w:gridSpan w:val="2"/>
          </w:tcPr>
          <w:p>
            <w:pPr>
              <w:jc w:val="center"/>
              <w:spacing w:after="0"/>
              <w:rPr>
                <w:sz w:val="20"/>
                <w:szCs w:val="20"/>
                <w:color w:val="auto"/>
              </w:rPr>
            </w:pPr>
            <w:r>
              <w:rPr>
                <w:rFonts w:ascii="Arial" w:cs="Arial" w:eastAsia="Arial" w:hAnsi="Arial"/>
                <w:sz w:val="11"/>
                <w:szCs w:val="11"/>
                <w:b w:val="1"/>
                <w:bCs w:val="1"/>
                <w:color w:val="auto"/>
                <w:w w:val="96"/>
              </w:rPr>
              <w:t>Compensation</w:t>
            </w:r>
          </w:p>
        </w:tc>
        <w:tc>
          <w:tcPr>
            <w:tcW w:w="940" w:type="dxa"/>
            <w:vAlign w:val="bottom"/>
            <w:tcBorders>
              <w:top w:val="single" w:sz="8" w:color="0072AF"/>
            </w:tcBorders>
          </w:tcPr>
          <w:p>
            <w:pPr>
              <w:spacing w:after="0"/>
              <w:rPr>
                <w:sz w:val="18"/>
                <w:szCs w:val="18"/>
                <w:color w:val="auto"/>
              </w:rPr>
            </w:pPr>
          </w:p>
        </w:tc>
        <w:tc>
          <w:tcPr>
            <w:tcW w:w="940" w:type="dxa"/>
            <w:vAlign w:val="bottom"/>
            <w:tcBorders>
              <w:top w:val="single" w:sz="8" w:color="0072AF"/>
            </w:tcBorders>
          </w:tcPr>
          <w:p>
            <w:pPr>
              <w:spacing w:after="0"/>
              <w:rPr>
                <w:sz w:val="18"/>
                <w:szCs w:val="18"/>
                <w:color w:val="auto"/>
              </w:rPr>
            </w:pPr>
          </w:p>
        </w:tc>
        <w:tc>
          <w:tcPr>
            <w:tcW w:w="2180" w:type="dxa"/>
            <w:vAlign w:val="bottom"/>
            <w:tcBorders>
              <w:top w:val="single" w:sz="8" w:color="0072AF"/>
            </w:tcBorders>
            <w:gridSpan w:val="3"/>
          </w:tcPr>
          <w:p>
            <w:pPr>
              <w:jc w:val="center"/>
              <w:spacing w:after="0"/>
              <w:rPr>
                <w:sz w:val="20"/>
                <w:szCs w:val="20"/>
                <w:color w:val="auto"/>
              </w:rPr>
            </w:pPr>
            <w:r>
              <w:rPr>
                <w:rFonts w:ascii="Arial" w:cs="Arial" w:eastAsia="Arial" w:hAnsi="Arial"/>
                <w:sz w:val="11"/>
                <w:szCs w:val="11"/>
                <w:b w:val="1"/>
                <w:bCs w:val="1"/>
                <w:color w:val="auto"/>
                <w:w w:val="98"/>
              </w:rPr>
              <w:t>Value of Initial Fixed $100 Investment</w:t>
            </w:r>
          </w:p>
        </w:tc>
        <w:tc>
          <w:tcPr>
            <w:tcW w:w="840" w:type="dxa"/>
            <w:vAlign w:val="bottom"/>
            <w:tcBorders>
              <w:top w:val="single" w:sz="8" w:color="0072AF"/>
            </w:tcBorders>
          </w:tcPr>
          <w:p>
            <w:pPr>
              <w:spacing w:after="0"/>
              <w:rPr>
                <w:sz w:val="18"/>
                <w:szCs w:val="18"/>
                <w:color w:val="auto"/>
              </w:rPr>
            </w:pPr>
          </w:p>
        </w:tc>
        <w:tc>
          <w:tcPr>
            <w:tcW w:w="840" w:type="dxa"/>
            <w:vAlign w:val="bottom"/>
            <w:tcBorders>
              <w:top w:val="single" w:sz="8" w:color="0072A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80" w:type="dxa"/>
            <w:vAlign w:val="bottom"/>
            <w:tcBorders>
              <w:right w:val="single" w:sz="8" w:color="0072AF"/>
            </w:tcBorders>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3"/>
          </w:tcPr>
          <w:p>
            <w:pPr>
              <w:jc w:val="center"/>
              <w:ind w:right="100"/>
              <w:spacing w:after="0" w:line="175" w:lineRule="exact"/>
              <w:rPr>
                <w:sz w:val="20"/>
                <w:szCs w:val="20"/>
                <w:color w:val="auto"/>
              </w:rPr>
            </w:pPr>
            <w:r>
              <w:rPr>
                <w:rFonts w:ascii="Arial" w:cs="Arial" w:eastAsia="Arial" w:hAnsi="Arial"/>
                <w:sz w:val="11"/>
                <w:szCs w:val="11"/>
                <w:b w:val="1"/>
                <w:bCs w:val="1"/>
                <w:color w:val="auto"/>
                <w:w w:val="95"/>
              </w:rPr>
              <w:t>Table Total for PEO</w:t>
            </w:r>
            <w:r>
              <w:rPr>
                <w:rFonts w:ascii="Arial" w:cs="Arial" w:eastAsia="Arial" w:hAnsi="Arial"/>
                <w:sz w:val="16"/>
                <w:szCs w:val="16"/>
                <w:b w:val="1"/>
                <w:bCs w:val="1"/>
                <w:color w:val="auto"/>
                <w:w w:val="95"/>
                <w:vertAlign w:val="superscript"/>
              </w:rPr>
              <w:t>(2)</w:t>
            </w:r>
          </w:p>
        </w:tc>
        <w:tc>
          <w:tcPr>
            <w:tcW w:w="1440" w:type="dxa"/>
            <w:vAlign w:val="bottom"/>
            <w:gridSpan w:val="2"/>
          </w:tcPr>
          <w:p>
            <w:pPr>
              <w:jc w:val="center"/>
              <w:spacing w:after="0" w:line="175" w:lineRule="exact"/>
              <w:rPr>
                <w:sz w:val="20"/>
                <w:szCs w:val="20"/>
                <w:color w:val="auto"/>
              </w:rPr>
            </w:pPr>
            <w:r>
              <w:rPr>
                <w:rFonts w:ascii="Arial" w:cs="Arial" w:eastAsia="Arial" w:hAnsi="Arial"/>
                <w:sz w:val="11"/>
                <w:szCs w:val="11"/>
                <w:b w:val="1"/>
                <w:bCs w:val="1"/>
                <w:color w:val="auto"/>
                <w:w w:val="96"/>
              </w:rPr>
              <w:t>Actually Paid to PEO</w:t>
            </w:r>
            <w:r>
              <w:rPr>
                <w:rFonts w:ascii="Arial" w:cs="Arial" w:eastAsia="Arial" w:hAnsi="Arial"/>
                <w:sz w:val="16"/>
                <w:szCs w:val="16"/>
                <w:b w:val="1"/>
                <w:bCs w:val="1"/>
                <w:color w:val="auto"/>
                <w:w w:val="96"/>
                <w:vertAlign w:val="superscript"/>
              </w:rPr>
              <w:t>(3)</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rPr>
              <w:t>Average</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jc w:val="center"/>
              <w:spacing w:after="0" w:line="175" w:lineRule="exact"/>
              <w:rPr>
                <w:sz w:val="20"/>
                <w:szCs w:val="20"/>
                <w:color w:val="auto"/>
              </w:rPr>
            </w:pPr>
            <w:r>
              <w:rPr>
                <w:rFonts w:ascii="Arial" w:cs="Arial" w:eastAsia="Arial" w:hAnsi="Arial"/>
                <w:sz w:val="11"/>
                <w:szCs w:val="11"/>
                <w:b w:val="1"/>
                <w:bCs w:val="1"/>
                <w:color w:val="auto"/>
                <w:w w:val="93"/>
              </w:rPr>
              <w:t>Based On:</w:t>
            </w:r>
            <w:r>
              <w:rPr>
                <w:rFonts w:ascii="Arial" w:cs="Arial" w:eastAsia="Arial" w:hAnsi="Arial"/>
                <w:sz w:val="16"/>
                <w:szCs w:val="16"/>
                <w:b w:val="1"/>
                <w:bCs w:val="1"/>
                <w:color w:val="auto"/>
                <w:w w:val="93"/>
                <w:vertAlign w:val="superscript"/>
              </w:rPr>
              <w:t>(4)</w:t>
            </w: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ind w:left="200"/>
              <w:spacing w:after="0"/>
              <w:rPr>
                <w:sz w:val="20"/>
                <w:szCs w:val="20"/>
                <w:color w:val="auto"/>
              </w:rPr>
            </w:pPr>
            <w:r>
              <w:rPr>
                <w:rFonts w:ascii="Arial" w:cs="Arial" w:eastAsia="Arial" w:hAnsi="Arial"/>
                <w:sz w:val="11"/>
                <w:szCs w:val="11"/>
                <w:b w:val="1"/>
                <w:bCs w:val="1"/>
                <w:color w:val="auto"/>
              </w:rPr>
              <w:t>Adjusted</w:t>
            </w:r>
          </w:p>
        </w:tc>
        <w:tc>
          <w:tcPr>
            <w:tcW w:w="0" w:type="dxa"/>
            <w:vAlign w:val="bottom"/>
          </w:tcPr>
          <w:p>
            <w:pPr>
              <w:spacing w:after="0"/>
              <w:rPr>
                <w:sz w:val="1"/>
                <w:szCs w:val="1"/>
                <w:color w:val="auto"/>
              </w:rPr>
            </w:pPr>
          </w:p>
        </w:tc>
      </w:tr>
      <w:tr>
        <w:trPr>
          <w:trHeight w:val="40"/>
        </w:trPr>
        <w:tc>
          <w:tcPr>
            <w:tcW w:w="480" w:type="dxa"/>
            <w:vAlign w:val="bottom"/>
            <w:tcBorders>
              <w:right w:val="single" w:sz="8" w:color="0072AF"/>
            </w:tcBorders>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Borders>
              <w:bottom w:val="single" w:sz="8" w:color="0072AF"/>
            </w:tcBorders>
          </w:tcPr>
          <w:p>
            <w:pPr>
              <w:spacing w:after="0"/>
              <w:rPr>
                <w:sz w:val="3"/>
                <w:szCs w:val="3"/>
                <w:color w:val="auto"/>
              </w:rPr>
            </w:pPr>
          </w:p>
        </w:tc>
        <w:tc>
          <w:tcPr>
            <w:tcW w:w="700" w:type="dxa"/>
            <w:vAlign w:val="bottom"/>
            <w:tcBorders>
              <w:bottom w:val="single" w:sz="8" w:color="0072AF"/>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bottom w:val="single" w:sz="8" w:color="0072AF"/>
            </w:tcBorders>
          </w:tcPr>
          <w:p>
            <w:pPr>
              <w:spacing w:after="0"/>
              <w:rPr>
                <w:sz w:val="3"/>
                <w:szCs w:val="3"/>
                <w:color w:val="auto"/>
              </w:rPr>
            </w:pPr>
          </w:p>
        </w:tc>
        <w:tc>
          <w:tcPr>
            <w:tcW w:w="740" w:type="dxa"/>
            <w:vAlign w:val="bottom"/>
            <w:tcBorders>
              <w:bottom w:val="single" w:sz="8" w:color="0072AF"/>
            </w:tcBorders>
          </w:tcPr>
          <w:p>
            <w:pPr>
              <w:spacing w:after="0"/>
              <w:rPr>
                <w:sz w:val="3"/>
                <w:szCs w:val="3"/>
                <w:color w:val="auto"/>
              </w:rPr>
            </w:pPr>
          </w:p>
        </w:tc>
        <w:tc>
          <w:tcPr>
            <w:tcW w:w="940" w:type="dxa"/>
            <w:vAlign w:val="bottom"/>
            <w:vMerge w:val="restart"/>
          </w:tcPr>
          <w:p>
            <w:pPr>
              <w:jc w:val="center"/>
              <w:spacing w:after="0" w:line="122" w:lineRule="exact"/>
              <w:rPr>
                <w:sz w:val="20"/>
                <w:szCs w:val="20"/>
                <w:color w:val="auto"/>
              </w:rPr>
            </w:pPr>
            <w:r>
              <w:rPr>
                <w:rFonts w:ascii="Arial" w:cs="Arial" w:eastAsia="Arial" w:hAnsi="Arial"/>
                <w:sz w:val="11"/>
                <w:szCs w:val="11"/>
                <w:b w:val="1"/>
                <w:bCs w:val="1"/>
                <w:color w:val="auto"/>
                <w:w w:val="95"/>
              </w:rPr>
              <w:t>Summary</w:t>
            </w:r>
          </w:p>
        </w:tc>
        <w:tc>
          <w:tcPr>
            <w:tcW w:w="940" w:type="dxa"/>
            <w:vAlign w:val="bottom"/>
            <w:vMerge w:val="restart"/>
          </w:tcPr>
          <w:p>
            <w:pPr>
              <w:jc w:val="center"/>
              <w:ind w:right="62"/>
              <w:spacing w:after="0" w:line="122" w:lineRule="exact"/>
              <w:rPr>
                <w:sz w:val="20"/>
                <w:szCs w:val="20"/>
                <w:color w:val="auto"/>
              </w:rPr>
            </w:pPr>
            <w:r>
              <w:rPr>
                <w:rFonts w:ascii="Arial" w:cs="Arial" w:eastAsia="Arial" w:hAnsi="Arial"/>
                <w:sz w:val="11"/>
                <w:szCs w:val="11"/>
                <w:b w:val="1"/>
                <w:bCs w:val="1"/>
                <w:color w:val="auto"/>
                <w:w w:val="96"/>
              </w:rPr>
              <w:t>Average</w:t>
            </w:r>
          </w:p>
        </w:tc>
        <w:tc>
          <w:tcPr>
            <w:tcW w:w="700" w:type="dxa"/>
            <w:vAlign w:val="bottom"/>
            <w:tcBorders>
              <w:bottom w:val="single" w:sz="8" w:color="0072AF"/>
            </w:tcBorders>
          </w:tcPr>
          <w:p>
            <w:pPr>
              <w:spacing w:after="0"/>
              <w:rPr>
                <w:sz w:val="3"/>
                <w:szCs w:val="3"/>
                <w:color w:val="auto"/>
              </w:rPr>
            </w:pPr>
          </w:p>
        </w:tc>
        <w:tc>
          <w:tcPr>
            <w:tcW w:w="780" w:type="dxa"/>
            <w:vAlign w:val="bottom"/>
            <w:tcBorders>
              <w:bottom w:val="single" w:sz="8" w:color="0072AF"/>
            </w:tcBorders>
          </w:tcPr>
          <w:p>
            <w:pPr>
              <w:spacing w:after="0"/>
              <w:rPr>
                <w:sz w:val="3"/>
                <w:szCs w:val="3"/>
                <w:color w:val="auto"/>
              </w:rPr>
            </w:pPr>
          </w:p>
        </w:tc>
        <w:tc>
          <w:tcPr>
            <w:tcW w:w="700" w:type="dxa"/>
            <w:vAlign w:val="bottom"/>
            <w:tcBorders>
              <w:bottom w:val="single" w:sz="8" w:color="0072AF"/>
            </w:tcBorders>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vMerge w:val="restart"/>
          </w:tcPr>
          <w:p>
            <w:pPr>
              <w:jc w:val="center"/>
              <w:ind w:left="2"/>
              <w:spacing w:after="0" w:line="122" w:lineRule="exact"/>
              <w:rPr>
                <w:sz w:val="20"/>
                <w:szCs w:val="20"/>
                <w:color w:val="auto"/>
              </w:rPr>
            </w:pPr>
            <w:r>
              <w:rPr>
                <w:rFonts w:ascii="Arial" w:cs="Arial" w:eastAsia="Arial" w:hAnsi="Arial"/>
                <w:sz w:val="11"/>
                <w:szCs w:val="11"/>
                <w:b w:val="1"/>
                <w:bCs w:val="1"/>
                <w:color w:val="auto"/>
                <w:w w:val="97"/>
              </w:rPr>
              <w:t>Earnings</w:t>
            </w:r>
          </w:p>
        </w:tc>
        <w:tc>
          <w:tcPr>
            <w:tcW w:w="0" w:type="dxa"/>
            <w:vAlign w:val="bottom"/>
          </w:tcPr>
          <w:p>
            <w:pPr>
              <w:spacing w:after="0"/>
              <w:rPr>
                <w:sz w:val="1"/>
                <w:szCs w:val="1"/>
                <w:color w:val="auto"/>
              </w:rPr>
            </w:pPr>
          </w:p>
        </w:tc>
      </w:tr>
      <w:tr>
        <w:trPr>
          <w:trHeight w:val="61"/>
        </w:trPr>
        <w:tc>
          <w:tcPr>
            <w:tcW w:w="480" w:type="dxa"/>
            <w:vAlign w:val="bottom"/>
            <w:tcBorders>
              <w:right w:val="single" w:sz="8" w:color="0072AF"/>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480" w:type="dxa"/>
            <w:vAlign w:val="bottom"/>
            <w:tcBorders>
              <w:right w:val="single" w:sz="8" w:color="0072AF"/>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jc w:val="center"/>
              <w:ind w:left="2"/>
              <w:spacing w:after="0" w:line="122" w:lineRule="exact"/>
              <w:rPr>
                <w:sz w:val="20"/>
                <w:szCs w:val="20"/>
                <w:color w:val="auto"/>
              </w:rPr>
            </w:pPr>
            <w:r>
              <w:rPr>
                <w:rFonts w:ascii="Arial" w:cs="Arial" w:eastAsia="Arial" w:hAnsi="Arial"/>
                <w:sz w:val="11"/>
                <w:szCs w:val="11"/>
                <w:b w:val="1"/>
                <w:bCs w:val="1"/>
                <w:color w:val="auto"/>
                <w:w w:val="99"/>
              </w:rPr>
              <w:t>Compensation</w:t>
            </w:r>
          </w:p>
        </w:tc>
        <w:tc>
          <w:tcPr>
            <w:tcW w:w="940" w:type="dxa"/>
            <w:vAlign w:val="bottom"/>
          </w:tcPr>
          <w:p>
            <w:pPr>
              <w:jc w:val="center"/>
              <w:ind w:right="22"/>
              <w:spacing w:after="0" w:line="122" w:lineRule="exact"/>
              <w:rPr>
                <w:sz w:val="20"/>
                <w:szCs w:val="20"/>
                <w:color w:val="auto"/>
              </w:rPr>
            </w:pPr>
            <w:r>
              <w:rPr>
                <w:rFonts w:ascii="Arial" w:cs="Arial" w:eastAsia="Arial" w:hAnsi="Arial"/>
                <w:sz w:val="11"/>
                <w:szCs w:val="11"/>
                <w:b w:val="1"/>
                <w:bCs w:val="1"/>
                <w:color w:val="auto"/>
                <w:w w:val="96"/>
              </w:rPr>
              <w:t>Compensation</w:t>
            </w:r>
          </w:p>
        </w:tc>
        <w:tc>
          <w:tcPr>
            <w:tcW w:w="70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New Peer</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Old Peer</w:t>
            </w:r>
          </w:p>
        </w:tc>
        <w:tc>
          <w:tcPr>
            <w:tcW w:w="84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Before</w:t>
            </w:r>
          </w:p>
        </w:tc>
        <w:tc>
          <w:tcPr>
            <w:tcW w:w="0" w:type="dxa"/>
            <w:vAlign w:val="bottom"/>
          </w:tcPr>
          <w:p>
            <w:pPr>
              <w:spacing w:after="0"/>
              <w:rPr>
                <w:sz w:val="1"/>
                <w:szCs w:val="1"/>
                <w:color w:val="auto"/>
              </w:rPr>
            </w:pPr>
          </w:p>
        </w:tc>
      </w:tr>
      <w:tr>
        <w:trPr>
          <w:trHeight w:val="121"/>
        </w:trPr>
        <w:tc>
          <w:tcPr>
            <w:tcW w:w="480" w:type="dxa"/>
            <w:vAlign w:val="bottom"/>
            <w:tcBorders>
              <w:right w:val="single" w:sz="8" w:color="0072AF"/>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jc w:val="center"/>
              <w:ind w:left="2"/>
              <w:spacing w:after="0" w:line="122" w:lineRule="exact"/>
              <w:rPr>
                <w:sz w:val="20"/>
                <w:szCs w:val="20"/>
                <w:color w:val="auto"/>
              </w:rPr>
            </w:pPr>
            <w:r>
              <w:rPr>
                <w:rFonts w:ascii="Arial" w:cs="Arial" w:eastAsia="Arial" w:hAnsi="Arial"/>
                <w:sz w:val="11"/>
                <w:szCs w:val="11"/>
                <w:b w:val="1"/>
                <w:bCs w:val="1"/>
                <w:color w:val="auto"/>
                <w:w w:val="94"/>
              </w:rPr>
              <w:t>Table Total for</w:t>
            </w:r>
          </w:p>
        </w:tc>
        <w:tc>
          <w:tcPr>
            <w:tcW w:w="940" w:type="dxa"/>
            <w:vAlign w:val="bottom"/>
          </w:tcPr>
          <w:p>
            <w:pPr>
              <w:jc w:val="center"/>
              <w:ind w:right="42"/>
              <w:spacing w:after="0" w:line="122" w:lineRule="exact"/>
              <w:rPr>
                <w:sz w:val="20"/>
                <w:szCs w:val="20"/>
                <w:color w:val="auto"/>
              </w:rPr>
            </w:pPr>
            <w:r>
              <w:rPr>
                <w:rFonts w:ascii="Arial" w:cs="Arial" w:eastAsia="Arial" w:hAnsi="Arial"/>
                <w:sz w:val="11"/>
                <w:szCs w:val="11"/>
                <w:b w:val="1"/>
                <w:bCs w:val="1"/>
                <w:color w:val="auto"/>
                <w:w w:val="98"/>
              </w:rPr>
              <w:t>Actually Paid</w:t>
            </w:r>
          </w:p>
        </w:tc>
        <w:tc>
          <w:tcPr>
            <w:tcW w:w="700" w:type="dxa"/>
            <w:vAlign w:val="bottom"/>
          </w:tcPr>
          <w:p>
            <w:pPr>
              <w:ind w:left="180"/>
              <w:spacing w:after="0" w:line="122" w:lineRule="exact"/>
              <w:rPr>
                <w:sz w:val="20"/>
                <w:szCs w:val="20"/>
                <w:color w:val="auto"/>
              </w:rPr>
            </w:pPr>
            <w:r>
              <w:rPr>
                <w:rFonts w:ascii="Arial" w:cs="Arial" w:eastAsia="Arial" w:hAnsi="Arial"/>
                <w:sz w:val="11"/>
                <w:szCs w:val="11"/>
                <w:b w:val="1"/>
                <w:bCs w:val="1"/>
                <w:color w:val="auto"/>
              </w:rPr>
              <w:t>Total</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Group Total</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Group Total</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Net Income</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Interest and</w:t>
            </w:r>
          </w:p>
        </w:tc>
        <w:tc>
          <w:tcPr>
            <w:tcW w:w="0" w:type="dxa"/>
            <w:vAlign w:val="bottom"/>
          </w:tcPr>
          <w:p>
            <w:pPr>
              <w:spacing w:after="0"/>
              <w:rPr>
                <w:sz w:val="1"/>
                <w:szCs w:val="1"/>
                <w:color w:val="auto"/>
              </w:rPr>
            </w:pPr>
          </w:p>
        </w:tc>
      </w:tr>
      <w:tr>
        <w:trPr>
          <w:trHeight w:val="108"/>
        </w:trPr>
        <w:tc>
          <w:tcPr>
            <w:tcW w:w="480" w:type="dxa"/>
            <w:vAlign w:val="bottom"/>
            <w:tcBorders>
              <w:right w:val="single" w:sz="8" w:color="0072AF"/>
            </w:tcBorders>
            <w:vMerge w:val="restart"/>
          </w:tcPr>
          <w:p>
            <w:pPr>
              <w:jc w:val="center"/>
              <w:ind w:right="59"/>
              <w:spacing w:after="0"/>
              <w:rPr>
                <w:sz w:val="20"/>
                <w:szCs w:val="20"/>
                <w:color w:val="auto"/>
              </w:rPr>
            </w:pPr>
            <w:r>
              <w:rPr>
                <w:rFonts w:ascii="Arial" w:cs="Arial" w:eastAsia="Arial" w:hAnsi="Arial"/>
                <w:sz w:val="11"/>
                <w:szCs w:val="11"/>
                <w:b w:val="1"/>
                <w:bCs w:val="1"/>
                <w:color w:val="auto"/>
                <w:w w:val="86"/>
              </w:rPr>
              <w:t>Year</w:t>
            </w:r>
            <w:r>
              <w:rPr>
                <w:rFonts w:ascii="Arial" w:cs="Arial" w:eastAsia="Arial" w:hAnsi="Arial"/>
                <w:sz w:val="16"/>
                <w:szCs w:val="16"/>
                <w:b w:val="1"/>
                <w:bCs w:val="1"/>
                <w:color w:val="auto"/>
                <w:w w:val="86"/>
                <w:vertAlign w:val="superscript"/>
              </w:rPr>
              <w:t>(1)</w:t>
            </w: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gridSpan w:val="2"/>
          </w:tcPr>
          <w:p>
            <w:pPr>
              <w:jc w:val="center"/>
              <w:ind w:right="60"/>
              <w:spacing w:after="0" w:line="108" w:lineRule="exact"/>
              <w:rPr>
                <w:sz w:val="20"/>
                <w:szCs w:val="20"/>
                <w:color w:val="auto"/>
              </w:rPr>
            </w:pPr>
            <w:r>
              <w:rPr>
                <w:rFonts w:ascii="Arial" w:cs="Arial" w:eastAsia="Arial" w:hAnsi="Arial"/>
                <w:sz w:val="11"/>
                <w:szCs w:val="11"/>
                <w:b w:val="1"/>
                <w:bCs w:val="1"/>
                <w:color w:val="auto"/>
                <w:w w:val="95"/>
              </w:rPr>
              <w:t>Marc B.</w:t>
            </w:r>
          </w:p>
        </w:tc>
        <w:tc>
          <w:tcPr>
            <w:tcW w:w="700" w:type="dxa"/>
            <w:vAlign w:val="bottom"/>
          </w:tcPr>
          <w:p>
            <w:pPr>
              <w:spacing w:after="0"/>
              <w:rPr>
                <w:sz w:val="9"/>
                <w:szCs w:val="9"/>
                <w:color w:val="auto"/>
              </w:rPr>
            </w:pPr>
          </w:p>
        </w:tc>
        <w:tc>
          <w:tcPr>
            <w:tcW w:w="7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rPr>
              <w:t>Marc B.</w:t>
            </w:r>
          </w:p>
        </w:tc>
        <w:tc>
          <w:tcPr>
            <w:tcW w:w="9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non-PEO</w:t>
            </w:r>
          </w:p>
        </w:tc>
        <w:tc>
          <w:tcPr>
            <w:tcW w:w="940" w:type="dxa"/>
            <w:vAlign w:val="bottom"/>
          </w:tcPr>
          <w:p>
            <w:pPr>
              <w:jc w:val="center"/>
              <w:ind w:right="42"/>
              <w:spacing w:after="0" w:line="108" w:lineRule="exact"/>
              <w:rPr>
                <w:sz w:val="20"/>
                <w:szCs w:val="20"/>
                <w:color w:val="auto"/>
              </w:rPr>
            </w:pPr>
            <w:r>
              <w:rPr>
                <w:rFonts w:ascii="Arial" w:cs="Arial" w:eastAsia="Arial" w:hAnsi="Arial"/>
                <w:sz w:val="11"/>
                <w:szCs w:val="11"/>
                <w:b w:val="1"/>
                <w:bCs w:val="1"/>
                <w:color w:val="auto"/>
                <w:w w:val="99"/>
              </w:rPr>
              <w:t>to non-PEO</w:t>
            </w:r>
          </w:p>
        </w:tc>
        <w:tc>
          <w:tcPr>
            <w:tcW w:w="700" w:type="dxa"/>
            <w:vAlign w:val="bottom"/>
          </w:tcPr>
          <w:p>
            <w:pPr>
              <w:jc w:val="center"/>
              <w:ind w:right="2"/>
              <w:spacing w:after="0" w:line="108" w:lineRule="exact"/>
              <w:rPr>
                <w:sz w:val="20"/>
                <w:szCs w:val="20"/>
                <w:color w:val="auto"/>
              </w:rPr>
            </w:pPr>
            <w:r>
              <w:rPr>
                <w:rFonts w:ascii="Arial" w:cs="Arial" w:eastAsia="Arial" w:hAnsi="Arial"/>
                <w:sz w:val="11"/>
                <w:szCs w:val="11"/>
                <w:b w:val="1"/>
                <w:bCs w:val="1"/>
                <w:color w:val="auto"/>
                <w:w w:val="99"/>
              </w:rPr>
              <w:t>Shareholder</w:t>
            </w:r>
          </w:p>
        </w:tc>
        <w:tc>
          <w:tcPr>
            <w:tcW w:w="7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6"/>
              </w:rPr>
              <w:t>Shareholder</w:t>
            </w:r>
          </w:p>
        </w:tc>
        <w:tc>
          <w:tcPr>
            <w:tcW w:w="700" w:type="dxa"/>
            <w:vAlign w:val="bottom"/>
          </w:tcPr>
          <w:p>
            <w:pPr>
              <w:jc w:val="center"/>
              <w:ind w:left="2"/>
              <w:spacing w:after="0" w:line="108" w:lineRule="exact"/>
              <w:rPr>
                <w:sz w:val="20"/>
                <w:szCs w:val="20"/>
                <w:color w:val="auto"/>
              </w:rPr>
            </w:pPr>
            <w:r>
              <w:rPr>
                <w:rFonts w:ascii="Arial" w:cs="Arial" w:eastAsia="Arial" w:hAnsi="Arial"/>
                <w:sz w:val="11"/>
                <w:szCs w:val="11"/>
                <w:b w:val="1"/>
                <w:bCs w:val="1"/>
                <w:color w:val="auto"/>
                <w:w w:val="99"/>
              </w:rPr>
              <w:t>Shareholder</w:t>
            </w:r>
          </w:p>
        </w:tc>
        <w:tc>
          <w:tcPr>
            <w:tcW w:w="8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rPr>
              <w:t>(in</w:t>
            </w:r>
          </w:p>
        </w:tc>
        <w:tc>
          <w:tcPr>
            <w:tcW w:w="8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6"/>
              </w:rPr>
              <w:t>Taxes (in</w:t>
            </w:r>
          </w:p>
        </w:tc>
        <w:tc>
          <w:tcPr>
            <w:tcW w:w="0" w:type="dxa"/>
            <w:vAlign w:val="bottom"/>
          </w:tcPr>
          <w:p>
            <w:pPr>
              <w:spacing w:after="0"/>
              <w:rPr>
                <w:sz w:val="1"/>
                <w:szCs w:val="1"/>
                <w:color w:val="auto"/>
              </w:rPr>
            </w:pPr>
          </w:p>
        </w:tc>
      </w:tr>
      <w:tr>
        <w:trPr>
          <w:trHeight w:val="225"/>
        </w:trPr>
        <w:tc>
          <w:tcPr>
            <w:tcW w:w="480" w:type="dxa"/>
            <w:vAlign w:val="bottom"/>
            <w:tcBorders>
              <w:bottom w:val="single" w:sz="8" w:color="0072AF"/>
              <w:right w:val="single" w:sz="8" w:color="0072AF"/>
            </w:tcBorders>
            <w:vMerge w:val="continue"/>
          </w:tcPr>
          <w:p>
            <w:pPr>
              <w:spacing w:after="0"/>
              <w:rPr>
                <w:sz w:val="19"/>
                <w:szCs w:val="19"/>
                <w:color w:val="auto"/>
              </w:rPr>
            </w:pPr>
          </w:p>
        </w:tc>
        <w:tc>
          <w:tcPr>
            <w:tcW w:w="40" w:type="dxa"/>
            <w:vAlign w:val="bottom"/>
            <w:tcBorders>
              <w:bottom w:val="single" w:sz="8" w:color="0072AF"/>
            </w:tcBorders>
          </w:tcPr>
          <w:p>
            <w:pPr>
              <w:spacing w:after="0"/>
              <w:rPr>
                <w:sz w:val="19"/>
                <w:szCs w:val="19"/>
                <w:color w:val="auto"/>
              </w:rPr>
            </w:pPr>
          </w:p>
        </w:tc>
        <w:tc>
          <w:tcPr>
            <w:tcW w:w="680" w:type="dxa"/>
            <w:vAlign w:val="bottom"/>
            <w:tcBorders>
              <w:bottom w:val="single" w:sz="8" w:color="0072AF"/>
            </w:tcBorders>
          </w:tcPr>
          <w:p>
            <w:pPr>
              <w:jc w:val="center"/>
              <w:spacing w:after="0"/>
              <w:rPr>
                <w:sz w:val="20"/>
                <w:szCs w:val="20"/>
                <w:color w:val="auto"/>
              </w:rPr>
            </w:pPr>
            <w:r>
              <w:rPr>
                <w:rFonts w:ascii="Arial" w:cs="Arial" w:eastAsia="Arial" w:hAnsi="Arial"/>
                <w:sz w:val="11"/>
                <w:szCs w:val="11"/>
                <w:b w:val="1"/>
                <w:bCs w:val="1"/>
                <w:color w:val="auto"/>
                <w:w w:val="96"/>
              </w:rPr>
              <w:t>Jason Dies</w:t>
            </w:r>
          </w:p>
        </w:tc>
        <w:tc>
          <w:tcPr>
            <w:tcW w:w="800" w:type="dxa"/>
            <w:vAlign w:val="bottom"/>
            <w:tcBorders>
              <w:bottom w:val="single" w:sz="8" w:color="0072AF"/>
            </w:tcBorders>
            <w:gridSpan w:val="2"/>
          </w:tcPr>
          <w:p>
            <w:pPr>
              <w:jc w:val="center"/>
              <w:ind w:right="40"/>
              <w:spacing w:after="0"/>
              <w:rPr>
                <w:sz w:val="20"/>
                <w:szCs w:val="20"/>
                <w:color w:val="auto"/>
              </w:rPr>
            </w:pPr>
            <w:r>
              <w:rPr>
                <w:rFonts w:ascii="Arial" w:cs="Arial" w:eastAsia="Arial" w:hAnsi="Arial"/>
                <w:sz w:val="11"/>
                <w:szCs w:val="11"/>
                <w:b w:val="1"/>
                <w:bCs w:val="1"/>
                <w:color w:val="auto"/>
                <w:w w:val="97"/>
              </w:rPr>
              <w:t>Lautenbach</w:t>
            </w:r>
          </w:p>
        </w:tc>
        <w:tc>
          <w:tcPr>
            <w:tcW w:w="700" w:type="dxa"/>
            <w:vAlign w:val="bottom"/>
            <w:tcBorders>
              <w:bottom w:val="single" w:sz="8" w:color="0072AF"/>
            </w:tcBorders>
          </w:tcPr>
          <w:p>
            <w:pPr>
              <w:jc w:val="center"/>
              <w:ind w:right="1"/>
              <w:spacing w:after="0"/>
              <w:rPr>
                <w:sz w:val="20"/>
                <w:szCs w:val="20"/>
                <w:color w:val="auto"/>
              </w:rPr>
            </w:pPr>
            <w:r>
              <w:rPr>
                <w:rFonts w:ascii="Arial" w:cs="Arial" w:eastAsia="Arial" w:hAnsi="Arial"/>
                <w:sz w:val="11"/>
                <w:szCs w:val="11"/>
                <w:b w:val="1"/>
                <w:bCs w:val="1"/>
                <w:color w:val="auto"/>
                <w:w w:val="96"/>
              </w:rPr>
              <w:t>Jason Dies</w:t>
            </w:r>
          </w:p>
        </w:tc>
        <w:tc>
          <w:tcPr>
            <w:tcW w:w="740" w:type="dxa"/>
            <w:vAlign w:val="bottom"/>
            <w:tcBorders>
              <w:bottom w:val="single" w:sz="8" w:color="0072AF"/>
            </w:tcBorders>
          </w:tcPr>
          <w:p>
            <w:pPr>
              <w:jc w:val="center"/>
              <w:spacing w:after="0"/>
              <w:rPr>
                <w:sz w:val="20"/>
                <w:szCs w:val="20"/>
                <w:color w:val="auto"/>
              </w:rPr>
            </w:pPr>
            <w:r>
              <w:rPr>
                <w:rFonts w:ascii="Arial" w:cs="Arial" w:eastAsia="Arial" w:hAnsi="Arial"/>
                <w:sz w:val="11"/>
                <w:szCs w:val="11"/>
                <w:b w:val="1"/>
                <w:bCs w:val="1"/>
                <w:color w:val="auto"/>
                <w:w w:val="97"/>
              </w:rPr>
              <w:t>Lautenbach</w:t>
            </w:r>
          </w:p>
        </w:tc>
        <w:tc>
          <w:tcPr>
            <w:tcW w:w="940" w:type="dxa"/>
            <w:vAlign w:val="bottom"/>
            <w:tcBorders>
              <w:bottom w:val="single" w:sz="8" w:color="0072AF"/>
            </w:tcBorders>
          </w:tcPr>
          <w:p>
            <w:pPr>
              <w:jc w:val="center"/>
              <w:ind w:left="2"/>
              <w:spacing w:after="0"/>
              <w:rPr>
                <w:sz w:val="20"/>
                <w:szCs w:val="20"/>
                <w:color w:val="auto"/>
              </w:rPr>
            </w:pPr>
            <w:r>
              <w:rPr>
                <w:rFonts w:ascii="Arial" w:cs="Arial" w:eastAsia="Arial" w:hAnsi="Arial"/>
                <w:sz w:val="11"/>
                <w:szCs w:val="11"/>
                <w:b w:val="1"/>
                <w:bCs w:val="1"/>
                <w:color w:val="auto"/>
                <w:w w:val="92"/>
              </w:rPr>
              <w:t>NEOs</w:t>
            </w:r>
            <w:r>
              <w:rPr>
                <w:rFonts w:ascii="Arial" w:cs="Arial" w:eastAsia="Arial" w:hAnsi="Arial"/>
                <w:sz w:val="16"/>
                <w:szCs w:val="16"/>
                <w:b w:val="1"/>
                <w:bCs w:val="1"/>
                <w:color w:val="auto"/>
                <w:w w:val="92"/>
                <w:vertAlign w:val="superscript"/>
              </w:rPr>
              <w:t>(2)</w:t>
            </w:r>
          </w:p>
        </w:tc>
        <w:tc>
          <w:tcPr>
            <w:tcW w:w="940" w:type="dxa"/>
            <w:vAlign w:val="bottom"/>
            <w:tcBorders>
              <w:bottom w:val="single" w:sz="8" w:color="0072AF"/>
            </w:tcBorders>
          </w:tcPr>
          <w:p>
            <w:pPr>
              <w:jc w:val="center"/>
              <w:ind w:right="2"/>
              <w:spacing w:after="0"/>
              <w:rPr>
                <w:sz w:val="20"/>
                <w:szCs w:val="20"/>
                <w:color w:val="auto"/>
              </w:rPr>
            </w:pPr>
            <w:r>
              <w:rPr>
                <w:rFonts w:ascii="Arial" w:cs="Arial" w:eastAsia="Arial" w:hAnsi="Arial"/>
                <w:sz w:val="11"/>
                <w:szCs w:val="11"/>
                <w:b w:val="1"/>
                <w:bCs w:val="1"/>
                <w:color w:val="auto"/>
                <w:w w:val="92"/>
              </w:rPr>
              <w:t>NEOs</w:t>
            </w:r>
            <w:r>
              <w:rPr>
                <w:rFonts w:ascii="Arial" w:cs="Arial" w:eastAsia="Arial" w:hAnsi="Arial"/>
                <w:sz w:val="16"/>
                <w:szCs w:val="16"/>
                <w:b w:val="1"/>
                <w:bCs w:val="1"/>
                <w:color w:val="auto"/>
                <w:w w:val="92"/>
                <w:vertAlign w:val="superscript"/>
              </w:rPr>
              <w:t>(3)</w:t>
            </w:r>
          </w:p>
        </w:tc>
        <w:tc>
          <w:tcPr>
            <w:tcW w:w="700" w:type="dxa"/>
            <w:vAlign w:val="bottom"/>
            <w:tcBorders>
              <w:bottom w:val="single" w:sz="8" w:color="0072AF"/>
            </w:tcBorders>
          </w:tcPr>
          <w:p>
            <w:pPr>
              <w:jc w:val="center"/>
              <w:ind w:right="2"/>
              <w:spacing w:after="0"/>
              <w:rPr>
                <w:sz w:val="20"/>
                <w:szCs w:val="20"/>
                <w:color w:val="auto"/>
              </w:rPr>
            </w:pPr>
            <w:r>
              <w:rPr>
                <w:rFonts w:ascii="Arial" w:cs="Arial" w:eastAsia="Arial" w:hAnsi="Arial"/>
                <w:sz w:val="11"/>
                <w:szCs w:val="11"/>
                <w:b w:val="1"/>
                <w:bCs w:val="1"/>
                <w:color w:val="auto"/>
              </w:rPr>
              <w:t>Return</w:t>
            </w:r>
          </w:p>
        </w:tc>
        <w:tc>
          <w:tcPr>
            <w:tcW w:w="780" w:type="dxa"/>
            <w:vAlign w:val="bottom"/>
            <w:tcBorders>
              <w:bottom w:val="single" w:sz="8" w:color="0072AF"/>
            </w:tcBorders>
          </w:tcPr>
          <w:p>
            <w:pPr>
              <w:jc w:val="center"/>
              <w:spacing w:after="0"/>
              <w:rPr>
                <w:sz w:val="20"/>
                <w:szCs w:val="20"/>
                <w:color w:val="auto"/>
              </w:rPr>
            </w:pPr>
            <w:r>
              <w:rPr>
                <w:rFonts w:ascii="Arial" w:cs="Arial" w:eastAsia="Arial" w:hAnsi="Arial"/>
                <w:sz w:val="11"/>
                <w:szCs w:val="11"/>
                <w:b w:val="1"/>
                <w:bCs w:val="1"/>
                <w:color w:val="auto"/>
                <w:w w:val="95"/>
              </w:rPr>
              <w:t>Return</w:t>
            </w:r>
          </w:p>
        </w:tc>
        <w:tc>
          <w:tcPr>
            <w:tcW w:w="700" w:type="dxa"/>
            <w:vAlign w:val="bottom"/>
            <w:tcBorders>
              <w:bottom w:val="single" w:sz="8" w:color="0072AF"/>
            </w:tcBorders>
          </w:tcPr>
          <w:p>
            <w:pPr>
              <w:jc w:val="center"/>
              <w:ind w:left="2"/>
              <w:spacing w:after="0"/>
              <w:rPr>
                <w:sz w:val="20"/>
                <w:szCs w:val="20"/>
                <w:color w:val="auto"/>
              </w:rPr>
            </w:pPr>
            <w:r>
              <w:rPr>
                <w:rFonts w:ascii="Arial" w:cs="Arial" w:eastAsia="Arial" w:hAnsi="Arial"/>
                <w:sz w:val="11"/>
                <w:szCs w:val="11"/>
                <w:b w:val="1"/>
                <w:bCs w:val="1"/>
                <w:color w:val="auto"/>
              </w:rPr>
              <w:t>Return</w:t>
            </w:r>
          </w:p>
        </w:tc>
        <w:tc>
          <w:tcPr>
            <w:tcW w:w="840" w:type="dxa"/>
            <w:vAlign w:val="bottom"/>
            <w:tcBorders>
              <w:bottom w:val="single" w:sz="8" w:color="0072AF"/>
            </w:tcBorders>
          </w:tcPr>
          <w:p>
            <w:pPr>
              <w:jc w:val="center"/>
              <w:ind w:left="1"/>
              <w:spacing w:after="0"/>
              <w:rPr>
                <w:sz w:val="20"/>
                <w:szCs w:val="20"/>
                <w:color w:val="auto"/>
              </w:rPr>
            </w:pPr>
            <w:r>
              <w:rPr>
                <w:rFonts w:ascii="Arial" w:cs="Arial" w:eastAsia="Arial" w:hAnsi="Arial"/>
                <w:sz w:val="11"/>
                <w:szCs w:val="11"/>
                <w:b w:val="1"/>
                <w:bCs w:val="1"/>
                <w:color w:val="auto"/>
                <w:w w:val="97"/>
              </w:rPr>
              <w:t>thousands)</w:t>
            </w:r>
          </w:p>
        </w:tc>
        <w:tc>
          <w:tcPr>
            <w:tcW w:w="840" w:type="dxa"/>
            <w:vAlign w:val="bottom"/>
            <w:tcBorders>
              <w:bottom w:val="single" w:sz="8" w:color="0072AF"/>
            </w:tcBorders>
          </w:tcPr>
          <w:p>
            <w:pPr>
              <w:jc w:val="center"/>
              <w:spacing w:after="0"/>
              <w:rPr>
                <w:sz w:val="20"/>
                <w:szCs w:val="20"/>
                <w:color w:val="auto"/>
              </w:rPr>
            </w:pPr>
            <w:r>
              <w:rPr>
                <w:rFonts w:ascii="Arial" w:cs="Arial" w:eastAsia="Arial" w:hAnsi="Arial"/>
                <w:sz w:val="11"/>
                <w:szCs w:val="11"/>
                <w:b w:val="1"/>
                <w:bCs w:val="1"/>
                <w:color w:val="auto"/>
                <w:w w:val="93"/>
              </w:rPr>
              <w:t>thousands)</w:t>
            </w:r>
            <w:r>
              <w:rPr>
                <w:rFonts w:ascii="Arial" w:cs="Arial" w:eastAsia="Arial" w:hAnsi="Arial"/>
                <w:sz w:val="16"/>
                <w:szCs w:val="16"/>
                <w:b w:val="1"/>
                <w:bCs w:val="1"/>
                <w:color w:val="auto"/>
                <w:w w:val="93"/>
                <w:vertAlign w:val="superscript"/>
              </w:rPr>
              <w:t>(5)</w:t>
            </w:r>
          </w:p>
        </w:tc>
        <w:tc>
          <w:tcPr>
            <w:tcW w:w="0" w:type="dxa"/>
            <w:vAlign w:val="bottom"/>
          </w:tcPr>
          <w:p>
            <w:pPr>
              <w:spacing w:after="0"/>
              <w:rPr>
                <w:sz w:val="1"/>
                <w:szCs w:val="1"/>
                <w:color w:val="auto"/>
              </w:rPr>
            </w:pPr>
          </w:p>
        </w:tc>
      </w:tr>
      <w:tr>
        <w:trPr>
          <w:trHeight w:val="227"/>
        </w:trPr>
        <w:tc>
          <w:tcPr>
            <w:tcW w:w="480" w:type="dxa"/>
            <w:vAlign w:val="bottom"/>
            <w:tcBorders>
              <w:right w:val="single" w:sz="8" w:color="0072AF"/>
            </w:tcBorders>
            <w:shd w:val="clear" w:color="auto" w:fill="CBCEE0"/>
          </w:tcPr>
          <w:p>
            <w:pPr>
              <w:jc w:val="center"/>
              <w:ind w:right="19"/>
              <w:spacing w:after="0"/>
              <w:rPr>
                <w:sz w:val="20"/>
                <w:szCs w:val="20"/>
                <w:color w:val="auto"/>
              </w:rPr>
            </w:pPr>
            <w:r>
              <w:rPr>
                <w:rFonts w:ascii="Arial" w:cs="Arial" w:eastAsia="Arial" w:hAnsi="Arial"/>
                <w:sz w:val="13"/>
                <w:szCs w:val="13"/>
                <w:color w:val="auto"/>
                <w:w w:val="96"/>
              </w:rPr>
              <w:t>2023</w:t>
            </w:r>
          </w:p>
        </w:tc>
        <w:tc>
          <w:tcPr>
            <w:tcW w:w="40" w:type="dxa"/>
            <w:vAlign w:val="bottom"/>
            <w:shd w:val="clear" w:color="auto" w:fill="CBCEE0"/>
          </w:tcPr>
          <w:p>
            <w:pPr>
              <w:spacing w:after="0"/>
              <w:rPr>
                <w:sz w:val="19"/>
                <w:szCs w:val="19"/>
                <w:color w:val="auto"/>
              </w:rPr>
            </w:pPr>
          </w:p>
        </w:tc>
        <w:tc>
          <w:tcPr>
            <w:tcW w:w="680" w:type="dxa"/>
            <w:vAlign w:val="bottom"/>
            <w:shd w:val="clear" w:color="auto" w:fill="CBCEE0"/>
          </w:tcPr>
          <w:p>
            <w:pPr>
              <w:jc w:val="center"/>
              <w:spacing w:after="0"/>
              <w:rPr>
                <w:sz w:val="20"/>
                <w:szCs w:val="20"/>
                <w:color w:val="auto"/>
              </w:rPr>
            </w:pPr>
            <w:r>
              <w:rPr>
                <w:rFonts w:ascii="Arial" w:cs="Arial" w:eastAsia="Arial" w:hAnsi="Arial"/>
                <w:sz w:val="13"/>
                <w:szCs w:val="13"/>
                <w:color w:val="auto"/>
                <w:w w:val="98"/>
              </w:rPr>
              <w:t>$2,712,791</w:t>
            </w:r>
          </w:p>
        </w:tc>
        <w:tc>
          <w:tcPr>
            <w:tcW w:w="700" w:type="dxa"/>
            <w:vAlign w:val="bottom"/>
            <w:shd w:val="clear" w:color="auto" w:fill="CBCEE0"/>
          </w:tcPr>
          <w:p>
            <w:pPr>
              <w:jc w:val="center"/>
              <w:spacing w:after="0"/>
              <w:rPr>
                <w:sz w:val="20"/>
                <w:szCs w:val="20"/>
                <w:color w:val="auto"/>
              </w:rPr>
            </w:pPr>
            <w:r>
              <w:rPr>
                <w:rFonts w:ascii="Arial" w:cs="Arial" w:eastAsia="Arial" w:hAnsi="Arial"/>
                <w:sz w:val="13"/>
                <w:szCs w:val="13"/>
                <w:color w:val="auto"/>
                <w:w w:val="98"/>
              </w:rPr>
              <w:t>$7,266,238</w:t>
            </w:r>
          </w:p>
        </w:tc>
        <w:tc>
          <w:tcPr>
            <w:tcW w:w="100" w:type="dxa"/>
            <w:vAlign w:val="bottom"/>
            <w:shd w:val="clear" w:color="auto" w:fill="CBCEE0"/>
          </w:tcPr>
          <w:p>
            <w:pPr>
              <w:spacing w:after="0"/>
              <w:rPr>
                <w:sz w:val="19"/>
                <w:szCs w:val="19"/>
                <w:color w:val="auto"/>
              </w:rPr>
            </w:pPr>
          </w:p>
        </w:tc>
        <w:tc>
          <w:tcPr>
            <w:tcW w:w="700" w:type="dxa"/>
            <w:vAlign w:val="bottom"/>
            <w:shd w:val="clear" w:color="auto" w:fill="CBCEE0"/>
          </w:tcPr>
          <w:p>
            <w:pPr>
              <w:jc w:val="center"/>
              <w:ind w:right="1"/>
              <w:spacing w:after="0"/>
              <w:rPr>
                <w:sz w:val="20"/>
                <w:szCs w:val="20"/>
                <w:color w:val="auto"/>
              </w:rPr>
            </w:pPr>
            <w:r>
              <w:rPr>
                <w:rFonts w:ascii="Arial" w:cs="Arial" w:eastAsia="Arial" w:hAnsi="Arial"/>
                <w:sz w:val="13"/>
                <w:szCs w:val="13"/>
                <w:color w:val="auto"/>
                <w:w w:val="98"/>
              </w:rPr>
              <w:t>$2,794,637</w:t>
            </w:r>
          </w:p>
        </w:tc>
        <w:tc>
          <w:tcPr>
            <w:tcW w:w="740" w:type="dxa"/>
            <w:vAlign w:val="bottom"/>
            <w:shd w:val="clear" w:color="auto" w:fill="CBCEE0"/>
          </w:tcPr>
          <w:p>
            <w:pPr>
              <w:jc w:val="center"/>
              <w:spacing w:after="0"/>
              <w:rPr>
                <w:sz w:val="20"/>
                <w:szCs w:val="20"/>
                <w:color w:val="auto"/>
              </w:rPr>
            </w:pPr>
            <w:r>
              <w:rPr>
                <w:rFonts w:ascii="Arial" w:cs="Arial" w:eastAsia="Arial" w:hAnsi="Arial"/>
                <w:sz w:val="13"/>
                <w:szCs w:val="13"/>
                <w:color w:val="auto"/>
                <w:w w:val="98"/>
              </w:rPr>
              <w:t>$4,656,167</w:t>
            </w:r>
          </w:p>
        </w:tc>
        <w:tc>
          <w:tcPr>
            <w:tcW w:w="940" w:type="dxa"/>
            <w:vAlign w:val="bottom"/>
            <w:shd w:val="clear" w:color="auto" w:fill="CBCEE0"/>
          </w:tcPr>
          <w:p>
            <w:pPr>
              <w:jc w:val="center"/>
              <w:ind w:left="2"/>
              <w:spacing w:after="0"/>
              <w:rPr>
                <w:sz w:val="20"/>
                <w:szCs w:val="20"/>
                <w:color w:val="auto"/>
              </w:rPr>
            </w:pPr>
            <w:r>
              <w:rPr>
                <w:rFonts w:ascii="Arial" w:cs="Arial" w:eastAsia="Arial" w:hAnsi="Arial"/>
                <w:sz w:val="13"/>
                <w:szCs w:val="13"/>
                <w:color w:val="auto"/>
                <w:w w:val="98"/>
              </w:rPr>
              <w:t>$1,808,904</w:t>
            </w:r>
          </w:p>
        </w:tc>
        <w:tc>
          <w:tcPr>
            <w:tcW w:w="940" w:type="dxa"/>
            <w:vAlign w:val="bottom"/>
            <w:shd w:val="clear" w:color="auto" w:fill="CBCEE0"/>
          </w:tcPr>
          <w:p>
            <w:pPr>
              <w:jc w:val="center"/>
              <w:ind w:right="22"/>
              <w:spacing w:after="0"/>
              <w:rPr>
                <w:sz w:val="20"/>
                <w:szCs w:val="20"/>
                <w:color w:val="auto"/>
              </w:rPr>
            </w:pPr>
            <w:r>
              <w:rPr>
                <w:rFonts w:ascii="Arial" w:cs="Arial" w:eastAsia="Arial" w:hAnsi="Arial"/>
                <w:sz w:val="13"/>
                <w:szCs w:val="13"/>
                <w:color w:val="auto"/>
                <w:w w:val="95"/>
              </w:rPr>
              <w:t>$1,840,026</w:t>
            </w:r>
          </w:p>
        </w:tc>
        <w:tc>
          <w:tcPr>
            <w:tcW w:w="700" w:type="dxa"/>
            <w:vAlign w:val="bottom"/>
            <w:shd w:val="clear" w:color="auto" w:fill="CBCEE0"/>
          </w:tcPr>
          <w:p>
            <w:pPr>
              <w:jc w:val="center"/>
              <w:ind w:right="2"/>
              <w:spacing w:after="0"/>
              <w:rPr>
                <w:sz w:val="20"/>
                <w:szCs w:val="20"/>
                <w:color w:val="auto"/>
              </w:rPr>
            </w:pPr>
            <w:r>
              <w:rPr>
                <w:rFonts w:ascii="Arial" w:cs="Arial" w:eastAsia="Arial" w:hAnsi="Arial"/>
                <w:sz w:val="13"/>
                <w:szCs w:val="13"/>
                <w:color w:val="auto"/>
                <w:w w:val="96"/>
              </w:rPr>
              <w:t>$131</w:t>
            </w:r>
          </w:p>
        </w:tc>
        <w:tc>
          <w:tcPr>
            <w:tcW w:w="780" w:type="dxa"/>
            <w:vAlign w:val="bottom"/>
            <w:shd w:val="clear" w:color="auto" w:fill="CBCEE0"/>
          </w:tcPr>
          <w:p>
            <w:pPr>
              <w:jc w:val="center"/>
              <w:spacing w:after="0"/>
              <w:rPr>
                <w:sz w:val="20"/>
                <w:szCs w:val="20"/>
                <w:color w:val="auto"/>
              </w:rPr>
            </w:pPr>
            <w:r>
              <w:rPr>
                <w:rFonts w:ascii="Arial" w:cs="Arial" w:eastAsia="Arial" w:hAnsi="Arial"/>
                <w:sz w:val="13"/>
                <w:szCs w:val="13"/>
                <w:color w:val="auto"/>
                <w:w w:val="96"/>
              </w:rPr>
              <w:t>$105</w:t>
            </w:r>
          </w:p>
        </w:tc>
        <w:tc>
          <w:tcPr>
            <w:tcW w:w="700" w:type="dxa"/>
            <w:vAlign w:val="bottom"/>
            <w:shd w:val="clear" w:color="auto" w:fill="CBCEE0"/>
          </w:tcPr>
          <w:p>
            <w:pPr>
              <w:jc w:val="center"/>
              <w:ind w:left="22"/>
              <w:spacing w:after="0"/>
              <w:rPr>
                <w:sz w:val="20"/>
                <w:szCs w:val="20"/>
                <w:color w:val="auto"/>
              </w:rPr>
            </w:pPr>
            <w:r>
              <w:rPr>
                <w:rFonts w:ascii="Arial" w:cs="Arial" w:eastAsia="Arial" w:hAnsi="Arial"/>
                <w:sz w:val="13"/>
                <w:szCs w:val="13"/>
                <w:color w:val="auto"/>
                <w:w w:val="99"/>
              </w:rPr>
              <w:t>n/a</w:t>
            </w:r>
          </w:p>
        </w:tc>
        <w:tc>
          <w:tcPr>
            <w:tcW w:w="840" w:type="dxa"/>
            <w:vAlign w:val="bottom"/>
            <w:shd w:val="clear" w:color="auto" w:fill="CBCEE0"/>
          </w:tcPr>
          <w:p>
            <w:pPr>
              <w:jc w:val="center"/>
              <w:ind w:left="1"/>
              <w:spacing w:after="0"/>
              <w:rPr>
                <w:sz w:val="20"/>
                <w:szCs w:val="20"/>
                <w:color w:val="auto"/>
              </w:rPr>
            </w:pPr>
            <w:r>
              <w:rPr>
                <w:rFonts w:ascii="Arial" w:cs="Arial" w:eastAsia="Arial" w:hAnsi="Arial"/>
                <w:sz w:val="13"/>
                <w:szCs w:val="13"/>
                <w:color w:val="auto"/>
                <w:w w:val="98"/>
              </w:rPr>
              <w:t>$(385,627)</w:t>
            </w:r>
          </w:p>
        </w:tc>
        <w:tc>
          <w:tcPr>
            <w:tcW w:w="840" w:type="dxa"/>
            <w:vAlign w:val="bottom"/>
            <w:shd w:val="clear" w:color="auto" w:fill="CBCEE0"/>
          </w:tcPr>
          <w:p>
            <w:pPr>
              <w:jc w:val="center"/>
              <w:spacing w:after="0"/>
              <w:rPr>
                <w:sz w:val="20"/>
                <w:szCs w:val="20"/>
                <w:color w:val="auto"/>
              </w:rPr>
            </w:pPr>
            <w:r>
              <w:rPr>
                <w:rFonts w:ascii="Arial" w:cs="Arial" w:eastAsia="Arial" w:hAnsi="Arial"/>
                <w:sz w:val="13"/>
                <w:szCs w:val="13"/>
                <w:color w:val="auto"/>
                <w:w w:val="95"/>
              </w:rPr>
              <w:t>$171,595</w:t>
            </w:r>
          </w:p>
        </w:tc>
        <w:tc>
          <w:tcPr>
            <w:tcW w:w="0" w:type="dxa"/>
            <w:vAlign w:val="bottom"/>
          </w:tcPr>
          <w:p>
            <w:pPr>
              <w:spacing w:after="0"/>
              <w:rPr>
                <w:sz w:val="1"/>
                <w:szCs w:val="1"/>
                <w:color w:val="auto"/>
              </w:rPr>
            </w:pPr>
          </w:p>
        </w:tc>
      </w:tr>
      <w:tr>
        <w:trPr>
          <w:trHeight w:val="68"/>
        </w:trPr>
        <w:tc>
          <w:tcPr>
            <w:tcW w:w="480" w:type="dxa"/>
            <w:vAlign w:val="bottom"/>
            <w:tcBorders>
              <w:bottom w:val="single" w:sz="8" w:color="0072AF"/>
              <w:right w:val="single" w:sz="8" w:color="0072AF"/>
            </w:tcBorders>
            <w:shd w:val="clear" w:color="auto" w:fill="CBCEE0"/>
          </w:tcPr>
          <w:p>
            <w:pPr>
              <w:spacing w:after="0"/>
              <w:rPr>
                <w:sz w:val="5"/>
                <w:szCs w:val="5"/>
                <w:color w:val="auto"/>
              </w:rPr>
            </w:pPr>
          </w:p>
        </w:tc>
        <w:tc>
          <w:tcPr>
            <w:tcW w:w="40" w:type="dxa"/>
            <w:vAlign w:val="bottom"/>
            <w:tcBorders>
              <w:bottom w:val="single" w:sz="8" w:color="0072AF"/>
            </w:tcBorders>
            <w:shd w:val="clear" w:color="auto" w:fill="CBCEE0"/>
          </w:tcPr>
          <w:p>
            <w:pPr>
              <w:spacing w:after="0"/>
              <w:rPr>
                <w:sz w:val="5"/>
                <w:szCs w:val="5"/>
                <w:color w:val="auto"/>
              </w:rPr>
            </w:pPr>
          </w:p>
        </w:tc>
        <w:tc>
          <w:tcPr>
            <w:tcW w:w="680" w:type="dxa"/>
            <w:vAlign w:val="bottom"/>
            <w:tcBorders>
              <w:bottom w:val="single" w:sz="8" w:color="0072AF"/>
            </w:tcBorders>
            <w:shd w:val="clear" w:color="auto" w:fill="CBCEE0"/>
          </w:tcPr>
          <w:p>
            <w:pPr>
              <w:spacing w:after="0"/>
              <w:rPr>
                <w:sz w:val="5"/>
                <w:szCs w:val="5"/>
                <w:color w:val="auto"/>
              </w:rPr>
            </w:pPr>
          </w:p>
        </w:tc>
        <w:tc>
          <w:tcPr>
            <w:tcW w:w="700" w:type="dxa"/>
            <w:vAlign w:val="bottom"/>
            <w:tcBorders>
              <w:bottom w:val="single" w:sz="8" w:color="0072AF"/>
            </w:tcBorders>
            <w:shd w:val="clear" w:color="auto" w:fill="CBCEE0"/>
          </w:tcPr>
          <w:p>
            <w:pPr>
              <w:spacing w:after="0"/>
              <w:rPr>
                <w:sz w:val="5"/>
                <w:szCs w:val="5"/>
                <w:color w:val="auto"/>
              </w:rPr>
            </w:pPr>
          </w:p>
        </w:tc>
        <w:tc>
          <w:tcPr>
            <w:tcW w:w="100" w:type="dxa"/>
            <w:vAlign w:val="bottom"/>
            <w:tcBorders>
              <w:bottom w:val="single" w:sz="8" w:color="0072AF"/>
            </w:tcBorders>
            <w:shd w:val="clear" w:color="auto" w:fill="CBCEE0"/>
          </w:tcPr>
          <w:p>
            <w:pPr>
              <w:spacing w:after="0"/>
              <w:rPr>
                <w:sz w:val="5"/>
                <w:szCs w:val="5"/>
                <w:color w:val="auto"/>
              </w:rPr>
            </w:pPr>
          </w:p>
        </w:tc>
        <w:tc>
          <w:tcPr>
            <w:tcW w:w="700" w:type="dxa"/>
            <w:vAlign w:val="bottom"/>
            <w:tcBorders>
              <w:bottom w:val="single" w:sz="8" w:color="0072AF"/>
            </w:tcBorders>
            <w:shd w:val="clear" w:color="auto" w:fill="CBCEE0"/>
          </w:tcPr>
          <w:p>
            <w:pPr>
              <w:spacing w:after="0"/>
              <w:rPr>
                <w:sz w:val="5"/>
                <w:szCs w:val="5"/>
                <w:color w:val="auto"/>
              </w:rPr>
            </w:pPr>
          </w:p>
        </w:tc>
        <w:tc>
          <w:tcPr>
            <w:tcW w:w="740" w:type="dxa"/>
            <w:vAlign w:val="bottom"/>
            <w:tcBorders>
              <w:bottom w:val="single" w:sz="8" w:color="0072AF"/>
            </w:tcBorders>
            <w:shd w:val="clear" w:color="auto" w:fill="CBCEE0"/>
          </w:tcPr>
          <w:p>
            <w:pPr>
              <w:spacing w:after="0"/>
              <w:rPr>
                <w:sz w:val="5"/>
                <w:szCs w:val="5"/>
                <w:color w:val="auto"/>
              </w:rPr>
            </w:pPr>
          </w:p>
        </w:tc>
        <w:tc>
          <w:tcPr>
            <w:tcW w:w="940" w:type="dxa"/>
            <w:vAlign w:val="bottom"/>
            <w:tcBorders>
              <w:bottom w:val="single" w:sz="8" w:color="0072AF"/>
            </w:tcBorders>
            <w:shd w:val="clear" w:color="auto" w:fill="CBCEE0"/>
          </w:tcPr>
          <w:p>
            <w:pPr>
              <w:spacing w:after="0"/>
              <w:rPr>
                <w:sz w:val="5"/>
                <w:szCs w:val="5"/>
                <w:color w:val="auto"/>
              </w:rPr>
            </w:pPr>
          </w:p>
        </w:tc>
        <w:tc>
          <w:tcPr>
            <w:tcW w:w="940" w:type="dxa"/>
            <w:vAlign w:val="bottom"/>
            <w:tcBorders>
              <w:bottom w:val="single" w:sz="8" w:color="0072AF"/>
            </w:tcBorders>
            <w:shd w:val="clear" w:color="auto" w:fill="CBCEE0"/>
          </w:tcPr>
          <w:p>
            <w:pPr>
              <w:spacing w:after="0"/>
              <w:rPr>
                <w:sz w:val="5"/>
                <w:szCs w:val="5"/>
                <w:color w:val="auto"/>
              </w:rPr>
            </w:pPr>
          </w:p>
        </w:tc>
        <w:tc>
          <w:tcPr>
            <w:tcW w:w="700" w:type="dxa"/>
            <w:vAlign w:val="bottom"/>
            <w:tcBorders>
              <w:bottom w:val="single" w:sz="8" w:color="0072AF"/>
            </w:tcBorders>
            <w:shd w:val="clear" w:color="auto" w:fill="CBCEE0"/>
          </w:tcPr>
          <w:p>
            <w:pPr>
              <w:spacing w:after="0"/>
              <w:rPr>
                <w:sz w:val="5"/>
                <w:szCs w:val="5"/>
                <w:color w:val="auto"/>
              </w:rPr>
            </w:pPr>
          </w:p>
        </w:tc>
        <w:tc>
          <w:tcPr>
            <w:tcW w:w="780" w:type="dxa"/>
            <w:vAlign w:val="bottom"/>
            <w:tcBorders>
              <w:bottom w:val="single" w:sz="8" w:color="0072AF"/>
            </w:tcBorders>
            <w:shd w:val="clear" w:color="auto" w:fill="CBCEE0"/>
          </w:tcPr>
          <w:p>
            <w:pPr>
              <w:spacing w:after="0"/>
              <w:rPr>
                <w:sz w:val="5"/>
                <w:szCs w:val="5"/>
                <w:color w:val="auto"/>
              </w:rPr>
            </w:pPr>
          </w:p>
        </w:tc>
        <w:tc>
          <w:tcPr>
            <w:tcW w:w="700" w:type="dxa"/>
            <w:vAlign w:val="bottom"/>
            <w:tcBorders>
              <w:bottom w:val="single" w:sz="8" w:color="0072AF"/>
            </w:tcBorders>
            <w:shd w:val="clear" w:color="auto" w:fill="CBCEE0"/>
          </w:tcPr>
          <w:p>
            <w:pPr>
              <w:spacing w:after="0"/>
              <w:rPr>
                <w:sz w:val="5"/>
                <w:szCs w:val="5"/>
                <w:color w:val="auto"/>
              </w:rPr>
            </w:pPr>
          </w:p>
        </w:tc>
        <w:tc>
          <w:tcPr>
            <w:tcW w:w="840" w:type="dxa"/>
            <w:vAlign w:val="bottom"/>
            <w:tcBorders>
              <w:bottom w:val="single" w:sz="8" w:color="0072AF"/>
            </w:tcBorders>
            <w:shd w:val="clear" w:color="auto" w:fill="CBCEE0"/>
          </w:tcPr>
          <w:p>
            <w:pPr>
              <w:spacing w:after="0"/>
              <w:rPr>
                <w:sz w:val="5"/>
                <w:szCs w:val="5"/>
                <w:color w:val="auto"/>
              </w:rPr>
            </w:pPr>
          </w:p>
        </w:tc>
        <w:tc>
          <w:tcPr>
            <w:tcW w:w="840" w:type="dxa"/>
            <w:vAlign w:val="bottom"/>
            <w:tcBorders>
              <w:bottom w:val="single" w:sz="8" w:color="0072AF"/>
            </w:tcBorders>
            <w:shd w:val="clear" w:color="auto" w:fill="CBCEE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80" w:type="dxa"/>
            <w:vAlign w:val="bottom"/>
            <w:tcBorders>
              <w:right w:val="single" w:sz="8" w:color="0072AF"/>
            </w:tcBorders>
          </w:tcPr>
          <w:p>
            <w:pPr>
              <w:jc w:val="center"/>
              <w:ind w:right="19"/>
              <w:spacing w:after="0"/>
              <w:rPr>
                <w:sz w:val="20"/>
                <w:szCs w:val="20"/>
                <w:color w:val="auto"/>
              </w:rPr>
            </w:pPr>
            <w:r>
              <w:rPr>
                <w:rFonts w:ascii="Arial" w:cs="Arial" w:eastAsia="Arial" w:hAnsi="Arial"/>
                <w:sz w:val="13"/>
                <w:szCs w:val="13"/>
                <w:color w:val="auto"/>
                <w:w w:val="96"/>
              </w:rPr>
              <w:t>2022</w:t>
            </w:r>
          </w:p>
        </w:tc>
        <w:tc>
          <w:tcPr>
            <w:tcW w:w="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8"/>
              </w:rPr>
              <w:t>n/a</w:t>
            </w:r>
          </w:p>
        </w:tc>
        <w:tc>
          <w:tcPr>
            <w:tcW w:w="700" w:type="dxa"/>
            <w:vAlign w:val="bottom"/>
          </w:tcPr>
          <w:p>
            <w:pPr>
              <w:jc w:val="center"/>
              <w:spacing w:after="0"/>
              <w:rPr>
                <w:sz w:val="20"/>
                <w:szCs w:val="20"/>
                <w:color w:val="auto"/>
              </w:rPr>
            </w:pPr>
            <w:r>
              <w:rPr>
                <w:rFonts w:ascii="Arial" w:cs="Arial" w:eastAsia="Arial" w:hAnsi="Arial"/>
                <w:sz w:val="13"/>
                <w:szCs w:val="13"/>
                <w:color w:val="auto"/>
                <w:w w:val="98"/>
              </w:rPr>
              <w:t>$7,023,960</w:t>
            </w:r>
          </w:p>
        </w:tc>
        <w:tc>
          <w:tcPr>
            <w:tcW w:w="1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99"/>
              </w:rPr>
              <w:t>n/a</w:t>
            </w:r>
          </w:p>
        </w:tc>
        <w:tc>
          <w:tcPr>
            <w:tcW w:w="740" w:type="dxa"/>
            <w:vAlign w:val="bottom"/>
          </w:tcPr>
          <w:p>
            <w:pPr>
              <w:jc w:val="center"/>
              <w:spacing w:after="0"/>
              <w:rPr>
                <w:sz w:val="20"/>
                <w:szCs w:val="20"/>
                <w:color w:val="auto"/>
              </w:rPr>
            </w:pPr>
            <w:r>
              <w:rPr>
                <w:rFonts w:ascii="Arial" w:cs="Arial" w:eastAsia="Arial" w:hAnsi="Arial"/>
                <w:sz w:val="13"/>
                <w:szCs w:val="13"/>
                <w:color w:val="auto"/>
                <w:w w:val="95"/>
              </w:rPr>
              <w:t>$777,215</w:t>
            </w:r>
          </w:p>
        </w:tc>
        <w:tc>
          <w:tcPr>
            <w:tcW w:w="940" w:type="dxa"/>
            <w:vAlign w:val="bottom"/>
          </w:tcPr>
          <w:p>
            <w:pPr>
              <w:jc w:val="center"/>
              <w:ind w:left="2"/>
              <w:spacing w:after="0"/>
              <w:rPr>
                <w:sz w:val="20"/>
                <w:szCs w:val="20"/>
                <w:color w:val="auto"/>
              </w:rPr>
            </w:pPr>
            <w:r>
              <w:rPr>
                <w:rFonts w:ascii="Arial" w:cs="Arial" w:eastAsia="Arial" w:hAnsi="Arial"/>
                <w:sz w:val="13"/>
                <w:szCs w:val="13"/>
                <w:color w:val="auto"/>
                <w:w w:val="98"/>
              </w:rPr>
              <w:t>$1,617,341</w:t>
            </w:r>
          </w:p>
        </w:tc>
        <w:tc>
          <w:tcPr>
            <w:tcW w:w="940" w:type="dxa"/>
            <w:vAlign w:val="bottom"/>
          </w:tcPr>
          <w:p>
            <w:pPr>
              <w:jc w:val="center"/>
              <w:ind w:right="2"/>
              <w:spacing w:after="0"/>
              <w:rPr>
                <w:sz w:val="20"/>
                <w:szCs w:val="20"/>
                <w:color w:val="auto"/>
              </w:rPr>
            </w:pPr>
            <w:r>
              <w:rPr>
                <w:rFonts w:ascii="Arial" w:cs="Arial" w:eastAsia="Arial" w:hAnsi="Arial"/>
                <w:sz w:val="13"/>
                <w:szCs w:val="13"/>
                <w:color w:val="auto"/>
                <w:w w:val="95"/>
              </w:rPr>
              <w:t>$678,613</w:t>
            </w:r>
          </w:p>
        </w:tc>
        <w:tc>
          <w:tcPr>
            <w:tcW w:w="700" w:type="dxa"/>
            <w:vAlign w:val="bottom"/>
          </w:tcPr>
          <w:p>
            <w:pPr>
              <w:jc w:val="center"/>
              <w:ind w:right="2"/>
              <w:spacing w:after="0"/>
              <w:rPr>
                <w:sz w:val="20"/>
                <w:szCs w:val="20"/>
                <w:color w:val="auto"/>
              </w:rPr>
            </w:pPr>
            <w:r>
              <w:rPr>
                <w:rFonts w:ascii="Arial" w:cs="Arial" w:eastAsia="Arial" w:hAnsi="Arial"/>
                <w:sz w:val="13"/>
                <w:szCs w:val="13"/>
                <w:color w:val="auto"/>
                <w:w w:val="96"/>
              </w:rPr>
              <w:t>$107</w:t>
            </w:r>
          </w:p>
        </w:tc>
        <w:tc>
          <w:tcPr>
            <w:tcW w:w="780" w:type="dxa"/>
            <w:vAlign w:val="bottom"/>
          </w:tcPr>
          <w:p>
            <w:pPr>
              <w:jc w:val="center"/>
              <w:spacing w:after="0"/>
              <w:rPr>
                <w:sz w:val="20"/>
                <w:szCs w:val="20"/>
                <w:color w:val="auto"/>
              </w:rPr>
            </w:pPr>
            <w:r>
              <w:rPr>
                <w:rFonts w:ascii="Arial" w:cs="Arial" w:eastAsia="Arial" w:hAnsi="Arial"/>
                <w:sz w:val="13"/>
                <w:szCs w:val="13"/>
                <w:color w:val="auto"/>
              </w:rPr>
              <w:t>$88</w:t>
            </w:r>
          </w:p>
        </w:tc>
        <w:tc>
          <w:tcPr>
            <w:tcW w:w="700" w:type="dxa"/>
            <w:vAlign w:val="bottom"/>
          </w:tcPr>
          <w:p>
            <w:pPr>
              <w:jc w:val="center"/>
              <w:ind w:left="2"/>
              <w:spacing w:after="0"/>
              <w:rPr>
                <w:sz w:val="20"/>
                <w:szCs w:val="20"/>
                <w:color w:val="auto"/>
              </w:rPr>
            </w:pPr>
            <w:r>
              <w:rPr>
                <w:rFonts w:ascii="Arial" w:cs="Arial" w:eastAsia="Arial" w:hAnsi="Arial"/>
                <w:sz w:val="13"/>
                <w:szCs w:val="13"/>
                <w:color w:val="auto"/>
                <w:w w:val="92"/>
              </w:rPr>
              <w:t>$88</w:t>
            </w:r>
          </w:p>
        </w:tc>
        <w:tc>
          <w:tcPr>
            <w:tcW w:w="840" w:type="dxa"/>
            <w:vAlign w:val="bottom"/>
          </w:tcPr>
          <w:p>
            <w:pPr>
              <w:jc w:val="center"/>
              <w:ind w:left="1"/>
              <w:spacing w:after="0"/>
              <w:rPr>
                <w:sz w:val="20"/>
                <w:szCs w:val="20"/>
                <w:color w:val="auto"/>
              </w:rPr>
            </w:pPr>
            <w:r>
              <w:rPr>
                <w:rFonts w:ascii="Arial" w:cs="Arial" w:eastAsia="Arial" w:hAnsi="Arial"/>
                <w:sz w:val="13"/>
                <w:szCs w:val="13"/>
                <w:color w:val="auto"/>
                <w:w w:val="97"/>
              </w:rPr>
              <w:t>$36,940</w:t>
            </w:r>
          </w:p>
        </w:tc>
        <w:tc>
          <w:tcPr>
            <w:tcW w:w="840" w:type="dxa"/>
            <w:vAlign w:val="bottom"/>
          </w:tcPr>
          <w:p>
            <w:pPr>
              <w:jc w:val="center"/>
              <w:spacing w:after="0"/>
              <w:rPr>
                <w:sz w:val="20"/>
                <w:szCs w:val="20"/>
                <w:color w:val="auto"/>
              </w:rPr>
            </w:pPr>
            <w:r>
              <w:rPr>
                <w:rFonts w:ascii="Arial" w:cs="Arial" w:eastAsia="Arial" w:hAnsi="Arial"/>
                <w:sz w:val="13"/>
                <w:szCs w:val="13"/>
                <w:color w:val="auto"/>
                <w:w w:val="95"/>
              </w:rPr>
              <w:t>$153,780</w:t>
            </w:r>
          </w:p>
        </w:tc>
        <w:tc>
          <w:tcPr>
            <w:tcW w:w="0" w:type="dxa"/>
            <w:vAlign w:val="bottom"/>
          </w:tcPr>
          <w:p>
            <w:pPr>
              <w:spacing w:after="0"/>
              <w:rPr>
                <w:sz w:val="1"/>
                <w:szCs w:val="1"/>
                <w:color w:val="auto"/>
              </w:rPr>
            </w:pPr>
          </w:p>
        </w:tc>
      </w:tr>
      <w:tr>
        <w:trPr>
          <w:trHeight w:val="68"/>
        </w:trPr>
        <w:tc>
          <w:tcPr>
            <w:tcW w:w="480" w:type="dxa"/>
            <w:vAlign w:val="bottom"/>
            <w:tcBorders>
              <w:bottom w:val="single" w:sz="8" w:color="0072AF"/>
              <w:right w:val="single" w:sz="8" w:color="0072AF"/>
            </w:tcBorders>
          </w:tcPr>
          <w:p>
            <w:pPr>
              <w:spacing w:after="0"/>
              <w:rPr>
                <w:sz w:val="5"/>
                <w:szCs w:val="5"/>
                <w:color w:val="auto"/>
              </w:rPr>
            </w:pPr>
          </w:p>
        </w:tc>
        <w:tc>
          <w:tcPr>
            <w:tcW w:w="40" w:type="dxa"/>
            <w:vAlign w:val="bottom"/>
            <w:tcBorders>
              <w:bottom w:val="single" w:sz="8" w:color="0072AF"/>
            </w:tcBorders>
          </w:tcPr>
          <w:p>
            <w:pPr>
              <w:spacing w:after="0"/>
              <w:rPr>
                <w:sz w:val="5"/>
                <w:szCs w:val="5"/>
                <w:color w:val="auto"/>
              </w:rPr>
            </w:pPr>
          </w:p>
        </w:tc>
        <w:tc>
          <w:tcPr>
            <w:tcW w:w="680" w:type="dxa"/>
            <w:vAlign w:val="bottom"/>
            <w:tcBorders>
              <w:bottom w:val="single" w:sz="8" w:color="0072AF"/>
            </w:tcBorders>
          </w:tcPr>
          <w:p>
            <w:pPr>
              <w:spacing w:after="0"/>
              <w:rPr>
                <w:sz w:val="5"/>
                <w:szCs w:val="5"/>
                <w:color w:val="auto"/>
              </w:rPr>
            </w:pPr>
          </w:p>
        </w:tc>
        <w:tc>
          <w:tcPr>
            <w:tcW w:w="700" w:type="dxa"/>
            <w:vAlign w:val="bottom"/>
            <w:tcBorders>
              <w:bottom w:val="single" w:sz="8" w:color="0072AF"/>
            </w:tcBorders>
          </w:tcPr>
          <w:p>
            <w:pPr>
              <w:spacing w:after="0"/>
              <w:rPr>
                <w:sz w:val="5"/>
                <w:szCs w:val="5"/>
                <w:color w:val="auto"/>
              </w:rPr>
            </w:pPr>
          </w:p>
        </w:tc>
        <w:tc>
          <w:tcPr>
            <w:tcW w:w="100" w:type="dxa"/>
            <w:vAlign w:val="bottom"/>
            <w:tcBorders>
              <w:bottom w:val="single" w:sz="8" w:color="0072AF"/>
            </w:tcBorders>
          </w:tcPr>
          <w:p>
            <w:pPr>
              <w:spacing w:after="0"/>
              <w:rPr>
                <w:sz w:val="5"/>
                <w:szCs w:val="5"/>
                <w:color w:val="auto"/>
              </w:rPr>
            </w:pPr>
          </w:p>
        </w:tc>
        <w:tc>
          <w:tcPr>
            <w:tcW w:w="700" w:type="dxa"/>
            <w:vAlign w:val="bottom"/>
            <w:tcBorders>
              <w:bottom w:val="single" w:sz="8" w:color="0072AF"/>
            </w:tcBorders>
          </w:tcPr>
          <w:p>
            <w:pPr>
              <w:spacing w:after="0"/>
              <w:rPr>
                <w:sz w:val="5"/>
                <w:szCs w:val="5"/>
                <w:color w:val="auto"/>
              </w:rPr>
            </w:pPr>
          </w:p>
        </w:tc>
        <w:tc>
          <w:tcPr>
            <w:tcW w:w="740" w:type="dxa"/>
            <w:vAlign w:val="bottom"/>
            <w:tcBorders>
              <w:bottom w:val="single" w:sz="8" w:color="0072AF"/>
            </w:tcBorders>
          </w:tcPr>
          <w:p>
            <w:pPr>
              <w:spacing w:after="0"/>
              <w:rPr>
                <w:sz w:val="5"/>
                <w:szCs w:val="5"/>
                <w:color w:val="auto"/>
              </w:rPr>
            </w:pPr>
          </w:p>
        </w:tc>
        <w:tc>
          <w:tcPr>
            <w:tcW w:w="940" w:type="dxa"/>
            <w:vAlign w:val="bottom"/>
            <w:tcBorders>
              <w:bottom w:val="single" w:sz="8" w:color="0072AF"/>
            </w:tcBorders>
          </w:tcPr>
          <w:p>
            <w:pPr>
              <w:spacing w:after="0"/>
              <w:rPr>
                <w:sz w:val="5"/>
                <w:szCs w:val="5"/>
                <w:color w:val="auto"/>
              </w:rPr>
            </w:pPr>
          </w:p>
        </w:tc>
        <w:tc>
          <w:tcPr>
            <w:tcW w:w="940" w:type="dxa"/>
            <w:vAlign w:val="bottom"/>
            <w:tcBorders>
              <w:bottom w:val="single" w:sz="8" w:color="0072AF"/>
            </w:tcBorders>
          </w:tcPr>
          <w:p>
            <w:pPr>
              <w:spacing w:after="0"/>
              <w:rPr>
                <w:sz w:val="5"/>
                <w:szCs w:val="5"/>
                <w:color w:val="auto"/>
              </w:rPr>
            </w:pPr>
          </w:p>
        </w:tc>
        <w:tc>
          <w:tcPr>
            <w:tcW w:w="700" w:type="dxa"/>
            <w:vAlign w:val="bottom"/>
            <w:tcBorders>
              <w:bottom w:val="single" w:sz="8" w:color="0072AF"/>
            </w:tcBorders>
          </w:tcPr>
          <w:p>
            <w:pPr>
              <w:spacing w:after="0"/>
              <w:rPr>
                <w:sz w:val="5"/>
                <w:szCs w:val="5"/>
                <w:color w:val="auto"/>
              </w:rPr>
            </w:pPr>
          </w:p>
        </w:tc>
        <w:tc>
          <w:tcPr>
            <w:tcW w:w="780" w:type="dxa"/>
            <w:vAlign w:val="bottom"/>
            <w:tcBorders>
              <w:bottom w:val="single" w:sz="8" w:color="0072AF"/>
            </w:tcBorders>
          </w:tcPr>
          <w:p>
            <w:pPr>
              <w:spacing w:after="0"/>
              <w:rPr>
                <w:sz w:val="5"/>
                <w:szCs w:val="5"/>
                <w:color w:val="auto"/>
              </w:rPr>
            </w:pPr>
          </w:p>
        </w:tc>
        <w:tc>
          <w:tcPr>
            <w:tcW w:w="700" w:type="dxa"/>
            <w:vAlign w:val="bottom"/>
            <w:tcBorders>
              <w:bottom w:val="single" w:sz="8" w:color="0072AF"/>
            </w:tcBorders>
          </w:tcPr>
          <w:p>
            <w:pPr>
              <w:spacing w:after="0"/>
              <w:rPr>
                <w:sz w:val="5"/>
                <w:szCs w:val="5"/>
                <w:color w:val="auto"/>
              </w:rPr>
            </w:pPr>
          </w:p>
        </w:tc>
        <w:tc>
          <w:tcPr>
            <w:tcW w:w="840" w:type="dxa"/>
            <w:vAlign w:val="bottom"/>
            <w:tcBorders>
              <w:bottom w:val="single" w:sz="8" w:color="0072AF"/>
            </w:tcBorders>
          </w:tcPr>
          <w:p>
            <w:pPr>
              <w:spacing w:after="0"/>
              <w:rPr>
                <w:sz w:val="5"/>
                <w:szCs w:val="5"/>
                <w:color w:val="auto"/>
              </w:rPr>
            </w:pPr>
          </w:p>
        </w:tc>
        <w:tc>
          <w:tcPr>
            <w:tcW w:w="840" w:type="dxa"/>
            <w:vAlign w:val="bottom"/>
            <w:tcBorders>
              <w:bottom w:val="single" w:sz="8" w:color="0072AF"/>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80" w:type="dxa"/>
            <w:vAlign w:val="bottom"/>
            <w:tcBorders>
              <w:right w:val="single" w:sz="8" w:color="0072AF"/>
            </w:tcBorders>
            <w:shd w:val="clear" w:color="auto" w:fill="CBCEE0"/>
          </w:tcPr>
          <w:p>
            <w:pPr>
              <w:jc w:val="center"/>
              <w:ind w:right="19"/>
              <w:spacing w:after="0"/>
              <w:rPr>
                <w:sz w:val="20"/>
                <w:szCs w:val="20"/>
                <w:color w:val="auto"/>
              </w:rPr>
            </w:pPr>
            <w:r>
              <w:rPr>
                <w:rFonts w:ascii="Arial" w:cs="Arial" w:eastAsia="Arial" w:hAnsi="Arial"/>
                <w:sz w:val="13"/>
                <w:szCs w:val="13"/>
                <w:color w:val="auto"/>
                <w:w w:val="96"/>
              </w:rPr>
              <w:t>2021</w:t>
            </w:r>
          </w:p>
        </w:tc>
        <w:tc>
          <w:tcPr>
            <w:tcW w:w="40" w:type="dxa"/>
            <w:vAlign w:val="bottom"/>
            <w:shd w:val="clear" w:color="auto" w:fill="CBCEE0"/>
          </w:tcPr>
          <w:p>
            <w:pPr>
              <w:spacing w:after="0"/>
              <w:rPr>
                <w:sz w:val="19"/>
                <w:szCs w:val="19"/>
                <w:color w:val="auto"/>
              </w:rPr>
            </w:pPr>
          </w:p>
        </w:tc>
        <w:tc>
          <w:tcPr>
            <w:tcW w:w="680" w:type="dxa"/>
            <w:vAlign w:val="bottom"/>
            <w:shd w:val="clear" w:color="auto" w:fill="CBCEE0"/>
          </w:tcPr>
          <w:p>
            <w:pPr>
              <w:jc w:val="center"/>
              <w:spacing w:after="0"/>
              <w:rPr>
                <w:sz w:val="20"/>
                <w:szCs w:val="20"/>
                <w:color w:val="auto"/>
              </w:rPr>
            </w:pPr>
            <w:r>
              <w:rPr>
                <w:rFonts w:ascii="Arial" w:cs="Arial" w:eastAsia="Arial" w:hAnsi="Arial"/>
                <w:sz w:val="13"/>
                <w:szCs w:val="13"/>
                <w:color w:val="auto"/>
                <w:w w:val="88"/>
              </w:rPr>
              <w:t>n/a</w:t>
            </w:r>
          </w:p>
        </w:tc>
        <w:tc>
          <w:tcPr>
            <w:tcW w:w="700" w:type="dxa"/>
            <w:vAlign w:val="bottom"/>
            <w:shd w:val="clear" w:color="auto" w:fill="CBCEE0"/>
          </w:tcPr>
          <w:p>
            <w:pPr>
              <w:jc w:val="center"/>
              <w:spacing w:after="0"/>
              <w:rPr>
                <w:sz w:val="20"/>
                <w:szCs w:val="20"/>
                <w:color w:val="auto"/>
              </w:rPr>
            </w:pPr>
            <w:r>
              <w:rPr>
                <w:rFonts w:ascii="Arial" w:cs="Arial" w:eastAsia="Arial" w:hAnsi="Arial"/>
                <w:sz w:val="13"/>
                <w:szCs w:val="13"/>
                <w:color w:val="auto"/>
                <w:w w:val="98"/>
              </w:rPr>
              <w:t>$4,913,938</w:t>
            </w:r>
          </w:p>
        </w:tc>
        <w:tc>
          <w:tcPr>
            <w:tcW w:w="100" w:type="dxa"/>
            <w:vAlign w:val="bottom"/>
            <w:shd w:val="clear" w:color="auto" w:fill="CBCEE0"/>
          </w:tcPr>
          <w:p>
            <w:pPr>
              <w:spacing w:after="0"/>
              <w:rPr>
                <w:sz w:val="19"/>
                <w:szCs w:val="19"/>
                <w:color w:val="auto"/>
              </w:rPr>
            </w:pPr>
          </w:p>
        </w:tc>
        <w:tc>
          <w:tcPr>
            <w:tcW w:w="700" w:type="dxa"/>
            <w:vAlign w:val="bottom"/>
            <w:shd w:val="clear" w:color="auto" w:fill="CBCEE0"/>
          </w:tcPr>
          <w:p>
            <w:pPr>
              <w:jc w:val="center"/>
              <w:spacing w:after="0"/>
              <w:rPr>
                <w:sz w:val="20"/>
                <w:szCs w:val="20"/>
                <w:color w:val="auto"/>
              </w:rPr>
            </w:pPr>
            <w:r>
              <w:rPr>
                <w:rFonts w:ascii="Arial" w:cs="Arial" w:eastAsia="Arial" w:hAnsi="Arial"/>
                <w:sz w:val="13"/>
                <w:szCs w:val="13"/>
                <w:color w:val="auto"/>
                <w:w w:val="99"/>
              </w:rPr>
              <w:t>n/a</w:t>
            </w:r>
          </w:p>
        </w:tc>
        <w:tc>
          <w:tcPr>
            <w:tcW w:w="740" w:type="dxa"/>
            <w:vAlign w:val="bottom"/>
            <w:shd w:val="clear" w:color="auto" w:fill="CBCEE0"/>
          </w:tcPr>
          <w:p>
            <w:pPr>
              <w:jc w:val="center"/>
              <w:spacing w:after="0"/>
              <w:rPr>
                <w:sz w:val="20"/>
                <w:szCs w:val="20"/>
                <w:color w:val="auto"/>
              </w:rPr>
            </w:pPr>
            <w:r>
              <w:rPr>
                <w:rFonts w:ascii="Arial" w:cs="Arial" w:eastAsia="Arial" w:hAnsi="Arial"/>
                <w:sz w:val="13"/>
                <w:szCs w:val="13"/>
                <w:color w:val="auto"/>
                <w:w w:val="98"/>
              </w:rPr>
              <w:t>$6,871,285</w:t>
            </w:r>
          </w:p>
        </w:tc>
        <w:tc>
          <w:tcPr>
            <w:tcW w:w="940" w:type="dxa"/>
            <w:vAlign w:val="bottom"/>
            <w:shd w:val="clear" w:color="auto" w:fill="CBCEE0"/>
          </w:tcPr>
          <w:p>
            <w:pPr>
              <w:jc w:val="center"/>
              <w:ind w:left="2"/>
              <w:spacing w:after="0"/>
              <w:rPr>
                <w:sz w:val="20"/>
                <w:szCs w:val="20"/>
                <w:color w:val="auto"/>
              </w:rPr>
            </w:pPr>
            <w:r>
              <w:rPr>
                <w:rFonts w:ascii="Arial" w:cs="Arial" w:eastAsia="Arial" w:hAnsi="Arial"/>
                <w:sz w:val="13"/>
                <w:szCs w:val="13"/>
                <w:color w:val="auto"/>
                <w:w w:val="98"/>
              </w:rPr>
              <w:t>$1,599,173</w:t>
            </w:r>
          </w:p>
        </w:tc>
        <w:tc>
          <w:tcPr>
            <w:tcW w:w="940" w:type="dxa"/>
            <w:vAlign w:val="bottom"/>
            <w:shd w:val="clear" w:color="auto" w:fill="CBCEE0"/>
          </w:tcPr>
          <w:p>
            <w:pPr>
              <w:jc w:val="center"/>
              <w:ind w:right="22"/>
              <w:spacing w:after="0"/>
              <w:rPr>
                <w:sz w:val="20"/>
                <w:szCs w:val="20"/>
                <w:color w:val="auto"/>
              </w:rPr>
            </w:pPr>
            <w:r>
              <w:rPr>
                <w:rFonts w:ascii="Arial" w:cs="Arial" w:eastAsia="Arial" w:hAnsi="Arial"/>
                <w:sz w:val="13"/>
                <w:szCs w:val="13"/>
                <w:color w:val="auto"/>
                <w:w w:val="95"/>
              </w:rPr>
              <w:t>$1,747,398</w:t>
            </w:r>
          </w:p>
        </w:tc>
        <w:tc>
          <w:tcPr>
            <w:tcW w:w="700" w:type="dxa"/>
            <w:vAlign w:val="bottom"/>
            <w:shd w:val="clear" w:color="auto" w:fill="CBCEE0"/>
          </w:tcPr>
          <w:p>
            <w:pPr>
              <w:jc w:val="center"/>
              <w:ind w:right="2"/>
              <w:spacing w:after="0"/>
              <w:rPr>
                <w:sz w:val="20"/>
                <w:szCs w:val="20"/>
                <w:color w:val="auto"/>
              </w:rPr>
            </w:pPr>
            <w:r>
              <w:rPr>
                <w:rFonts w:ascii="Arial" w:cs="Arial" w:eastAsia="Arial" w:hAnsi="Arial"/>
                <w:sz w:val="13"/>
                <w:szCs w:val="13"/>
                <w:color w:val="auto"/>
                <w:w w:val="96"/>
              </w:rPr>
              <w:t>$177</w:t>
            </w:r>
          </w:p>
        </w:tc>
        <w:tc>
          <w:tcPr>
            <w:tcW w:w="780" w:type="dxa"/>
            <w:vAlign w:val="bottom"/>
            <w:shd w:val="clear" w:color="auto" w:fill="CBCEE0"/>
          </w:tcPr>
          <w:p>
            <w:pPr>
              <w:jc w:val="center"/>
              <w:spacing w:after="0"/>
              <w:rPr>
                <w:sz w:val="20"/>
                <w:szCs w:val="20"/>
                <w:color w:val="auto"/>
              </w:rPr>
            </w:pPr>
            <w:r>
              <w:rPr>
                <w:rFonts w:ascii="Arial" w:cs="Arial" w:eastAsia="Arial" w:hAnsi="Arial"/>
                <w:sz w:val="13"/>
                <w:szCs w:val="13"/>
                <w:color w:val="auto"/>
                <w:w w:val="89"/>
              </w:rPr>
              <w:t>$113</w:t>
            </w:r>
          </w:p>
        </w:tc>
        <w:tc>
          <w:tcPr>
            <w:tcW w:w="700" w:type="dxa"/>
            <w:vAlign w:val="bottom"/>
            <w:shd w:val="clear" w:color="auto" w:fill="CBCEE0"/>
          </w:tcPr>
          <w:p>
            <w:pPr>
              <w:jc w:val="center"/>
              <w:ind w:left="22"/>
              <w:spacing w:after="0"/>
              <w:rPr>
                <w:sz w:val="20"/>
                <w:szCs w:val="20"/>
                <w:color w:val="auto"/>
              </w:rPr>
            </w:pPr>
            <w:r>
              <w:rPr>
                <w:rFonts w:ascii="Arial" w:cs="Arial" w:eastAsia="Arial" w:hAnsi="Arial"/>
                <w:sz w:val="13"/>
                <w:szCs w:val="13"/>
                <w:color w:val="auto"/>
                <w:w w:val="89"/>
              </w:rPr>
              <w:t>$111</w:t>
            </w:r>
          </w:p>
        </w:tc>
        <w:tc>
          <w:tcPr>
            <w:tcW w:w="840" w:type="dxa"/>
            <w:vAlign w:val="bottom"/>
            <w:shd w:val="clear" w:color="auto" w:fill="CBCEE0"/>
          </w:tcPr>
          <w:p>
            <w:pPr>
              <w:jc w:val="center"/>
              <w:ind w:left="1"/>
              <w:spacing w:after="0"/>
              <w:rPr>
                <w:sz w:val="20"/>
                <w:szCs w:val="20"/>
                <w:color w:val="auto"/>
              </w:rPr>
            </w:pPr>
            <w:r>
              <w:rPr>
                <w:rFonts w:ascii="Arial" w:cs="Arial" w:eastAsia="Arial" w:hAnsi="Arial"/>
                <w:sz w:val="13"/>
                <w:szCs w:val="13"/>
                <w:color w:val="auto"/>
                <w:w w:val="94"/>
              </w:rPr>
              <w:t>$(1,351)</w:t>
            </w:r>
          </w:p>
        </w:tc>
        <w:tc>
          <w:tcPr>
            <w:tcW w:w="840" w:type="dxa"/>
            <w:vAlign w:val="bottom"/>
            <w:shd w:val="clear" w:color="auto" w:fill="CBCEE0"/>
          </w:tcPr>
          <w:p>
            <w:pPr>
              <w:jc w:val="center"/>
              <w:spacing w:after="0"/>
              <w:rPr>
                <w:sz w:val="20"/>
                <w:szCs w:val="20"/>
                <w:color w:val="auto"/>
              </w:rPr>
            </w:pPr>
            <w:r>
              <w:rPr>
                <w:rFonts w:ascii="Arial" w:cs="Arial" w:eastAsia="Arial" w:hAnsi="Arial"/>
                <w:sz w:val="13"/>
                <w:szCs w:val="13"/>
                <w:color w:val="auto"/>
                <w:w w:val="95"/>
              </w:rPr>
              <w:t>$173,689</w:t>
            </w:r>
          </w:p>
        </w:tc>
        <w:tc>
          <w:tcPr>
            <w:tcW w:w="0" w:type="dxa"/>
            <w:vAlign w:val="bottom"/>
          </w:tcPr>
          <w:p>
            <w:pPr>
              <w:spacing w:after="0"/>
              <w:rPr>
                <w:sz w:val="1"/>
                <w:szCs w:val="1"/>
                <w:color w:val="auto"/>
              </w:rPr>
            </w:pPr>
          </w:p>
        </w:tc>
      </w:tr>
      <w:tr>
        <w:trPr>
          <w:trHeight w:val="68"/>
        </w:trPr>
        <w:tc>
          <w:tcPr>
            <w:tcW w:w="480" w:type="dxa"/>
            <w:vAlign w:val="bottom"/>
            <w:tcBorders>
              <w:bottom w:val="single" w:sz="8" w:color="0072AF"/>
              <w:right w:val="single" w:sz="8" w:color="0072AF"/>
            </w:tcBorders>
            <w:shd w:val="clear" w:color="auto" w:fill="CBCEE0"/>
          </w:tcPr>
          <w:p>
            <w:pPr>
              <w:spacing w:after="0"/>
              <w:rPr>
                <w:sz w:val="5"/>
                <w:szCs w:val="5"/>
                <w:color w:val="auto"/>
              </w:rPr>
            </w:pPr>
          </w:p>
        </w:tc>
        <w:tc>
          <w:tcPr>
            <w:tcW w:w="40" w:type="dxa"/>
            <w:vAlign w:val="bottom"/>
            <w:tcBorders>
              <w:bottom w:val="single" w:sz="8" w:color="0072AF"/>
            </w:tcBorders>
            <w:shd w:val="clear" w:color="auto" w:fill="CBCEE0"/>
          </w:tcPr>
          <w:p>
            <w:pPr>
              <w:spacing w:after="0"/>
              <w:rPr>
                <w:sz w:val="5"/>
                <w:szCs w:val="5"/>
                <w:color w:val="auto"/>
              </w:rPr>
            </w:pPr>
          </w:p>
        </w:tc>
        <w:tc>
          <w:tcPr>
            <w:tcW w:w="680" w:type="dxa"/>
            <w:vAlign w:val="bottom"/>
            <w:tcBorders>
              <w:bottom w:val="single" w:sz="8" w:color="0072AF"/>
            </w:tcBorders>
            <w:shd w:val="clear" w:color="auto" w:fill="CBCEE0"/>
          </w:tcPr>
          <w:p>
            <w:pPr>
              <w:spacing w:after="0"/>
              <w:rPr>
                <w:sz w:val="5"/>
                <w:szCs w:val="5"/>
                <w:color w:val="auto"/>
              </w:rPr>
            </w:pPr>
          </w:p>
        </w:tc>
        <w:tc>
          <w:tcPr>
            <w:tcW w:w="700" w:type="dxa"/>
            <w:vAlign w:val="bottom"/>
            <w:tcBorders>
              <w:bottom w:val="single" w:sz="8" w:color="0072AF"/>
            </w:tcBorders>
            <w:shd w:val="clear" w:color="auto" w:fill="CBCEE0"/>
          </w:tcPr>
          <w:p>
            <w:pPr>
              <w:spacing w:after="0"/>
              <w:rPr>
                <w:sz w:val="5"/>
                <w:szCs w:val="5"/>
                <w:color w:val="auto"/>
              </w:rPr>
            </w:pPr>
          </w:p>
        </w:tc>
        <w:tc>
          <w:tcPr>
            <w:tcW w:w="100" w:type="dxa"/>
            <w:vAlign w:val="bottom"/>
            <w:tcBorders>
              <w:bottom w:val="single" w:sz="8" w:color="0072AF"/>
            </w:tcBorders>
            <w:shd w:val="clear" w:color="auto" w:fill="CBCEE0"/>
          </w:tcPr>
          <w:p>
            <w:pPr>
              <w:spacing w:after="0"/>
              <w:rPr>
                <w:sz w:val="5"/>
                <w:szCs w:val="5"/>
                <w:color w:val="auto"/>
              </w:rPr>
            </w:pPr>
          </w:p>
        </w:tc>
        <w:tc>
          <w:tcPr>
            <w:tcW w:w="700" w:type="dxa"/>
            <w:vAlign w:val="bottom"/>
            <w:tcBorders>
              <w:bottom w:val="single" w:sz="8" w:color="0072AF"/>
            </w:tcBorders>
            <w:shd w:val="clear" w:color="auto" w:fill="CBCEE0"/>
          </w:tcPr>
          <w:p>
            <w:pPr>
              <w:spacing w:after="0"/>
              <w:rPr>
                <w:sz w:val="5"/>
                <w:szCs w:val="5"/>
                <w:color w:val="auto"/>
              </w:rPr>
            </w:pPr>
          </w:p>
        </w:tc>
        <w:tc>
          <w:tcPr>
            <w:tcW w:w="740" w:type="dxa"/>
            <w:vAlign w:val="bottom"/>
            <w:tcBorders>
              <w:bottom w:val="single" w:sz="8" w:color="0072AF"/>
            </w:tcBorders>
            <w:shd w:val="clear" w:color="auto" w:fill="CBCEE0"/>
          </w:tcPr>
          <w:p>
            <w:pPr>
              <w:spacing w:after="0"/>
              <w:rPr>
                <w:sz w:val="5"/>
                <w:szCs w:val="5"/>
                <w:color w:val="auto"/>
              </w:rPr>
            </w:pPr>
          </w:p>
        </w:tc>
        <w:tc>
          <w:tcPr>
            <w:tcW w:w="940" w:type="dxa"/>
            <w:vAlign w:val="bottom"/>
            <w:tcBorders>
              <w:bottom w:val="single" w:sz="8" w:color="0072AF"/>
            </w:tcBorders>
            <w:shd w:val="clear" w:color="auto" w:fill="CBCEE0"/>
          </w:tcPr>
          <w:p>
            <w:pPr>
              <w:spacing w:after="0"/>
              <w:rPr>
                <w:sz w:val="5"/>
                <w:szCs w:val="5"/>
                <w:color w:val="auto"/>
              </w:rPr>
            </w:pPr>
          </w:p>
        </w:tc>
        <w:tc>
          <w:tcPr>
            <w:tcW w:w="940" w:type="dxa"/>
            <w:vAlign w:val="bottom"/>
            <w:tcBorders>
              <w:bottom w:val="single" w:sz="8" w:color="0072AF"/>
            </w:tcBorders>
            <w:shd w:val="clear" w:color="auto" w:fill="CBCEE0"/>
          </w:tcPr>
          <w:p>
            <w:pPr>
              <w:spacing w:after="0"/>
              <w:rPr>
                <w:sz w:val="5"/>
                <w:szCs w:val="5"/>
                <w:color w:val="auto"/>
              </w:rPr>
            </w:pPr>
          </w:p>
        </w:tc>
        <w:tc>
          <w:tcPr>
            <w:tcW w:w="700" w:type="dxa"/>
            <w:vAlign w:val="bottom"/>
            <w:tcBorders>
              <w:bottom w:val="single" w:sz="8" w:color="0072AF"/>
            </w:tcBorders>
            <w:shd w:val="clear" w:color="auto" w:fill="CBCEE0"/>
          </w:tcPr>
          <w:p>
            <w:pPr>
              <w:spacing w:after="0"/>
              <w:rPr>
                <w:sz w:val="5"/>
                <w:szCs w:val="5"/>
                <w:color w:val="auto"/>
              </w:rPr>
            </w:pPr>
          </w:p>
        </w:tc>
        <w:tc>
          <w:tcPr>
            <w:tcW w:w="780" w:type="dxa"/>
            <w:vAlign w:val="bottom"/>
            <w:tcBorders>
              <w:bottom w:val="single" w:sz="8" w:color="0072AF"/>
            </w:tcBorders>
            <w:shd w:val="clear" w:color="auto" w:fill="CBCEE0"/>
          </w:tcPr>
          <w:p>
            <w:pPr>
              <w:spacing w:after="0"/>
              <w:rPr>
                <w:sz w:val="5"/>
                <w:szCs w:val="5"/>
                <w:color w:val="auto"/>
              </w:rPr>
            </w:pPr>
          </w:p>
        </w:tc>
        <w:tc>
          <w:tcPr>
            <w:tcW w:w="700" w:type="dxa"/>
            <w:vAlign w:val="bottom"/>
            <w:tcBorders>
              <w:bottom w:val="single" w:sz="8" w:color="0072AF"/>
            </w:tcBorders>
            <w:shd w:val="clear" w:color="auto" w:fill="CBCEE0"/>
          </w:tcPr>
          <w:p>
            <w:pPr>
              <w:spacing w:after="0"/>
              <w:rPr>
                <w:sz w:val="5"/>
                <w:szCs w:val="5"/>
                <w:color w:val="auto"/>
              </w:rPr>
            </w:pPr>
          </w:p>
        </w:tc>
        <w:tc>
          <w:tcPr>
            <w:tcW w:w="840" w:type="dxa"/>
            <w:vAlign w:val="bottom"/>
            <w:tcBorders>
              <w:bottom w:val="single" w:sz="8" w:color="0072AF"/>
            </w:tcBorders>
            <w:shd w:val="clear" w:color="auto" w:fill="CBCEE0"/>
          </w:tcPr>
          <w:p>
            <w:pPr>
              <w:spacing w:after="0"/>
              <w:rPr>
                <w:sz w:val="5"/>
                <w:szCs w:val="5"/>
                <w:color w:val="auto"/>
              </w:rPr>
            </w:pPr>
          </w:p>
        </w:tc>
        <w:tc>
          <w:tcPr>
            <w:tcW w:w="840" w:type="dxa"/>
            <w:vAlign w:val="bottom"/>
            <w:tcBorders>
              <w:bottom w:val="single" w:sz="8" w:color="0072AF"/>
            </w:tcBorders>
            <w:shd w:val="clear" w:color="auto" w:fill="CBCEE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80" w:type="dxa"/>
            <w:vAlign w:val="bottom"/>
            <w:tcBorders>
              <w:right w:val="single" w:sz="8" w:color="0072AF"/>
            </w:tcBorders>
          </w:tcPr>
          <w:p>
            <w:pPr>
              <w:jc w:val="center"/>
              <w:ind w:right="19"/>
              <w:spacing w:after="0"/>
              <w:rPr>
                <w:sz w:val="20"/>
                <w:szCs w:val="20"/>
                <w:color w:val="auto"/>
              </w:rPr>
            </w:pPr>
            <w:r>
              <w:rPr>
                <w:rFonts w:ascii="Arial" w:cs="Arial" w:eastAsia="Arial" w:hAnsi="Arial"/>
                <w:sz w:val="13"/>
                <w:szCs w:val="13"/>
                <w:color w:val="auto"/>
                <w:w w:val="96"/>
              </w:rPr>
              <w:t>2020</w:t>
            </w:r>
          </w:p>
        </w:tc>
        <w:tc>
          <w:tcPr>
            <w:tcW w:w="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8"/>
              </w:rPr>
              <w:t>n/a</w:t>
            </w:r>
          </w:p>
        </w:tc>
        <w:tc>
          <w:tcPr>
            <w:tcW w:w="700" w:type="dxa"/>
            <w:vAlign w:val="bottom"/>
          </w:tcPr>
          <w:p>
            <w:pPr>
              <w:jc w:val="center"/>
              <w:spacing w:after="0"/>
              <w:rPr>
                <w:sz w:val="20"/>
                <w:szCs w:val="20"/>
                <w:color w:val="auto"/>
              </w:rPr>
            </w:pPr>
            <w:r>
              <w:rPr>
                <w:rFonts w:ascii="Arial" w:cs="Arial" w:eastAsia="Arial" w:hAnsi="Arial"/>
                <w:sz w:val="13"/>
                <w:szCs w:val="13"/>
                <w:color w:val="auto"/>
                <w:w w:val="98"/>
              </w:rPr>
              <w:t>$4,713,361</w:t>
            </w:r>
          </w:p>
        </w:tc>
        <w:tc>
          <w:tcPr>
            <w:tcW w:w="1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99"/>
              </w:rPr>
              <w:t>n/a</w:t>
            </w:r>
          </w:p>
        </w:tc>
        <w:tc>
          <w:tcPr>
            <w:tcW w:w="740" w:type="dxa"/>
            <w:vAlign w:val="bottom"/>
          </w:tcPr>
          <w:p>
            <w:pPr>
              <w:jc w:val="center"/>
              <w:spacing w:after="0"/>
              <w:rPr>
                <w:sz w:val="20"/>
                <w:szCs w:val="20"/>
                <w:color w:val="auto"/>
              </w:rPr>
            </w:pPr>
            <w:r>
              <w:rPr>
                <w:rFonts w:ascii="Arial" w:cs="Arial" w:eastAsia="Arial" w:hAnsi="Arial"/>
                <w:sz w:val="13"/>
                <w:szCs w:val="13"/>
                <w:color w:val="auto"/>
                <w:w w:val="94"/>
              </w:rPr>
              <w:t>$11,196,599</w:t>
            </w:r>
          </w:p>
        </w:tc>
        <w:tc>
          <w:tcPr>
            <w:tcW w:w="940" w:type="dxa"/>
            <w:vAlign w:val="bottom"/>
          </w:tcPr>
          <w:p>
            <w:pPr>
              <w:jc w:val="center"/>
              <w:ind w:left="2"/>
              <w:spacing w:after="0"/>
              <w:rPr>
                <w:sz w:val="20"/>
                <w:szCs w:val="20"/>
                <w:color w:val="auto"/>
              </w:rPr>
            </w:pPr>
            <w:r>
              <w:rPr>
                <w:rFonts w:ascii="Arial" w:cs="Arial" w:eastAsia="Arial" w:hAnsi="Arial"/>
                <w:sz w:val="13"/>
                <w:szCs w:val="13"/>
                <w:color w:val="auto"/>
                <w:w w:val="98"/>
              </w:rPr>
              <w:t>$1,401,141</w:t>
            </w:r>
          </w:p>
        </w:tc>
        <w:tc>
          <w:tcPr>
            <w:tcW w:w="940" w:type="dxa"/>
            <w:vAlign w:val="bottom"/>
          </w:tcPr>
          <w:p>
            <w:pPr>
              <w:jc w:val="center"/>
              <w:ind w:right="22"/>
              <w:spacing w:after="0"/>
              <w:rPr>
                <w:sz w:val="20"/>
                <w:szCs w:val="20"/>
                <w:color w:val="auto"/>
              </w:rPr>
            </w:pPr>
            <w:r>
              <w:rPr>
                <w:rFonts w:ascii="Arial" w:cs="Arial" w:eastAsia="Arial" w:hAnsi="Arial"/>
                <w:sz w:val="13"/>
                <w:szCs w:val="13"/>
                <w:color w:val="auto"/>
                <w:w w:val="95"/>
              </w:rPr>
              <w:t>$1,478,019</w:t>
            </w:r>
          </w:p>
        </w:tc>
        <w:tc>
          <w:tcPr>
            <w:tcW w:w="700" w:type="dxa"/>
            <w:vAlign w:val="bottom"/>
          </w:tcPr>
          <w:p>
            <w:pPr>
              <w:jc w:val="center"/>
              <w:ind w:right="2"/>
              <w:spacing w:after="0"/>
              <w:rPr>
                <w:sz w:val="20"/>
                <w:szCs w:val="20"/>
                <w:color w:val="auto"/>
              </w:rPr>
            </w:pPr>
            <w:r>
              <w:rPr>
                <w:rFonts w:ascii="Arial" w:cs="Arial" w:eastAsia="Arial" w:hAnsi="Arial"/>
                <w:sz w:val="13"/>
                <w:szCs w:val="13"/>
                <w:color w:val="auto"/>
                <w:w w:val="96"/>
              </w:rPr>
              <w:t>$161</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$109</w:t>
            </w:r>
          </w:p>
        </w:tc>
        <w:tc>
          <w:tcPr>
            <w:tcW w:w="700" w:type="dxa"/>
            <w:vAlign w:val="bottom"/>
          </w:tcPr>
          <w:p>
            <w:pPr>
              <w:jc w:val="center"/>
              <w:ind w:left="2"/>
              <w:spacing w:after="0"/>
              <w:rPr>
                <w:sz w:val="20"/>
                <w:szCs w:val="20"/>
                <w:color w:val="auto"/>
              </w:rPr>
            </w:pPr>
            <w:r>
              <w:rPr>
                <w:rFonts w:ascii="Arial" w:cs="Arial" w:eastAsia="Arial" w:hAnsi="Arial"/>
                <w:sz w:val="13"/>
                <w:szCs w:val="13"/>
                <w:color w:val="auto"/>
                <w:w w:val="96"/>
              </w:rPr>
              <w:t>$109</w:t>
            </w:r>
          </w:p>
        </w:tc>
        <w:tc>
          <w:tcPr>
            <w:tcW w:w="840" w:type="dxa"/>
            <w:vAlign w:val="bottom"/>
          </w:tcPr>
          <w:p>
            <w:pPr>
              <w:jc w:val="center"/>
              <w:ind w:left="1"/>
              <w:spacing w:after="0"/>
              <w:rPr>
                <w:sz w:val="20"/>
                <w:szCs w:val="20"/>
                <w:color w:val="auto"/>
              </w:rPr>
            </w:pPr>
            <w:r>
              <w:rPr>
                <w:rFonts w:ascii="Arial" w:cs="Arial" w:eastAsia="Arial" w:hAnsi="Arial"/>
                <w:sz w:val="13"/>
                <w:szCs w:val="13"/>
                <w:color w:val="auto"/>
                <w:w w:val="98"/>
              </w:rPr>
              <w:t>$(180,376)</w:t>
            </w:r>
          </w:p>
        </w:tc>
        <w:tc>
          <w:tcPr>
            <w:tcW w:w="840" w:type="dxa"/>
            <w:vAlign w:val="bottom"/>
          </w:tcPr>
          <w:p>
            <w:pPr>
              <w:jc w:val="center"/>
              <w:spacing w:after="0"/>
              <w:rPr>
                <w:sz w:val="20"/>
                <w:szCs w:val="20"/>
                <w:color w:val="auto"/>
              </w:rPr>
            </w:pPr>
            <w:r>
              <w:rPr>
                <w:rFonts w:ascii="Arial" w:cs="Arial" w:eastAsia="Arial" w:hAnsi="Arial"/>
                <w:sz w:val="13"/>
                <w:szCs w:val="13"/>
                <w:color w:val="auto"/>
                <w:w w:val="95"/>
              </w:rPr>
              <w:t>$213,584</w:t>
            </w:r>
          </w:p>
        </w:tc>
        <w:tc>
          <w:tcPr>
            <w:tcW w:w="0" w:type="dxa"/>
            <w:vAlign w:val="bottom"/>
          </w:tcPr>
          <w:p>
            <w:pPr>
              <w:spacing w:after="0"/>
              <w:rPr>
                <w:sz w:val="1"/>
                <w:szCs w:val="1"/>
                <w:color w:val="auto"/>
              </w:rPr>
            </w:pPr>
          </w:p>
        </w:tc>
      </w:tr>
      <w:tr>
        <w:trPr>
          <w:trHeight w:val="95"/>
        </w:trPr>
        <w:tc>
          <w:tcPr>
            <w:tcW w:w="480" w:type="dxa"/>
            <w:vAlign w:val="bottom"/>
            <w:tcBorders>
              <w:bottom w:val="single" w:sz="8" w:color="0072AF"/>
              <w:right w:val="single" w:sz="8" w:color="0072AF"/>
            </w:tcBorders>
          </w:tcPr>
          <w:p>
            <w:pPr>
              <w:spacing w:after="0"/>
              <w:rPr>
                <w:sz w:val="8"/>
                <w:szCs w:val="8"/>
                <w:color w:val="auto"/>
              </w:rPr>
            </w:pPr>
          </w:p>
        </w:tc>
        <w:tc>
          <w:tcPr>
            <w:tcW w:w="40" w:type="dxa"/>
            <w:vAlign w:val="bottom"/>
            <w:tcBorders>
              <w:bottom w:val="single" w:sz="8" w:color="0072AF"/>
            </w:tcBorders>
          </w:tcPr>
          <w:p>
            <w:pPr>
              <w:spacing w:after="0"/>
              <w:rPr>
                <w:sz w:val="8"/>
                <w:szCs w:val="8"/>
                <w:color w:val="auto"/>
              </w:rPr>
            </w:pPr>
          </w:p>
        </w:tc>
        <w:tc>
          <w:tcPr>
            <w:tcW w:w="680" w:type="dxa"/>
            <w:vAlign w:val="bottom"/>
            <w:tcBorders>
              <w:bottom w:val="single" w:sz="8" w:color="0072AF"/>
            </w:tcBorders>
          </w:tcPr>
          <w:p>
            <w:pPr>
              <w:spacing w:after="0"/>
              <w:rPr>
                <w:sz w:val="8"/>
                <w:szCs w:val="8"/>
                <w:color w:val="auto"/>
              </w:rPr>
            </w:pPr>
          </w:p>
        </w:tc>
        <w:tc>
          <w:tcPr>
            <w:tcW w:w="700" w:type="dxa"/>
            <w:vAlign w:val="bottom"/>
            <w:tcBorders>
              <w:bottom w:val="single" w:sz="8" w:color="0072AF"/>
            </w:tcBorders>
          </w:tcPr>
          <w:p>
            <w:pPr>
              <w:spacing w:after="0"/>
              <w:rPr>
                <w:sz w:val="8"/>
                <w:szCs w:val="8"/>
                <w:color w:val="auto"/>
              </w:rPr>
            </w:pPr>
          </w:p>
        </w:tc>
        <w:tc>
          <w:tcPr>
            <w:tcW w:w="100" w:type="dxa"/>
            <w:vAlign w:val="bottom"/>
            <w:tcBorders>
              <w:bottom w:val="single" w:sz="8" w:color="0072AF"/>
            </w:tcBorders>
          </w:tcPr>
          <w:p>
            <w:pPr>
              <w:spacing w:after="0"/>
              <w:rPr>
                <w:sz w:val="8"/>
                <w:szCs w:val="8"/>
                <w:color w:val="auto"/>
              </w:rPr>
            </w:pPr>
          </w:p>
        </w:tc>
        <w:tc>
          <w:tcPr>
            <w:tcW w:w="700" w:type="dxa"/>
            <w:vAlign w:val="bottom"/>
            <w:tcBorders>
              <w:bottom w:val="single" w:sz="8" w:color="0072AF"/>
            </w:tcBorders>
          </w:tcPr>
          <w:p>
            <w:pPr>
              <w:spacing w:after="0"/>
              <w:rPr>
                <w:sz w:val="8"/>
                <w:szCs w:val="8"/>
                <w:color w:val="auto"/>
              </w:rPr>
            </w:pPr>
          </w:p>
        </w:tc>
        <w:tc>
          <w:tcPr>
            <w:tcW w:w="740" w:type="dxa"/>
            <w:vAlign w:val="bottom"/>
            <w:tcBorders>
              <w:bottom w:val="single" w:sz="8" w:color="0072AF"/>
            </w:tcBorders>
          </w:tcPr>
          <w:p>
            <w:pPr>
              <w:spacing w:after="0"/>
              <w:rPr>
                <w:sz w:val="8"/>
                <w:szCs w:val="8"/>
                <w:color w:val="auto"/>
              </w:rPr>
            </w:pPr>
          </w:p>
        </w:tc>
        <w:tc>
          <w:tcPr>
            <w:tcW w:w="940" w:type="dxa"/>
            <w:vAlign w:val="bottom"/>
            <w:tcBorders>
              <w:bottom w:val="single" w:sz="8" w:color="0072AF"/>
            </w:tcBorders>
          </w:tcPr>
          <w:p>
            <w:pPr>
              <w:spacing w:after="0"/>
              <w:rPr>
                <w:sz w:val="8"/>
                <w:szCs w:val="8"/>
                <w:color w:val="auto"/>
              </w:rPr>
            </w:pPr>
          </w:p>
        </w:tc>
        <w:tc>
          <w:tcPr>
            <w:tcW w:w="940" w:type="dxa"/>
            <w:vAlign w:val="bottom"/>
            <w:tcBorders>
              <w:bottom w:val="single" w:sz="8" w:color="0072AF"/>
            </w:tcBorders>
          </w:tcPr>
          <w:p>
            <w:pPr>
              <w:spacing w:after="0"/>
              <w:rPr>
                <w:sz w:val="8"/>
                <w:szCs w:val="8"/>
                <w:color w:val="auto"/>
              </w:rPr>
            </w:pPr>
          </w:p>
        </w:tc>
        <w:tc>
          <w:tcPr>
            <w:tcW w:w="700" w:type="dxa"/>
            <w:vAlign w:val="bottom"/>
            <w:tcBorders>
              <w:bottom w:val="single" w:sz="8" w:color="0072AF"/>
            </w:tcBorders>
          </w:tcPr>
          <w:p>
            <w:pPr>
              <w:spacing w:after="0"/>
              <w:rPr>
                <w:sz w:val="8"/>
                <w:szCs w:val="8"/>
                <w:color w:val="auto"/>
              </w:rPr>
            </w:pPr>
          </w:p>
        </w:tc>
        <w:tc>
          <w:tcPr>
            <w:tcW w:w="780" w:type="dxa"/>
            <w:vAlign w:val="bottom"/>
            <w:tcBorders>
              <w:bottom w:val="single" w:sz="8" w:color="0072AF"/>
            </w:tcBorders>
          </w:tcPr>
          <w:p>
            <w:pPr>
              <w:spacing w:after="0"/>
              <w:rPr>
                <w:sz w:val="8"/>
                <w:szCs w:val="8"/>
                <w:color w:val="auto"/>
              </w:rPr>
            </w:pPr>
          </w:p>
        </w:tc>
        <w:tc>
          <w:tcPr>
            <w:tcW w:w="700" w:type="dxa"/>
            <w:vAlign w:val="bottom"/>
            <w:tcBorders>
              <w:bottom w:val="single" w:sz="8" w:color="0072AF"/>
            </w:tcBorders>
          </w:tcPr>
          <w:p>
            <w:pPr>
              <w:spacing w:after="0"/>
              <w:rPr>
                <w:sz w:val="8"/>
                <w:szCs w:val="8"/>
                <w:color w:val="auto"/>
              </w:rPr>
            </w:pPr>
          </w:p>
        </w:tc>
        <w:tc>
          <w:tcPr>
            <w:tcW w:w="840" w:type="dxa"/>
            <w:vAlign w:val="bottom"/>
            <w:tcBorders>
              <w:bottom w:val="single" w:sz="8" w:color="0072AF"/>
            </w:tcBorders>
          </w:tcPr>
          <w:p>
            <w:pPr>
              <w:spacing w:after="0"/>
              <w:rPr>
                <w:sz w:val="8"/>
                <w:szCs w:val="8"/>
                <w:color w:val="auto"/>
              </w:rPr>
            </w:pPr>
          </w:p>
        </w:tc>
        <w:tc>
          <w:tcPr>
            <w:tcW w:w="840" w:type="dxa"/>
            <w:vAlign w:val="bottom"/>
            <w:tcBorders>
              <w:bottom w:val="single" w:sz="8" w:color="0072AF"/>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-1233805</wp:posOffset>
            </wp:positionV>
            <wp:extent cx="4254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33" w:lineRule="exact"/>
        <w:rPr>
          <w:sz w:val="20"/>
          <w:szCs w:val="20"/>
          <w:color w:val="auto"/>
        </w:rPr>
      </w:pPr>
    </w:p>
    <w:p>
      <w:pPr>
        <w:ind w:left="346" w:hanging="346"/>
        <w:spacing w:after="0" w:line="204" w:lineRule="auto"/>
        <w:tabs>
          <w:tab w:leader="none" w:pos="346" w:val="left"/>
        </w:tabs>
        <w:numPr>
          <w:ilvl w:val="0"/>
          <w:numId w:val="83"/>
        </w:numPr>
        <w:rPr>
          <w:rFonts w:ascii="Arial" w:cs="Arial" w:eastAsia="Arial" w:hAnsi="Arial"/>
          <w:sz w:val="22"/>
          <w:szCs w:val="22"/>
          <w:color w:val="auto"/>
          <w:vertAlign w:val="superscript"/>
        </w:rPr>
      </w:pPr>
      <w:r>
        <w:rPr>
          <w:rFonts w:ascii="Arial" w:cs="Arial" w:eastAsia="Arial" w:hAnsi="Arial"/>
          <w:sz w:val="14"/>
          <w:szCs w:val="14"/>
          <w:color w:val="auto"/>
        </w:rPr>
        <w:t>Jason Dies has served as Interim CEO and Principal Executive Officer (“PEO”) since October 2, 2023; prior to this date in 2023, and for the entirety of 2022, 2021, and 2020, Marc B. Lautenbach served as the PEO; our other NEOs for the applicable years were as follows:</w:t>
      </w:r>
    </w:p>
    <w:p>
      <w:pPr>
        <w:spacing w:after="0" w:line="53" w:lineRule="exact"/>
        <w:rPr>
          <w:rFonts w:ascii="Arial" w:cs="Arial" w:eastAsia="Arial" w:hAnsi="Arial"/>
          <w:sz w:val="22"/>
          <w:szCs w:val="22"/>
          <w:color w:val="auto"/>
          <w:vertAlign w:val="superscript"/>
        </w:rPr>
      </w:pPr>
    </w:p>
    <w:p>
      <w:pPr>
        <w:ind w:left="446" w:hanging="86"/>
        <w:spacing w:after="0"/>
        <w:tabs>
          <w:tab w:leader="none" w:pos="446" w:val="left"/>
        </w:tabs>
        <w:numPr>
          <w:ilvl w:val="1"/>
          <w:numId w:val="83"/>
        </w:numPr>
        <w:rPr>
          <w:rFonts w:ascii="Arial" w:cs="Arial" w:eastAsia="Arial" w:hAnsi="Arial"/>
          <w:sz w:val="14"/>
          <w:szCs w:val="14"/>
          <w:color w:val="auto"/>
        </w:rPr>
      </w:pPr>
      <w:r>
        <w:rPr>
          <w:rFonts w:ascii="Arial" w:cs="Arial" w:eastAsia="Arial" w:hAnsi="Arial"/>
          <w:sz w:val="14"/>
          <w:szCs w:val="14"/>
          <w:color w:val="auto"/>
        </w:rPr>
        <w:t>2023: Ana Chadwick, Gregg Zegras, Daniel Goldstein, and James Fairweather</w:t>
      </w:r>
    </w:p>
    <w:p>
      <w:pPr>
        <w:spacing w:after="0" w:line="122" w:lineRule="exact"/>
        <w:rPr>
          <w:rFonts w:ascii="Arial" w:cs="Arial" w:eastAsia="Arial" w:hAnsi="Arial"/>
          <w:sz w:val="14"/>
          <w:szCs w:val="14"/>
          <w:color w:val="auto"/>
        </w:rPr>
      </w:pPr>
    </w:p>
    <w:p>
      <w:pPr>
        <w:ind w:left="446" w:hanging="86"/>
        <w:spacing w:after="0"/>
        <w:tabs>
          <w:tab w:leader="none" w:pos="446" w:val="left"/>
        </w:tabs>
        <w:numPr>
          <w:ilvl w:val="1"/>
          <w:numId w:val="83"/>
        </w:numPr>
        <w:rPr>
          <w:rFonts w:ascii="Arial" w:cs="Arial" w:eastAsia="Arial" w:hAnsi="Arial"/>
          <w:sz w:val="14"/>
          <w:szCs w:val="14"/>
          <w:color w:val="auto"/>
        </w:rPr>
      </w:pPr>
      <w:r>
        <w:rPr>
          <w:rFonts w:ascii="Arial" w:cs="Arial" w:eastAsia="Arial" w:hAnsi="Arial"/>
          <w:sz w:val="14"/>
          <w:szCs w:val="14"/>
          <w:color w:val="auto"/>
        </w:rPr>
        <w:t>2022: Ana Chadwick, Jason Dies, Daniel Goldstein, and James Fairweather</w:t>
      </w:r>
    </w:p>
    <w:p>
      <w:pPr>
        <w:spacing w:after="0" w:line="122" w:lineRule="exact"/>
        <w:rPr>
          <w:rFonts w:ascii="Arial" w:cs="Arial" w:eastAsia="Arial" w:hAnsi="Arial"/>
          <w:sz w:val="14"/>
          <w:szCs w:val="14"/>
          <w:color w:val="auto"/>
        </w:rPr>
      </w:pPr>
    </w:p>
    <w:p>
      <w:pPr>
        <w:ind w:left="446" w:hanging="86"/>
        <w:spacing w:after="0"/>
        <w:tabs>
          <w:tab w:leader="none" w:pos="446" w:val="left"/>
        </w:tabs>
        <w:numPr>
          <w:ilvl w:val="1"/>
          <w:numId w:val="83"/>
        </w:numPr>
        <w:rPr>
          <w:rFonts w:ascii="Arial" w:cs="Arial" w:eastAsia="Arial" w:hAnsi="Arial"/>
          <w:sz w:val="14"/>
          <w:szCs w:val="14"/>
          <w:color w:val="auto"/>
        </w:rPr>
      </w:pPr>
      <w:r>
        <w:rPr>
          <w:rFonts w:ascii="Arial" w:cs="Arial" w:eastAsia="Arial" w:hAnsi="Arial"/>
          <w:sz w:val="14"/>
          <w:szCs w:val="14"/>
          <w:color w:val="auto"/>
        </w:rPr>
        <w:t>2021: Ana Chadwick, Jason Dies, Gregg Zegras, James Fairweather, and Joseph Catapano</w:t>
      </w:r>
    </w:p>
    <w:p>
      <w:pPr>
        <w:spacing w:after="0" w:line="109" w:lineRule="exact"/>
        <w:rPr>
          <w:rFonts w:ascii="Arial" w:cs="Arial" w:eastAsia="Arial" w:hAnsi="Arial"/>
          <w:sz w:val="14"/>
          <w:szCs w:val="14"/>
          <w:color w:val="auto"/>
        </w:rPr>
      </w:pPr>
    </w:p>
    <w:p>
      <w:pPr>
        <w:ind w:left="446" w:hanging="86"/>
        <w:spacing w:after="0"/>
        <w:tabs>
          <w:tab w:leader="none" w:pos="446" w:val="left"/>
        </w:tabs>
        <w:numPr>
          <w:ilvl w:val="1"/>
          <w:numId w:val="83"/>
        </w:numPr>
        <w:rPr>
          <w:rFonts w:ascii="Arial" w:cs="Arial" w:eastAsia="Arial" w:hAnsi="Arial"/>
          <w:sz w:val="14"/>
          <w:szCs w:val="14"/>
          <w:color w:val="auto"/>
        </w:rPr>
      </w:pPr>
      <w:r>
        <w:rPr>
          <w:rFonts w:ascii="Arial" w:cs="Arial" w:eastAsia="Arial" w:hAnsi="Arial"/>
          <w:sz w:val="14"/>
          <w:szCs w:val="14"/>
          <w:color w:val="auto"/>
        </w:rPr>
        <w:t>2020: Jason Dies, Gregg Zegras, Daniel Goldstein, Joseph Catapano, and Stanley J. Sutula III</w:t>
      </w:r>
    </w:p>
    <w:p>
      <w:pPr>
        <w:spacing w:after="0" w:line="55" w:lineRule="exact"/>
        <w:rPr>
          <w:rFonts w:ascii="Arial" w:cs="Arial" w:eastAsia="Arial" w:hAnsi="Arial"/>
          <w:sz w:val="14"/>
          <w:szCs w:val="14"/>
          <w:color w:val="auto"/>
        </w:rPr>
      </w:pPr>
    </w:p>
    <w:p>
      <w:pPr>
        <w:jc w:val="both"/>
        <w:ind w:left="346" w:hanging="346"/>
        <w:spacing w:after="0" w:line="214" w:lineRule="auto"/>
        <w:tabs>
          <w:tab w:leader="none" w:pos="346" w:val="left"/>
        </w:tabs>
        <w:numPr>
          <w:ilvl w:val="0"/>
          <w:numId w:val="83"/>
        </w:numPr>
        <w:rPr>
          <w:rFonts w:ascii="Arial" w:cs="Arial" w:eastAsia="Arial" w:hAnsi="Arial"/>
          <w:sz w:val="22"/>
          <w:szCs w:val="22"/>
          <w:color w:val="auto"/>
          <w:vertAlign w:val="superscript"/>
        </w:rPr>
      </w:pPr>
      <w:r>
        <w:rPr>
          <w:rFonts w:ascii="Arial" w:cs="Arial" w:eastAsia="Arial" w:hAnsi="Arial"/>
          <w:sz w:val="14"/>
          <w:szCs w:val="14"/>
          <w:color w:val="auto"/>
        </w:rPr>
        <w:t>Amounts reported in this column represent (i) the total compensation reported in the Summary Compensation Table for the applicable year in the case of Mr. Dies and Mr. Lautenbach and (ii) the average of the total compensation reported in the Summary Compensation Table for the applicable year for our other NEOs, other than Mr. Lautenbach and, for 2023 only, Mr. Dies.</w:t>
      </w:r>
    </w:p>
    <w:p>
      <w:pPr>
        <w:spacing w:after="0" w:line="27" w:lineRule="exact"/>
        <w:rPr>
          <w:rFonts w:ascii="Arial" w:cs="Arial" w:eastAsia="Arial" w:hAnsi="Arial"/>
          <w:sz w:val="22"/>
          <w:szCs w:val="22"/>
          <w:color w:val="auto"/>
          <w:vertAlign w:val="superscript"/>
        </w:rPr>
      </w:pPr>
    </w:p>
    <w:p>
      <w:pPr>
        <w:jc w:val="both"/>
        <w:ind w:left="366"/>
        <w:spacing w:after="0" w:line="247" w:lineRule="auto"/>
        <w:rPr>
          <w:rFonts w:ascii="Arial" w:cs="Arial" w:eastAsia="Arial" w:hAnsi="Arial"/>
          <w:sz w:val="22"/>
          <w:szCs w:val="22"/>
          <w:color w:val="auto"/>
          <w:vertAlign w:val="superscript"/>
        </w:rPr>
      </w:pPr>
      <w:r>
        <w:rPr>
          <w:rFonts w:ascii="Arial" w:cs="Arial" w:eastAsia="Arial" w:hAnsi="Arial"/>
          <w:sz w:val="14"/>
          <w:szCs w:val="14"/>
          <w:color w:val="auto"/>
        </w:rPr>
        <w:t>When the 2020 long term compensation awards were issued, we replaced PSUs with cash settled CIUs. Under SEC disclosure rules, stock awards are required to be included in the Summary Compensation Table in the year granted, while CIU awards are included at the end of the performance period when actually earned. This means Stock Awards and Total Compensation appear significantly higher for 2022 when compared to 2020 and 2021 because CIU awards are not included in the Summary Compensation Table until actually earned, and 2022 represented the first year that CIU payouts were included in the Summary Compensation Table for NEOs other than Mr. Zegras and Mr. Fairweather, who had a CIU payout in the 2021 Summary Compensation Table. This difference results from different disclosure rules on timing for different kinds of awards, and not on their value, and should normalize over time.</w:t>
      </w:r>
    </w:p>
    <w:p>
      <w:pPr>
        <w:spacing w:after="0" w:line="28" w:lineRule="exact"/>
        <w:rPr>
          <w:rFonts w:ascii="Arial" w:cs="Arial" w:eastAsia="Arial" w:hAnsi="Arial"/>
          <w:sz w:val="22"/>
          <w:szCs w:val="22"/>
          <w:color w:val="auto"/>
          <w:vertAlign w:val="superscript"/>
        </w:rPr>
      </w:pPr>
    </w:p>
    <w:p>
      <w:pPr>
        <w:jc w:val="both"/>
        <w:ind w:left="346" w:hanging="346"/>
        <w:spacing w:after="0" w:line="214" w:lineRule="auto"/>
        <w:tabs>
          <w:tab w:leader="none" w:pos="346" w:val="left"/>
        </w:tabs>
        <w:numPr>
          <w:ilvl w:val="0"/>
          <w:numId w:val="83"/>
        </w:numPr>
        <w:rPr>
          <w:rFonts w:ascii="Arial" w:cs="Arial" w:eastAsia="Arial" w:hAnsi="Arial"/>
          <w:sz w:val="22"/>
          <w:szCs w:val="22"/>
          <w:color w:val="auto"/>
          <w:vertAlign w:val="superscript"/>
        </w:rPr>
      </w:pPr>
      <w:r>
        <w:rPr>
          <w:rFonts w:ascii="Arial" w:cs="Arial" w:eastAsia="Arial" w:hAnsi="Arial"/>
          <w:sz w:val="14"/>
          <w:szCs w:val="14"/>
          <w:color w:val="auto"/>
        </w:rPr>
        <w:t>To calculate compensation actually paid, adjustments were made to the amounts reported in the Summary Compensation Table for the applicable year. A reconciliation of the adjustments made to 2023 amounts for Mr. Dies, Mr. Lautenbach, and for the average compensation of the other NEOs is set forth following the footnotes to this table.</w:t>
      </w:r>
    </w:p>
    <w:p>
      <w:pPr>
        <w:spacing w:after="0" w:line="27" w:lineRule="exact"/>
        <w:rPr>
          <w:rFonts w:ascii="Arial" w:cs="Arial" w:eastAsia="Arial" w:hAnsi="Arial"/>
          <w:sz w:val="22"/>
          <w:szCs w:val="22"/>
          <w:color w:val="auto"/>
          <w:vertAlign w:val="superscript"/>
        </w:rPr>
      </w:pPr>
    </w:p>
    <w:p>
      <w:pPr>
        <w:ind w:left="346" w:right="20" w:hanging="346"/>
        <w:spacing w:after="0" w:line="204" w:lineRule="auto"/>
        <w:tabs>
          <w:tab w:leader="none" w:pos="346" w:val="left"/>
        </w:tabs>
        <w:numPr>
          <w:ilvl w:val="0"/>
          <w:numId w:val="83"/>
        </w:numPr>
        <w:rPr>
          <w:rFonts w:ascii="Arial" w:cs="Arial" w:eastAsia="Arial" w:hAnsi="Arial"/>
          <w:sz w:val="22"/>
          <w:szCs w:val="22"/>
          <w:color w:val="auto"/>
          <w:vertAlign w:val="superscript"/>
        </w:rPr>
      </w:pPr>
      <w:r>
        <w:rPr>
          <w:rFonts w:ascii="Arial" w:cs="Arial" w:eastAsia="Arial" w:hAnsi="Arial"/>
          <w:sz w:val="14"/>
          <w:szCs w:val="14"/>
          <w:color w:val="auto"/>
        </w:rPr>
        <w:t>In accordance with SEC rules, this column represents the annual change in the value of a $100 investment in Pitney Bowes Inc. and the indicated peer group from December 31, 2019 to the end of the indicated fiscal year, assuming the reinvestment of dividends.</w:t>
      </w:r>
    </w:p>
    <w:p>
      <w:pPr>
        <w:spacing w:after="0" w:line="26" w:lineRule="exact"/>
        <w:rPr>
          <w:rFonts w:ascii="Arial" w:cs="Arial" w:eastAsia="Arial" w:hAnsi="Arial"/>
          <w:sz w:val="22"/>
          <w:szCs w:val="22"/>
          <w:color w:val="auto"/>
          <w:vertAlign w:val="superscript"/>
        </w:rPr>
      </w:pPr>
    </w:p>
    <w:p>
      <w:pPr>
        <w:jc w:val="both"/>
        <w:ind w:left="366"/>
        <w:spacing w:after="0" w:line="246" w:lineRule="auto"/>
        <w:rPr>
          <w:rFonts w:ascii="Arial" w:cs="Arial" w:eastAsia="Arial" w:hAnsi="Arial"/>
          <w:sz w:val="22"/>
          <w:szCs w:val="22"/>
          <w:color w:val="auto"/>
          <w:vertAlign w:val="superscript"/>
        </w:rPr>
      </w:pPr>
      <w:r>
        <w:rPr>
          <w:rFonts w:ascii="Arial" w:cs="Arial" w:eastAsia="Arial" w:hAnsi="Arial"/>
          <w:sz w:val="14"/>
          <w:szCs w:val="14"/>
          <w:color w:val="auto"/>
        </w:rPr>
        <w:t xml:space="preserve">Historical stock price performance is not necessarily indicative of future stock price performance. Total return for the peer group is based on market capitalization, weighted for each year. In 2022, as part of its annual process, the Committee reviewed the peer group and approved changes effective January 1, 2023 for the purposes of receiving NEO peer median pay levels and conducting pay practice reviews, as described in the “Compensation Discussion and Analysis” starting on page </w:t>
      </w:r>
      <w:r>
        <w:rPr>
          <w:rFonts w:ascii="Arial" w:cs="Arial" w:eastAsia="Arial" w:hAnsi="Arial"/>
          <w:sz w:val="14"/>
          <w:szCs w:val="14"/>
          <w:u w:val="single" w:color="auto"/>
          <w:color w:val="0000EE"/>
        </w:rPr>
        <w:t>53</w:t>
      </w:r>
      <w:r>
        <w:rPr>
          <w:rFonts w:ascii="Arial" w:cs="Arial" w:eastAsia="Arial" w:hAnsi="Arial"/>
          <w:sz w:val="14"/>
          <w:szCs w:val="14"/>
          <w:color w:val="auto"/>
        </w:rPr>
        <w:t xml:space="preserve"> of this Proxy Statement. Our new peer group, as reported in our 2023 Form 10-K is comprised of: ACCO Brands Corporation; Avery Dennison Corporation; Beyond, Inc. (name change from Overstock.com); Bread Financial Holdings, Inc. (name change from Alliance Data Systems); Cimpress plc; Deluxe Corporation; Diebold Nixdorf, Incorporated (included from 8/14/23 when it emerged from bankruptcy); Etsy, Inc.; Fidelity National Information Services, Inc.; Fiserv, Inc.; GXO Logistics, Inc. (included from 7/22/21 when it began trading); Hub Group, Inc.; NCR Voyix Corporation (name change from NCR Corporation); Rockwell Automation, Inc.; Ryder System, Inc.; Schneider National, Inc.; The Western Union Company; W.W. Grainger, Inc.; and Xerox Holdings Corporation.</w:t>
      </w:r>
    </w:p>
    <w:p>
      <w:pPr>
        <w:spacing w:after="0" w:line="23" w:lineRule="exact"/>
        <w:rPr>
          <w:rFonts w:ascii="Arial" w:cs="Arial" w:eastAsia="Arial" w:hAnsi="Arial"/>
          <w:sz w:val="22"/>
          <w:szCs w:val="22"/>
          <w:color w:val="auto"/>
          <w:vertAlign w:val="superscript"/>
        </w:rPr>
      </w:pPr>
    </w:p>
    <w:p>
      <w:pPr>
        <w:jc w:val="both"/>
        <w:ind w:left="366" w:right="20"/>
        <w:spacing w:after="0" w:line="249" w:lineRule="auto"/>
        <w:rPr>
          <w:rFonts w:ascii="Arial" w:cs="Arial" w:eastAsia="Arial" w:hAnsi="Arial"/>
          <w:sz w:val="22"/>
          <w:szCs w:val="22"/>
          <w:color w:val="auto"/>
          <w:vertAlign w:val="superscript"/>
        </w:rPr>
      </w:pPr>
      <w:r>
        <w:rPr>
          <w:rFonts w:ascii="Arial" w:cs="Arial" w:eastAsia="Arial" w:hAnsi="Arial"/>
          <w:sz w:val="14"/>
          <w:szCs w:val="14"/>
          <w:color w:val="auto"/>
        </w:rPr>
        <w:t>Our old peer group, as was reported in our Annual Report on Form 10-K for the year ended December 31, 2022, was comprised of: ACCO Brands Corporation; Avery Dennison Corporation; Bread Financial Holdings, Inc.; Cimpress plc; Deluxe Corporation; Diebold Nixdorf, Incorporated; Etsy, Inc.; Fidelity National Information Services, Inc.; Fiserv, Inc.; Hub Group, Inc.; NCR Corporation; Overstock.com, Inc.; Rockwell Automation, Inc.; Ryder System, Inc.; Schneider National, Inc. (included from 4/6/17 when it began trading); The Western Union Company; W.W. Grainger, Inc.; and Xerox Holdings Corporation.</w:t>
      </w:r>
    </w:p>
    <w:p>
      <w:pPr>
        <w:spacing w:after="0" w:line="28" w:lineRule="exact"/>
        <w:rPr>
          <w:rFonts w:ascii="Arial" w:cs="Arial" w:eastAsia="Arial" w:hAnsi="Arial"/>
          <w:sz w:val="22"/>
          <w:szCs w:val="22"/>
          <w:color w:val="auto"/>
          <w:vertAlign w:val="superscript"/>
        </w:rPr>
      </w:pPr>
    </w:p>
    <w:p>
      <w:pPr>
        <w:jc w:val="both"/>
        <w:ind w:left="346" w:hanging="346"/>
        <w:spacing w:after="0" w:line="214" w:lineRule="auto"/>
        <w:tabs>
          <w:tab w:leader="none" w:pos="346" w:val="left"/>
        </w:tabs>
        <w:numPr>
          <w:ilvl w:val="0"/>
          <w:numId w:val="83"/>
        </w:numPr>
        <w:rPr>
          <w:rFonts w:ascii="Arial" w:cs="Arial" w:eastAsia="Arial" w:hAnsi="Arial"/>
          <w:sz w:val="22"/>
          <w:szCs w:val="22"/>
          <w:color w:val="auto"/>
          <w:vertAlign w:val="superscript"/>
        </w:rPr>
      </w:pPr>
      <w:r>
        <w:rPr>
          <w:rFonts w:ascii="Arial" w:cs="Arial" w:eastAsia="Arial" w:hAnsi="Arial"/>
          <w:sz w:val="14"/>
          <w:szCs w:val="14"/>
          <w:color w:val="auto"/>
        </w:rPr>
        <w:t xml:space="preserve">Adjusted EBIT is a non-GAAP measure. For a reconciliation and additional information, please see “Reconciliation of Reported Consolidated Results to Adjusted Measures” on page </w:t>
      </w:r>
      <w:r>
        <w:rPr>
          <w:rFonts w:ascii="Arial" w:cs="Arial" w:eastAsia="Arial" w:hAnsi="Arial"/>
          <w:sz w:val="14"/>
          <w:szCs w:val="14"/>
          <w:u w:val="single" w:color="auto"/>
          <w:color w:val="0000EE"/>
        </w:rPr>
        <w:t>96</w:t>
      </w:r>
      <w:r>
        <w:rPr>
          <w:rFonts w:ascii="Arial" w:cs="Arial" w:eastAsia="Arial" w:hAnsi="Arial"/>
          <w:sz w:val="14"/>
          <w:szCs w:val="14"/>
          <w:color w:val="auto"/>
        </w:rPr>
        <w:t xml:space="preserve"> of this Proxy Statement. Adjusted EBIT is the Company selected measure due to the Company’s strategic focus on profitable revenue growth. The Company selected measure may change from year to year.</w:t>
      </w:r>
    </w:p>
    <w:p>
      <w:pPr>
        <w:spacing w:after="0" w:line="180"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128905</wp:posOffset>
            </wp:positionV>
            <wp:extent cx="699516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EXECUTIVE COMPENSATION TABLES AND RELATED NARRATIVE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0072AF"/>
        </w:rPr>
        <w:t>Reconciliation of Compensation Actually Paid Adjustments: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Borders>
              <w:top w:val="single" w:sz="8" w:color="0072AF"/>
              <w:right w:val="single" w:sz="8" w:color="0072AF"/>
            </w:tcBorders>
          </w:tcPr>
          <w:p>
            <w:pPr>
              <w:spacing w:after="0"/>
              <w:rPr>
                <w:sz w:val="20"/>
                <w:szCs w:val="20"/>
                <w:color w:val="auto"/>
              </w:rPr>
            </w:pPr>
          </w:p>
        </w:tc>
        <w:tc>
          <w:tcPr>
            <w:tcW w:w="880" w:type="dxa"/>
            <w:vAlign w:val="bottom"/>
            <w:tcBorders>
              <w:top w:val="single" w:sz="8" w:color="0072AF"/>
            </w:tcBorders>
          </w:tcPr>
          <w:p>
            <w:pPr>
              <w:spacing w:after="0"/>
              <w:rPr>
                <w:sz w:val="20"/>
                <w:szCs w:val="20"/>
                <w:color w:val="auto"/>
              </w:rPr>
            </w:pPr>
          </w:p>
        </w:tc>
        <w:tc>
          <w:tcPr>
            <w:tcW w:w="880" w:type="dxa"/>
            <w:vAlign w:val="bottom"/>
            <w:tcBorders>
              <w:top w:val="single" w:sz="8" w:color="0072AF"/>
            </w:tcBorders>
          </w:tcPr>
          <w:p>
            <w:pPr>
              <w:spacing w:after="0"/>
              <w:rPr>
                <w:sz w:val="20"/>
                <w:szCs w:val="20"/>
                <w:color w:val="auto"/>
              </w:rPr>
            </w:pPr>
          </w:p>
        </w:tc>
        <w:tc>
          <w:tcPr>
            <w:tcW w:w="720" w:type="dxa"/>
            <w:vAlign w:val="bottom"/>
            <w:tcBorders>
              <w:top w:val="single" w:sz="8" w:color="0072AF"/>
            </w:tcBorders>
          </w:tcPr>
          <w:p>
            <w:pPr>
              <w:spacing w:after="0"/>
              <w:rPr>
                <w:sz w:val="20"/>
                <w:szCs w:val="20"/>
                <w:color w:val="auto"/>
              </w:rPr>
            </w:pPr>
          </w:p>
        </w:tc>
        <w:tc>
          <w:tcPr>
            <w:tcW w:w="820" w:type="dxa"/>
            <w:vAlign w:val="bottom"/>
            <w:tcBorders>
              <w:top w:val="single" w:sz="8" w:color="0072AF"/>
            </w:tcBorders>
          </w:tcPr>
          <w:p>
            <w:pPr>
              <w:spacing w:after="0"/>
              <w:rPr>
                <w:sz w:val="20"/>
                <w:szCs w:val="20"/>
                <w:color w:val="auto"/>
              </w:rPr>
            </w:pPr>
          </w:p>
        </w:tc>
        <w:tc>
          <w:tcPr>
            <w:tcW w:w="1180" w:type="dxa"/>
            <w:vAlign w:val="bottom"/>
            <w:tcBorders>
              <w:top w:val="single" w:sz="8" w:color="0072AF"/>
            </w:tcBorders>
          </w:tcPr>
          <w:p>
            <w:pPr>
              <w:spacing w:after="0"/>
              <w:rPr>
                <w:sz w:val="20"/>
                <w:szCs w:val="20"/>
                <w:color w:val="auto"/>
              </w:rPr>
            </w:pPr>
          </w:p>
        </w:tc>
        <w:tc>
          <w:tcPr>
            <w:tcW w:w="860" w:type="dxa"/>
            <w:vAlign w:val="bottom"/>
            <w:tcBorders>
              <w:top w:val="single" w:sz="8" w:color="0072AF"/>
            </w:tcBorders>
          </w:tcPr>
          <w:p>
            <w:pPr>
              <w:spacing w:after="0"/>
              <w:rPr>
                <w:sz w:val="20"/>
                <w:szCs w:val="20"/>
                <w:color w:val="auto"/>
              </w:rPr>
            </w:pPr>
          </w:p>
        </w:tc>
        <w:tc>
          <w:tcPr>
            <w:tcW w:w="720" w:type="dxa"/>
            <w:vAlign w:val="bottom"/>
            <w:tcBorders>
              <w:top w:val="single" w:sz="8" w:color="0072AF"/>
            </w:tcBorders>
            <w:vMerge w:val="restart"/>
          </w:tcPr>
          <w:p>
            <w:pPr>
              <w:jc w:val="center"/>
              <w:spacing w:after="0"/>
              <w:rPr>
                <w:sz w:val="20"/>
                <w:szCs w:val="20"/>
                <w:color w:val="auto"/>
              </w:rPr>
            </w:pPr>
            <w:r>
              <w:rPr>
                <w:rFonts w:ascii="Arial" w:cs="Arial" w:eastAsia="Arial" w:hAnsi="Arial"/>
                <w:sz w:val="13"/>
                <w:szCs w:val="13"/>
                <w:b w:val="1"/>
                <w:bCs w:val="1"/>
                <w:color w:val="auto"/>
                <w:w w:val="94"/>
              </w:rPr>
              <w:t>Plus</w:t>
            </w:r>
          </w:p>
        </w:tc>
        <w:tc>
          <w:tcPr>
            <w:tcW w:w="1200" w:type="dxa"/>
            <w:vAlign w:val="bottom"/>
            <w:tcBorders>
              <w:top w:val="single" w:sz="8" w:color="0072AF"/>
            </w:tcBorders>
          </w:tcPr>
          <w:p>
            <w:pPr>
              <w:spacing w:after="0"/>
              <w:rPr>
                <w:sz w:val="20"/>
                <w:szCs w:val="20"/>
                <w:color w:val="auto"/>
              </w:rPr>
            </w:pPr>
          </w:p>
        </w:tc>
        <w:tc>
          <w:tcPr>
            <w:tcW w:w="1020" w:type="dxa"/>
            <w:vAlign w:val="bottom"/>
            <w:tcBorders>
              <w:top w:val="single" w:sz="8" w:color="0072AF"/>
            </w:tcBorders>
          </w:tcPr>
          <w:p>
            <w:pPr>
              <w:jc w:val="center"/>
              <w:spacing w:after="0"/>
              <w:rPr>
                <w:sz w:val="20"/>
                <w:szCs w:val="20"/>
                <w:color w:val="auto"/>
              </w:rPr>
            </w:pPr>
            <w:r>
              <w:rPr>
                <w:rFonts w:ascii="Arial" w:cs="Arial" w:eastAsia="Arial" w:hAnsi="Arial"/>
                <w:sz w:val="13"/>
                <w:szCs w:val="13"/>
                <w:b w:val="1"/>
                <w:bCs w:val="1"/>
                <w:color w:val="auto"/>
                <w:w w:val="97"/>
              </w:rPr>
              <w:t>Fair Value as</w:t>
            </w:r>
          </w:p>
        </w:tc>
        <w:tc>
          <w:tcPr>
            <w:tcW w:w="940" w:type="dxa"/>
            <w:vAlign w:val="bottom"/>
            <w:tcBorders>
              <w:top w:val="single" w:sz="8" w:color="0072AF"/>
            </w:tcBorders>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340" w:type="dxa"/>
            <w:vAlign w:val="bottom"/>
            <w:tcBorders>
              <w:right w:val="single" w:sz="8" w:color="0072AF"/>
            </w:tcBorders>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Plus/(Minus)</w:t>
            </w:r>
          </w:p>
        </w:tc>
        <w:tc>
          <w:tcPr>
            <w:tcW w:w="720" w:type="dxa"/>
            <w:vAlign w:val="bottom"/>
            <w:vMerge w:val="continue"/>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Plus/(Minus)</w:t>
            </w:r>
          </w:p>
        </w:tc>
        <w:tc>
          <w:tcPr>
            <w:tcW w:w="10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9"/>
              </w:rPr>
              <w:t>of Prior</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340" w:type="dxa"/>
            <w:vAlign w:val="bottom"/>
            <w:tcBorders>
              <w:right w:val="single" w:sz="8" w:color="0072AF"/>
            </w:tcBorders>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340" w:type="dxa"/>
            <w:vAlign w:val="bottom"/>
            <w:tcBorders>
              <w:right w:val="single" w:sz="8" w:color="0072AF"/>
            </w:tcBorders>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6"/>
              </w:rPr>
              <w:t>Fiscal Year</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340" w:type="dxa"/>
            <w:vAlign w:val="bottom"/>
            <w:tcBorders>
              <w:right w:val="single" w:sz="8" w:color="0072AF"/>
            </w:tcBorders>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Fair Value</w:t>
            </w:r>
          </w:p>
        </w:tc>
        <w:tc>
          <w:tcPr>
            <w:tcW w:w="120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340" w:type="dxa"/>
            <w:vAlign w:val="bottom"/>
            <w:tcBorders>
              <w:right w:val="single" w:sz="8" w:color="0072AF"/>
            </w:tcBorders>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(Minus)</w:t>
            </w: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Plus</w:t>
            </w:r>
          </w:p>
        </w:tc>
        <w:tc>
          <w:tcPr>
            <w:tcW w:w="820" w:type="dxa"/>
            <w:vAlign w:val="bottom"/>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Plus</w:t>
            </w:r>
          </w:p>
        </w:tc>
        <w:tc>
          <w:tcPr>
            <w:tcW w:w="8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0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8"/>
              </w:rPr>
              <w:t>End of Stock</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40" w:type="dxa"/>
            <w:vAlign w:val="bottom"/>
            <w:tcBorders>
              <w:right w:val="single" w:sz="8" w:color="0072AF"/>
            </w:tcBorders>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(Minus)</w:t>
            </w:r>
          </w:p>
        </w:tc>
        <w:tc>
          <w:tcPr>
            <w:tcW w:w="1180" w:type="dxa"/>
            <w:vAlign w:val="bottom"/>
            <w:vMerge w:val="continue"/>
          </w:tcPr>
          <w:p>
            <w:pPr>
              <w:spacing w:after="0"/>
              <w:rPr>
                <w:sz w:val="9"/>
                <w:szCs w:val="9"/>
                <w:color w:val="auto"/>
              </w:rPr>
            </w:pPr>
          </w:p>
        </w:tc>
        <w:tc>
          <w:tcPr>
            <w:tcW w:w="8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Change in</w:t>
            </w:r>
          </w:p>
        </w:tc>
        <w:tc>
          <w:tcPr>
            <w:tcW w:w="7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Vesting of</w:t>
            </w:r>
          </w:p>
        </w:tc>
        <w:tc>
          <w:tcPr>
            <w:tcW w:w="12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Change in Fair</w:t>
            </w:r>
          </w:p>
        </w:tc>
        <w:tc>
          <w:tcPr>
            <w:tcW w:w="10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6"/>
              </w:rPr>
              <w:t>Option and</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340" w:type="dxa"/>
            <w:vAlign w:val="bottom"/>
            <w:tcBorders>
              <w:right w:val="single" w:sz="8" w:color="0072A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40" w:type="dxa"/>
            <w:vAlign w:val="bottom"/>
            <w:tcBorders>
              <w:right w:val="single" w:sz="8" w:color="0072AF"/>
            </w:tcBorders>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8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4"/>
              </w:rPr>
              <w:t>Fair Value of</w:t>
            </w:r>
          </w:p>
        </w:tc>
        <w:tc>
          <w:tcPr>
            <w:tcW w:w="7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Stock</w:t>
            </w:r>
          </w:p>
        </w:tc>
        <w:tc>
          <w:tcPr>
            <w:tcW w:w="12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Value as of Vesting</w:t>
            </w:r>
          </w:p>
        </w:tc>
        <w:tc>
          <w:tcPr>
            <w:tcW w:w="10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Stock Awards</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340" w:type="dxa"/>
            <w:vAlign w:val="bottom"/>
            <w:tcBorders>
              <w:right w:val="single" w:sz="8" w:color="0072A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Change in</w:t>
            </w: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Service</w:t>
            </w:r>
          </w:p>
        </w:tc>
        <w:tc>
          <w:tcPr>
            <w:tcW w:w="820" w:type="dxa"/>
            <w:vAlign w:val="bottom"/>
          </w:tcPr>
          <w:p>
            <w:pPr>
              <w:spacing w:after="0" w:line="20" w:lineRule="exact"/>
              <w:rPr>
                <w:sz w:val="1"/>
                <w:szCs w:val="1"/>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Fair Value at</w:t>
            </w:r>
          </w:p>
        </w:tc>
        <w:tc>
          <w:tcPr>
            <w:tcW w:w="860" w:type="dxa"/>
            <w:vAlign w:val="bottom"/>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40" w:type="dxa"/>
            <w:vAlign w:val="bottom"/>
            <w:tcBorders>
              <w:right w:val="single" w:sz="8" w:color="0072AF"/>
            </w:tcBorders>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Grant Date</w:t>
            </w:r>
          </w:p>
        </w:tc>
        <w:tc>
          <w:tcPr>
            <w:tcW w:w="1180" w:type="dxa"/>
            <w:vAlign w:val="bottom"/>
            <w:vMerge w:val="continue"/>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Outstanding</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Option and</w:t>
            </w: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Date of Stock</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Granted in Prior</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Borders>
              <w:right w:val="single" w:sz="8" w:color="0072AF"/>
            </w:tcBorders>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Accumulated</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Costs</w:t>
            </w:r>
          </w:p>
        </w:tc>
        <w:tc>
          <w:tcPr>
            <w:tcW w:w="820" w:type="dxa"/>
            <w:vAlign w:val="bottom"/>
            <w:vMerge w:val="continue"/>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Fiscal Year-End</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and Unvested</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Stock</w:t>
            </w: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Option and Stock</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Fiscal Years that</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Borders>
              <w:right w:val="single" w:sz="8" w:color="0072AF"/>
            </w:tcBorders>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Benefits</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Under</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Fair Value of</w:t>
            </w: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of Outstanding</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 Option</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Awards Granted in</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Failed to Meet</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Borders>
              <w:right w:val="single" w:sz="8" w:color="0072AF"/>
            </w:tcBorders>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Under Defined</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Defined</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 Option</w:t>
            </w: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and Unvested</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and Stock</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Granted in</w:t>
            </w: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Prior Years for</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Applicable</w:t>
            </w: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Equals</w:t>
            </w:r>
          </w:p>
        </w:tc>
        <w:tc>
          <w:tcPr>
            <w:tcW w:w="0" w:type="dxa"/>
            <w:vAlign w:val="bottom"/>
          </w:tcPr>
          <w:p>
            <w:pPr>
              <w:spacing w:after="0"/>
              <w:rPr>
                <w:sz w:val="1"/>
                <w:szCs w:val="1"/>
                <w:color w:val="auto"/>
              </w:rPr>
            </w:pPr>
          </w:p>
        </w:tc>
      </w:tr>
      <w:tr>
        <w:trPr>
          <w:trHeight w:val="135"/>
        </w:trPr>
        <w:tc>
          <w:tcPr>
            <w:tcW w:w="340" w:type="dxa"/>
            <w:vAlign w:val="bottom"/>
            <w:tcBorders>
              <w:right w:val="single" w:sz="8" w:color="0072AF"/>
            </w:tcBorders>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Summary</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Benefit and</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Benefit and</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and Stock</w:t>
            </w: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 Option</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Fiscal Year</w:t>
            </w: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which Applicable</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Vesting</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Borders>
              <w:right w:val="single" w:sz="8" w:color="0072AF"/>
            </w:tcBorders>
          </w:tcPr>
          <w:p>
            <w:pPr>
              <w:spacing w:after="0"/>
              <w:rPr>
                <w:sz w:val="11"/>
                <w:szCs w:val="11"/>
                <w:color w:val="auto"/>
              </w:rPr>
            </w:pPr>
          </w:p>
        </w:tc>
        <w:tc>
          <w:tcPr>
            <w:tcW w:w="880" w:type="dxa"/>
            <w:vAlign w:val="bottom"/>
            <w:vMerge w:val="continue"/>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Actuarial</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Actuarial</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Awards</w:t>
            </w: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and Stock</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Granted in</w:t>
            </w:r>
          </w:p>
        </w:tc>
        <w:tc>
          <w:tcPr>
            <w:tcW w:w="192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7"/>
              </w:rPr>
              <w:t>that Vested Vesting Conditions</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Conditions</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0" w:type="dxa"/>
            <w:vAlign w:val="bottom"/>
            <w:tcBorders>
              <w:right w:val="single" w:sz="8" w:color="0072AF"/>
            </w:tcBorders>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5"/>
              </w:rPr>
              <w:t>Compensation</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4"/>
              </w:rPr>
              <w:t>Pension</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4"/>
              </w:rPr>
              <w:t>Pension</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8"/>
              </w:rPr>
              <w:t>Granted in</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5"/>
              </w:rPr>
              <w:t>Awards Granted</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Prior Fiscal</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5"/>
              </w:rPr>
              <w:t>During</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5"/>
              </w:rPr>
              <w:t>Were Satisfied</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4"/>
              </w:rPr>
              <w:t>During Fiscal</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Compensation</w:t>
            </w:r>
          </w:p>
        </w:tc>
        <w:tc>
          <w:tcPr>
            <w:tcW w:w="0" w:type="dxa"/>
            <w:vAlign w:val="bottom"/>
          </w:tcPr>
          <w:p>
            <w:pPr>
              <w:spacing w:after="0"/>
              <w:rPr>
                <w:sz w:val="1"/>
                <w:szCs w:val="1"/>
                <w:color w:val="auto"/>
              </w:rPr>
            </w:pPr>
          </w:p>
        </w:tc>
      </w:tr>
      <w:tr>
        <w:trPr>
          <w:trHeight w:val="135"/>
        </w:trPr>
        <w:tc>
          <w:tcPr>
            <w:tcW w:w="340" w:type="dxa"/>
            <w:vAlign w:val="bottom"/>
            <w:tcBorders>
              <w:right w:val="single" w:sz="8" w:color="0072AF"/>
            </w:tcBorders>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Table Total</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Plans</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Plans</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Fiscal Year</w:t>
            </w: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in Prior Fiscal Year</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Years</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Fiscal Year</w:t>
            </w: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During Fiscal Year</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Year</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Actually Paid</w:t>
            </w:r>
          </w:p>
        </w:tc>
        <w:tc>
          <w:tcPr>
            <w:tcW w:w="0" w:type="dxa"/>
            <w:vAlign w:val="bottom"/>
          </w:tcPr>
          <w:p>
            <w:pPr>
              <w:spacing w:after="0"/>
              <w:rPr>
                <w:sz w:val="1"/>
                <w:szCs w:val="1"/>
                <w:color w:val="auto"/>
              </w:rPr>
            </w:pPr>
          </w:p>
        </w:tc>
      </w:tr>
      <w:tr>
        <w:trPr>
          <w:trHeight w:val="257"/>
        </w:trPr>
        <w:tc>
          <w:tcPr>
            <w:tcW w:w="340" w:type="dxa"/>
            <w:vAlign w:val="bottom"/>
            <w:tcBorders>
              <w:bottom w:val="single" w:sz="8" w:color="0072AF"/>
              <w:right w:val="single" w:sz="8" w:color="0072AF"/>
            </w:tcBorders>
          </w:tcPr>
          <w:p>
            <w:pPr>
              <w:jc w:val="center"/>
              <w:spacing w:after="0"/>
              <w:rPr>
                <w:sz w:val="20"/>
                <w:szCs w:val="20"/>
                <w:color w:val="auto"/>
              </w:rPr>
            </w:pPr>
            <w:r>
              <w:rPr>
                <w:rFonts w:ascii="Arial" w:cs="Arial" w:eastAsia="Arial" w:hAnsi="Arial"/>
                <w:sz w:val="13"/>
                <w:szCs w:val="13"/>
                <w:b w:val="1"/>
                <w:bCs w:val="1"/>
                <w:color w:val="auto"/>
                <w:w w:val="92"/>
              </w:rPr>
              <w:t>Year</w:t>
            </w:r>
          </w:p>
        </w:tc>
        <w:tc>
          <w:tcPr>
            <w:tcW w:w="880" w:type="dxa"/>
            <w:vAlign w:val="bottom"/>
            <w:tcBorders>
              <w:bottom w:val="single" w:sz="8" w:color="0072AF"/>
            </w:tcBorders>
          </w:tcPr>
          <w:p>
            <w:pPr>
              <w:jc w:val="center"/>
              <w:spacing w:after="0"/>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(a)</w:t>
            </w:r>
          </w:p>
        </w:tc>
        <w:tc>
          <w:tcPr>
            <w:tcW w:w="880" w:type="dxa"/>
            <w:vAlign w:val="bottom"/>
            <w:tcBorders>
              <w:bottom w:val="single" w:sz="8" w:color="0072AF"/>
            </w:tcBorders>
          </w:tcPr>
          <w:p>
            <w:pPr>
              <w:jc w:val="center"/>
              <w:spacing w:after="0"/>
              <w:rPr>
                <w:sz w:val="20"/>
                <w:szCs w:val="20"/>
                <w:color w:val="auto"/>
              </w:rPr>
            </w:pPr>
            <w:r>
              <w:rPr>
                <w:rFonts w:ascii="Arial" w:cs="Arial" w:eastAsia="Arial" w:hAnsi="Arial"/>
                <w:sz w:val="13"/>
                <w:szCs w:val="13"/>
                <w:b w:val="1"/>
                <w:bCs w:val="1"/>
                <w:color w:val="auto"/>
                <w:w w:val="84"/>
              </w:rPr>
              <w:t>($)</w:t>
            </w:r>
            <w:r>
              <w:rPr>
                <w:rFonts w:ascii="Arial" w:cs="Arial" w:eastAsia="Arial" w:hAnsi="Arial"/>
                <w:sz w:val="20"/>
                <w:szCs w:val="20"/>
                <w:b w:val="1"/>
                <w:bCs w:val="1"/>
                <w:color w:val="auto"/>
                <w:w w:val="84"/>
                <w:vertAlign w:val="superscript"/>
              </w:rPr>
              <w:t>(b)</w:t>
            </w:r>
          </w:p>
        </w:tc>
        <w:tc>
          <w:tcPr>
            <w:tcW w:w="720" w:type="dxa"/>
            <w:vAlign w:val="bottom"/>
            <w:tcBorders>
              <w:bottom w:val="single" w:sz="8" w:color="0072AF"/>
            </w:tcBorders>
          </w:tcPr>
          <w:p>
            <w:pPr>
              <w:jc w:val="center"/>
              <w:spacing w:after="0"/>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(c)</w:t>
            </w:r>
          </w:p>
        </w:tc>
        <w:tc>
          <w:tcPr>
            <w:tcW w:w="820" w:type="dxa"/>
            <w:vAlign w:val="bottom"/>
            <w:tcBorders>
              <w:bottom w:val="single" w:sz="8" w:color="0072AF"/>
            </w:tcBorders>
          </w:tcPr>
          <w:p>
            <w:pPr>
              <w:jc w:val="center"/>
              <w:spacing w:after="0"/>
              <w:rPr>
                <w:sz w:val="20"/>
                <w:szCs w:val="20"/>
                <w:color w:val="auto"/>
              </w:rPr>
            </w:pPr>
            <w:r>
              <w:rPr>
                <w:rFonts w:ascii="Arial" w:cs="Arial" w:eastAsia="Arial" w:hAnsi="Arial"/>
                <w:sz w:val="13"/>
                <w:szCs w:val="13"/>
                <w:b w:val="1"/>
                <w:bCs w:val="1"/>
                <w:color w:val="auto"/>
                <w:w w:val="84"/>
              </w:rPr>
              <w:t>($)</w:t>
            </w:r>
            <w:r>
              <w:rPr>
                <w:rFonts w:ascii="Arial" w:cs="Arial" w:eastAsia="Arial" w:hAnsi="Arial"/>
                <w:sz w:val="20"/>
                <w:szCs w:val="20"/>
                <w:b w:val="1"/>
                <w:bCs w:val="1"/>
                <w:color w:val="auto"/>
                <w:w w:val="84"/>
                <w:vertAlign w:val="superscript"/>
              </w:rPr>
              <w:t>(d)</w:t>
            </w:r>
          </w:p>
        </w:tc>
        <w:tc>
          <w:tcPr>
            <w:tcW w:w="1180" w:type="dxa"/>
            <w:vAlign w:val="bottom"/>
            <w:tcBorders>
              <w:bottom w:val="single" w:sz="8" w:color="0072AF"/>
            </w:tcBorders>
          </w:tcPr>
          <w:p>
            <w:pPr>
              <w:jc w:val="center"/>
              <w:spacing w:after="0"/>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(e)</w:t>
            </w:r>
          </w:p>
        </w:tc>
        <w:tc>
          <w:tcPr>
            <w:tcW w:w="860" w:type="dxa"/>
            <w:vAlign w:val="bottom"/>
            <w:tcBorders>
              <w:bottom w:val="single" w:sz="8" w:color="0072AF"/>
            </w:tcBorders>
          </w:tcPr>
          <w:p>
            <w:pPr>
              <w:jc w:val="center"/>
              <w:spacing w:after="0"/>
              <w:rPr>
                <w:sz w:val="20"/>
                <w:szCs w:val="20"/>
                <w:color w:val="auto"/>
              </w:rPr>
            </w:pPr>
            <w:r>
              <w:rPr>
                <w:rFonts w:ascii="Arial" w:cs="Arial" w:eastAsia="Arial" w:hAnsi="Arial"/>
                <w:sz w:val="13"/>
                <w:szCs w:val="13"/>
                <w:b w:val="1"/>
                <w:bCs w:val="1"/>
                <w:color w:val="auto"/>
                <w:w w:val="88"/>
              </w:rPr>
              <w:t>($)</w:t>
            </w:r>
            <w:r>
              <w:rPr>
                <w:rFonts w:ascii="Arial" w:cs="Arial" w:eastAsia="Arial" w:hAnsi="Arial"/>
                <w:sz w:val="20"/>
                <w:szCs w:val="20"/>
                <w:b w:val="1"/>
                <w:bCs w:val="1"/>
                <w:color w:val="auto"/>
                <w:w w:val="88"/>
                <w:vertAlign w:val="superscript"/>
              </w:rPr>
              <w:t>(f)</w:t>
            </w:r>
          </w:p>
        </w:tc>
        <w:tc>
          <w:tcPr>
            <w:tcW w:w="720" w:type="dxa"/>
            <w:vAlign w:val="bottom"/>
            <w:tcBorders>
              <w:bottom w:val="single" w:sz="8" w:color="0072AF"/>
            </w:tcBorders>
          </w:tcPr>
          <w:p>
            <w:pPr>
              <w:jc w:val="center"/>
              <w:spacing w:after="0"/>
              <w:rPr>
                <w:sz w:val="20"/>
                <w:szCs w:val="20"/>
                <w:color w:val="auto"/>
              </w:rPr>
            </w:pPr>
            <w:r>
              <w:rPr>
                <w:rFonts w:ascii="Arial" w:cs="Arial" w:eastAsia="Arial" w:hAnsi="Arial"/>
                <w:sz w:val="13"/>
                <w:szCs w:val="13"/>
                <w:b w:val="1"/>
                <w:bCs w:val="1"/>
                <w:color w:val="auto"/>
                <w:w w:val="84"/>
              </w:rPr>
              <w:t>($)</w:t>
            </w:r>
            <w:r>
              <w:rPr>
                <w:rFonts w:ascii="Arial" w:cs="Arial" w:eastAsia="Arial" w:hAnsi="Arial"/>
                <w:sz w:val="20"/>
                <w:szCs w:val="20"/>
                <w:b w:val="1"/>
                <w:bCs w:val="1"/>
                <w:color w:val="auto"/>
                <w:w w:val="84"/>
                <w:vertAlign w:val="superscript"/>
              </w:rPr>
              <w:t>(g)</w:t>
            </w:r>
          </w:p>
        </w:tc>
        <w:tc>
          <w:tcPr>
            <w:tcW w:w="1200" w:type="dxa"/>
            <w:vAlign w:val="bottom"/>
            <w:tcBorders>
              <w:bottom w:val="single" w:sz="8" w:color="0072AF"/>
            </w:tcBorders>
          </w:tcPr>
          <w:p>
            <w:pPr>
              <w:jc w:val="center"/>
              <w:spacing w:after="0"/>
              <w:rPr>
                <w:sz w:val="20"/>
                <w:szCs w:val="20"/>
                <w:color w:val="auto"/>
              </w:rPr>
            </w:pPr>
            <w:r>
              <w:rPr>
                <w:rFonts w:ascii="Arial" w:cs="Arial" w:eastAsia="Arial" w:hAnsi="Arial"/>
                <w:sz w:val="13"/>
                <w:szCs w:val="13"/>
                <w:b w:val="1"/>
                <w:bCs w:val="1"/>
                <w:color w:val="auto"/>
                <w:w w:val="84"/>
              </w:rPr>
              <w:t>($)</w:t>
            </w:r>
            <w:r>
              <w:rPr>
                <w:rFonts w:ascii="Arial" w:cs="Arial" w:eastAsia="Arial" w:hAnsi="Arial"/>
                <w:sz w:val="20"/>
                <w:szCs w:val="20"/>
                <w:b w:val="1"/>
                <w:bCs w:val="1"/>
                <w:color w:val="auto"/>
                <w:w w:val="84"/>
                <w:vertAlign w:val="superscript"/>
              </w:rPr>
              <w:t>(h)</w:t>
            </w:r>
          </w:p>
        </w:tc>
        <w:tc>
          <w:tcPr>
            <w:tcW w:w="1020" w:type="dxa"/>
            <w:vAlign w:val="bottom"/>
            <w:tcBorders>
              <w:bottom w:val="single" w:sz="8" w:color="0072AF"/>
            </w:tcBorders>
          </w:tcPr>
          <w:p>
            <w:pPr>
              <w:jc w:val="center"/>
              <w:spacing w:after="0"/>
              <w:rPr>
                <w:sz w:val="20"/>
                <w:szCs w:val="20"/>
                <w:color w:val="auto"/>
              </w:rPr>
            </w:pPr>
            <w:r>
              <w:rPr>
                <w:rFonts w:ascii="Arial" w:cs="Arial" w:eastAsia="Arial" w:hAnsi="Arial"/>
                <w:sz w:val="13"/>
                <w:szCs w:val="13"/>
                <w:b w:val="1"/>
                <w:bCs w:val="1"/>
                <w:color w:val="auto"/>
                <w:w w:val="91"/>
              </w:rPr>
              <w:t>($)</w:t>
            </w:r>
            <w:r>
              <w:rPr>
                <w:rFonts w:ascii="Arial" w:cs="Arial" w:eastAsia="Arial" w:hAnsi="Arial"/>
                <w:sz w:val="20"/>
                <w:szCs w:val="20"/>
                <w:b w:val="1"/>
                <w:bCs w:val="1"/>
                <w:color w:val="auto"/>
                <w:w w:val="91"/>
                <w:vertAlign w:val="superscript"/>
              </w:rPr>
              <w:t>(i)</w:t>
            </w:r>
          </w:p>
        </w:tc>
        <w:tc>
          <w:tcPr>
            <w:tcW w:w="940" w:type="dxa"/>
            <w:vAlign w:val="bottom"/>
            <w:tcBorders>
              <w:bottom w:val="single" w:sz="8" w:color="0072AF"/>
            </w:tcBorders>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55"/>
        </w:trPr>
        <w:tc>
          <w:tcPr>
            <w:tcW w:w="340" w:type="dxa"/>
            <w:vAlign w:val="bottom"/>
            <w:tcBorders>
              <w:right w:val="single" w:sz="8" w:color="0072AF"/>
            </w:tcBorders>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40" w:type="dxa"/>
            <w:vAlign w:val="bottom"/>
            <w:gridSpan w:val="2"/>
          </w:tcPr>
          <w:p>
            <w:pPr>
              <w:jc w:val="center"/>
              <w:ind w:left="514"/>
              <w:spacing w:after="0"/>
              <w:rPr>
                <w:sz w:val="20"/>
                <w:szCs w:val="20"/>
                <w:color w:val="auto"/>
              </w:rPr>
            </w:pPr>
            <w:r>
              <w:rPr>
                <w:rFonts w:ascii="Arial" w:cs="Arial" w:eastAsia="Arial" w:hAnsi="Arial"/>
                <w:sz w:val="14"/>
                <w:szCs w:val="14"/>
                <w:color w:val="auto"/>
              </w:rPr>
              <w:t>Jason Dies</w:t>
            </w:r>
          </w:p>
        </w:tc>
        <w:tc>
          <w:tcPr>
            <w:tcW w:w="7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340" w:type="dxa"/>
            <w:vAlign w:val="bottom"/>
            <w:tcBorders>
              <w:right w:val="single" w:sz="8" w:color="0072AF"/>
            </w:tcBorders>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40" w:type="dxa"/>
            <w:vAlign w:val="bottom"/>
            <w:tcBorders>
              <w:bottom w:val="single" w:sz="8" w:color="CBCEE0"/>
              <w:right w:val="single" w:sz="8" w:color="0072AF"/>
            </w:tcBorders>
            <w:shd w:val="clear" w:color="auto" w:fill="CBCEE0"/>
          </w:tcPr>
          <w:p>
            <w:pPr>
              <w:jc w:val="center"/>
              <w:spacing w:after="0"/>
              <w:rPr>
                <w:sz w:val="20"/>
                <w:szCs w:val="20"/>
                <w:color w:val="auto"/>
              </w:rPr>
            </w:pPr>
            <w:r>
              <w:rPr>
                <w:rFonts w:ascii="Arial" w:cs="Arial" w:eastAsia="Arial" w:hAnsi="Arial"/>
                <w:sz w:val="14"/>
                <w:szCs w:val="14"/>
                <w:color w:val="auto"/>
              </w:rPr>
              <w:t>2023</w:t>
            </w:r>
          </w:p>
        </w:tc>
        <w:tc>
          <w:tcPr>
            <w:tcW w:w="88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4"/>
                <w:szCs w:val="14"/>
                <w:color w:val="auto"/>
              </w:rPr>
              <w:t>2,712,791</w:t>
            </w:r>
          </w:p>
        </w:tc>
        <w:tc>
          <w:tcPr>
            <w:tcW w:w="88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4"/>
                <w:szCs w:val="14"/>
                <w:color w:val="auto"/>
                <w:w w:val="84"/>
              </w:rPr>
              <w:t>-</w:t>
            </w:r>
          </w:p>
        </w:tc>
        <w:tc>
          <w:tcPr>
            <w:tcW w:w="72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4"/>
                <w:szCs w:val="14"/>
                <w:color w:val="auto"/>
              </w:rPr>
              <w:t>769,893</w:t>
            </w:r>
          </w:p>
        </w:tc>
        <w:tc>
          <w:tcPr>
            <w:tcW w:w="118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4"/>
                <w:szCs w:val="14"/>
                <w:color w:val="auto"/>
              </w:rPr>
              <w:t>829,978</w:t>
            </w:r>
          </w:p>
        </w:tc>
        <w:tc>
          <w:tcPr>
            <w:tcW w:w="86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4"/>
                <w:szCs w:val="14"/>
                <w:color w:val="auto"/>
              </w:rPr>
              <w:t>10,708</w:t>
            </w:r>
          </w:p>
        </w:tc>
        <w:tc>
          <w:tcPr>
            <w:tcW w:w="72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4"/>
                <w:szCs w:val="14"/>
                <w:color w:val="auto"/>
                <w:w w:val="97"/>
              </w:rPr>
              <w:t>11,053</w:t>
            </w:r>
          </w:p>
        </w:tc>
        <w:tc>
          <w:tcPr>
            <w:tcW w:w="102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4"/>
                <w:szCs w:val="14"/>
                <w:color w:val="auto"/>
              </w:rPr>
              <w:t>2,794,637</w:t>
            </w:r>
          </w:p>
        </w:tc>
        <w:tc>
          <w:tcPr>
            <w:tcW w:w="0" w:type="dxa"/>
            <w:vAlign w:val="bottom"/>
          </w:tcPr>
          <w:p>
            <w:pPr>
              <w:spacing w:after="0"/>
              <w:rPr>
                <w:sz w:val="1"/>
                <w:szCs w:val="1"/>
                <w:color w:val="auto"/>
              </w:rPr>
            </w:pPr>
          </w:p>
        </w:tc>
      </w:tr>
      <w:tr>
        <w:trPr>
          <w:trHeight w:val="248"/>
        </w:trPr>
        <w:tc>
          <w:tcPr>
            <w:tcW w:w="340" w:type="dxa"/>
            <w:vAlign w:val="bottom"/>
            <w:tcBorders>
              <w:right w:val="single" w:sz="8" w:color="0072AF"/>
            </w:tcBorders>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40" w:type="dxa"/>
            <w:vAlign w:val="bottom"/>
            <w:gridSpan w:val="2"/>
          </w:tcPr>
          <w:p>
            <w:pPr>
              <w:jc w:val="center"/>
              <w:ind w:left="514"/>
              <w:spacing w:after="0"/>
              <w:rPr>
                <w:sz w:val="20"/>
                <w:szCs w:val="20"/>
                <w:color w:val="auto"/>
              </w:rPr>
            </w:pPr>
            <w:r>
              <w:rPr>
                <w:rFonts w:ascii="Arial" w:cs="Arial" w:eastAsia="Arial" w:hAnsi="Arial"/>
                <w:sz w:val="14"/>
                <w:szCs w:val="14"/>
                <w:color w:val="auto"/>
              </w:rPr>
              <w:t>Marc B. Lautenbach</w:t>
            </w:r>
          </w:p>
        </w:tc>
        <w:tc>
          <w:tcPr>
            <w:tcW w:w="7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340" w:type="dxa"/>
            <w:vAlign w:val="bottom"/>
            <w:tcBorders>
              <w:right w:val="single" w:sz="8" w:color="0072AF"/>
            </w:tcBorders>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40" w:type="dxa"/>
            <w:vAlign w:val="bottom"/>
            <w:tcBorders>
              <w:bottom w:val="single" w:sz="8" w:color="CBCEE0"/>
              <w:right w:val="single" w:sz="8" w:color="0072AF"/>
            </w:tcBorders>
            <w:shd w:val="clear" w:color="auto" w:fill="CBCEE0"/>
          </w:tcPr>
          <w:p>
            <w:pPr>
              <w:jc w:val="center"/>
              <w:spacing w:after="0"/>
              <w:rPr>
                <w:sz w:val="20"/>
                <w:szCs w:val="20"/>
                <w:color w:val="auto"/>
              </w:rPr>
            </w:pPr>
            <w:r>
              <w:rPr>
                <w:rFonts w:ascii="Arial" w:cs="Arial" w:eastAsia="Arial" w:hAnsi="Arial"/>
                <w:sz w:val="14"/>
                <w:szCs w:val="14"/>
                <w:color w:val="auto"/>
              </w:rPr>
              <w:t>2023</w:t>
            </w:r>
          </w:p>
        </w:tc>
        <w:tc>
          <w:tcPr>
            <w:tcW w:w="88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4"/>
                <w:szCs w:val="14"/>
                <w:color w:val="auto"/>
              </w:rPr>
              <w:t>7,266,238</w:t>
            </w:r>
          </w:p>
        </w:tc>
        <w:tc>
          <w:tcPr>
            <w:tcW w:w="88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4"/>
                <w:szCs w:val="14"/>
                <w:color w:val="auto"/>
                <w:w w:val="84"/>
              </w:rPr>
              <w:t>-</w:t>
            </w:r>
          </w:p>
        </w:tc>
        <w:tc>
          <w:tcPr>
            <w:tcW w:w="72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4"/>
                <w:szCs w:val="14"/>
                <w:color w:val="auto"/>
              </w:rPr>
              <w:t>2,581,782</w:t>
            </w:r>
          </w:p>
        </w:tc>
        <w:tc>
          <w:tcPr>
            <w:tcW w:w="118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4"/>
                <w:szCs w:val="14"/>
                <w:color w:val="auto"/>
              </w:rPr>
              <w:t>0</w:t>
            </w:r>
          </w:p>
        </w:tc>
        <w:tc>
          <w:tcPr>
            <w:tcW w:w="86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4"/>
                <w:szCs w:val="14"/>
                <w:color w:val="auto"/>
              </w:rPr>
              <w:t>0</w:t>
            </w:r>
          </w:p>
        </w:tc>
        <w:tc>
          <w:tcPr>
            <w:tcW w:w="72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4"/>
                <w:szCs w:val="14"/>
                <w:color w:val="auto"/>
              </w:rPr>
              <w:t>(28,289)</w:t>
            </w:r>
          </w:p>
        </w:tc>
        <w:tc>
          <w:tcPr>
            <w:tcW w:w="102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BCEE0"/>
            </w:tcBorders>
            <w:shd w:val="clear" w:color="auto" w:fill="CBCEE0"/>
          </w:tcPr>
          <w:p>
            <w:pPr>
              <w:jc w:val="center"/>
              <w:spacing w:after="0"/>
              <w:rPr>
                <w:sz w:val="20"/>
                <w:szCs w:val="20"/>
                <w:color w:val="auto"/>
              </w:rPr>
            </w:pPr>
            <w:r>
              <w:rPr>
                <w:rFonts w:ascii="Arial" w:cs="Arial" w:eastAsia="Arial" w:hAnsi="Arial"/>
                <w:sz w:val="14"/>
                <w:szCs w:val="14"/>
                <w:color w:val="auto"/>
              </w:rPr>
              <w:t>4,656,167</w:t>
            </w:r>
          </w:p>
        </w:tc>
        <w:tc>
          <w:tcPr>
            <w:tcW w:w="0" w:type="dxa"/>
            <w:vAlign w:val="bottom"/>
          </w:tcPr>
          <w:p>
            <w:pPr>
              <w:spacing w:after="0"/>
              <w:rPr>
                <w:sz w:val="1"/>
                <w:szCs w:val="1"/>
                <w:color w:val="auto"/>
              </w:rPr>
            </w:pPr>
          </w:p>
        </w:tc>
      </w:tr>
      <w:tr>
        <w:trPr>
          <w:trHeight w:val="324"/>
        </w:trPr>
        <w:tc>
          <w:tcPr>
            <w:tcW w:w="340" w:type="dxa"/>
            <w:vAlign w:val="bottom"/>
            <w:tcBorders>
              <w:right w:val="single" w:sz="8" w:color="0072AF"/>
            </w:tcBorders>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60" w:type="dxa"/>
            <w:vAlign w:val="bottom"/>
            <w:gridSpan w:val="3"/>
          </w:tcPr>
          <w:p>
            <w:pPr>
              <w:jc w:val="center"/>
              <w:ind w:right="95"/>
              <w:spacing w:after="0"/>
              <w:rPr>
                <w:sz w:val="20"/>
                <w:szCs w:val="20"/>
                <w:color w:val="auto"/>
              </w:rPr>
            </w:pPr>
            <w:r>
              <w:rPr>
                <w:rFonts w:ascii="Arial" w:cs="Arial" w:eastAsia="Arial" w:hAnsi="Arial"/>
                <w:sz w:val="14"/>
                <w:szCs w:val="14"/>
                <w:color w:val="auto"/>
              </w:rPr>
              <w:t>Other NEOs (Average)</w:t>
            </w:r>
            <w:r>
              <w:rPr>
                <w:rFonts w:ascii="Arial" w:cs="Arial" w:eastAsia="Arial" w:hAnsi="Arial"/>
                <w:sz w:val="23"/>
                <w:szCs w:val="23"/>
                <w:color w:val="auto"/>
                <w:vertAlign w:val="superscript"/>
              </w:rPr>
              <w:t>(j)</w:t>
            </w: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40" w:type="dxa"/>
            <w:vAlign w:val="bottom"/>
            <w:tcBorders>
              <w:right w:val="single" w:sz="8" w:color="0072AF"/>
            </w:tcBorders>
            <w:shd w:val="clear" w:color="auto" w:fill="CBCEE0"/>
          </w:tcPr>
          <w:p>
            <w:pPr>
              <w:jc w:val="center"/>
              <w:spacing w:after="0"/>
              <w:rPr>
                <w:sz w:val="20"/>
                <w:szCs w:val="20"/>
                <w:color w:val="auto"/>
              </w:rPr>
            </w:pPr>
            <w:r>
              <w:rPr>
                <w:rFonts w:ascii="Arial" w:cs="Arial" w:eastAsia="Arial" w:hAnsi="Arial"/>
                <w:sz w:val="14"/>
                <w:szCs w:val="14"/>
                <w:color w:val="auto"/>
              </w:rPr>
              <w:t>2023</w:t>
            </w:r>
          </w:p>
        </w:tc>
        <w:tc>
          <w:tcPr>
            <w:tcW w:w="88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1,808,904</w:t>
            </w:r>
          </w:p>
        </w:tc>
        <w:tc>
          <w:tcPr>
            <w:tcW w:w="88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5,831</w:t>
            </w:r>
          </w:p>
        </w:tc>
        <w:tc>
          <w:tcPr>
            <w:tcW w:w="72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0</w:t>
            </w:r>
          </w:p>
        </w:tc>
        <w:tc>
          <w:tcPr>
            <w:tcW w:w="82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489,806</w:t>
            </w:r>
          </w:p>
        </w:tc>
        <w:tc>
          <w:tcPr>
            <w:tcW w:w="118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498,356</w:t>
            </w:r>
          </w:p>
        </w:tc>
        <w:tc>
          <w:tcPr>
            <w:tcW w:w="86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16,992</w:t>
            </w:r>
          </w:p>
        </w:tc>
        <w:tc>
          <w:tcPr>
            <w:tcW w:w="720" w:type="dxa"/>
            <w:vAlign w:val="bottom"/>
            <w:shd w:val="clear" w:color="auto" w:fill="CBCEE0"/>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shd w:val="clear" w:color="auto" w:fill="CBCEE0"/>
          </w:tcPr>
          <w:p>
            <w:pPr>
              <w:jc w:val="center"/>
              <w:spacing w:after="0"/>
              <w:rPr>
                <w:sz w:val="20"/>
                <w:szCs w:val="20"/>
                <w:color w:val="auto"/>
              </w:rPr>
            </w:pPr>
            <w:r>
              <w:rPr>
                <w:rFonts w:ascii="Arial" w:cs="Arial" w:eastAsia="Arial" w:hAnsi="Arial"/>
                <w:sz w:val="14"/>
                <w:szCs w:val="14"/>
                <w:color w:val="auto"/>
                <w:w w:val="97"/>
              </w:rPr>
              <w:t>11,411</w:t>
            </w:r>
          </w:p>
        </w:tc>
        <w:tc>
          <w:tcPr>
            <w:tcW w:w="102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w:t>
            </w:r>
          </w:p>
        </w:tc>
        <w:tc>
          <w:tcPr>
            <w:tcW w:w="940" w:type="dxa"/>
            <w:vAlign w:val="bottom"/>
            <w:shd w:val="clear" w:color="auto" w:fill="CBCEE0"/>
          </w:tcPr>
          <w:p>
            <w:pPr>
              <w:jc w:val="center"/>
              <w:spacing w:after="0"/>
              <w:rPr>
                <w:sz w:val="20"/>
                <w:szCs w:val="20"/>
                <w:color w:val="auto"/>
              </w:rPr>
            </w:pPr>
            <w:r>
              <w:rPr>
                <w:rFonts w:ascii="Arial" w:cs="Arial" w:eastAsia="Arial" w:hAnsi="Arial"/>
                <w:sz w:val="14"/>
                <w:szCs w:val="14"/>
                <w:color w:val="auto"/>
              </w:rPr>
              <w:t>1,840,026</w:t>
            </w:r>
          </w:p>
        </w:tc>
        <w:tc>
          <w:tcPr>
            <w:tcW w:w="0" w:type="dxa"/>
            <w:vAlign w:val="bottom"/>
          </w:tcPr>
          <w:p>
            <w:pPr>
              <w:spacing w:after="0"/>
              <w:rPr>
                <w:sz w:val="1"/>
                <w:szCs w:val="1"/>
                <w:color w:val="auto"/>
              </w:rPr>
            </w:pPr>
          </w:p>
        </w:tc>
      </w:tr>
      <w:tr>
        <w:trPr>
          <w:trHeight w:val="62"/>
        </w:trPr>
        <w:tc>
          <w:tcPr>
            <w:tcW w:w="340" w:type="dxa"/>
            <w:vAlign w:val="bottom"/>
            <w:tcBorders>
              <w:bottom w:val="single" w:sz="8" w:color="0072AF"/>
              <w:right w:val="single" w:sz="8" w:color="0072AF"/>
            </w:tcBorders>
            <w:shd w:val="clear" w:color="auto" w:fill="CBCEE0"/>
          </w:tcPr>
          <w:p>
            <w:pPr>
              <w:spacing w:after="0"/>
              <w:rPr>
                <w:sz w:val="5"/>
                <w:szCs w:val="5"/>
                <w:color w:val="auto"/>
              </w:rPr>
            </w:pPr>
          </w:p>
        </w:tc>
        <w:tc>
          <w:tcPr>
            <w:tcW w:w="880" w:type="dxa"/>
            <w:vAlign w:val="bottom"/>
            <w:tcBorders>
              <w:bottom w:val="single" w:sz="8" w:color="0072AF"/>
            </w:tcBorders>
            <w:shd w:val="clear" w:color="auto" w:fill="CBCEE0"/>
          </w:tcPr>
          <w:p>
            <w:pPr>
              <w:spacing w:after="0"/>
              <w:rPr>
                <w:sz w:val="5"/>
                <w:szCs w:val="5"/>
                <w:color w:val="auto"/>
              </w:rPr>
            </w:pPr>
          </w:p>
        </w:tc>
        <w:tc>
          <w:tcPr>
            <w:tcW w:w="880" w:type="dxa"/>
            <w:vAlign w:val="bottom"/>
            <w:tcBorders>
              <w:bottom w:val="single" w:sz="8" w:color="0072AF"/>
            </w:tcBorders>
            <w:shd w:val="clear" w:color="auto" w:fill="CBCEE0"/>
          </w:tcPr>
          <w:p>
            <w:pPr>
              <w:spacing w:after="0"/>
              <w:rPr>
                <w:sz w:val="5"/>
                <w:szCs w:val="5"/>
                <w:color w:val="auto"/>
              </w:rPr>
            </w:pPr>
          </w:p>
        </w:tc>
        <w:tc>
          <w:tcPr>
            <w:tcW w:w="720" w:type="dxa"/>
            <w:vAlign w:val="bottom"/>
            <w:tcBorders>
              <w:bottom w:val="single" w:sz="8" w:color="0072AF"/>
            </w:tcBorders>
            <w:shd w:val="clear" w:color="auto" w:fill="CBCEE0"/>
          </w:tcPr>
          <w:p>
            <w:pPr>
              <w:spacing w:after="0"/>
              <w:rPr>
                <w:sz w:val="5"/>
                <w:szCs w:val="5"/>
                <w:color w:val="auto"/>
              </w:rPr>
            </w:pPr>
          </w:p>
        </w:tc>
        <w:tc>
          <w:tcPr>
            <w:tcW w:w="820" w:type="dxa"/>
            <w:vAlign w:val="bottom"/>
            <w:tcBorders>
              <w:bottom w:val="single" w:sz="8" w:color="0072AF"/>
            </w:tcBorders>
            <w:shd w:val="clear" w:color="auto" w:fill="CBCEE0"/>
          </w:tcPr>
          <w:p>
            <w:pPr>
              <w:spacing w:after="0"/>
              <w:rPr>
                <w:sz w:val="5"/>
                <w:szCs w:val="5"/>
                <w:color w:val="auto"/>
              </w:rPr>
            </w:pPr>
          </w:p>
        </w:tc>
        <w:tc>
          <w:tcPr>
            <w:tcW w:w="1180" w:type="dxa"/>
            <w:vAlign w:val="bottom"/>
            <w:tcBorders>
              <w:bottom w:val="single" w:sz="8" w:color="0072AF"/>
            </w:tcBorders>
            <w:shd w:val="clear" w:color="auto" w:fill="CBCEE0"/>
          </w:tcPr>
          <w:p>
            <w:pPr>
              <w:spacing w:after="0"/>
              <w:rPr>
                <w:sz w:val="5"/>
                <w:szCs w:val="5"/>
                <w:color w:val="auto"/>
              </w:rPr>
            </w:pPr>
          </w:p>
        </w:tc>
        <w:tc>
          <w:tcPr>
            <w:tcW w:w="860" w:type="dxa"/>
            <w:vAlign w:val="bottom"/>
            <w:tcBorders>
              <w:bottom w:val="single" w:sz="8" w:color="0072AF"/>
            </w:tcBorders>
            <w:shd w:val="clear" w:color="auto" w:fill="CBCEE0"/>
          </w:tcPr>
          <w:p>
            <w:pPr>
              <w:spacing w:after="0"/>
              <w:rPr>
                <w:sz w:val="5"/>
                <w:szCs w:val="5"/>
                <w:color w:val="auto"/>
              </w:rPr>
            </w:pPr>
          </w:p>
        </w:tc>
        <w:tc>
          <w:tcPr>
            <w:tcW w:w="720" w:type="dxa"/>
            <w:vAlign w:val="bottom"/>
            <w:tcBorders>
              <w:bottom w:val="single" w:sz="8" w:color="0072AF"/>
            </w:tcBorders>
            <w:shd w:val="clear" w:color="auto" w:fill="CBCEE0"/>
          </w:tcPr>
          <w:p>
            <w:pPr>
              <w:spacing w:after="0"/>
              <w:rPr>
                <w:sz w:val="5"/>
                <w:szCs w:val="5"/>
                <w:color w:val="auto"/>
              </w:rPr>
            </w:pPr>
          </w:p>
        </w:tc>
        <w:tc>
          <w:tcPr>
            <w:tcW w:w="1200" w:type="dxa"/>
            <w:vAlign w:val="bottom"/>
            <w:tcBorders>
              <w:bottom w:val="single" w:sz="8" w:color="0072AF"/>
            </w:tcBorders>
            <w:shd w:val="clear" w:color="auto" w:fill="CBCEE0"/>
          </w:tcPr>
          <w:p>
            <w:pPr>
              <w:spacing w:after="0"/>
              <w:rPr>
                <w:sz w:val="5"/>
                <w:szCs w:val="5"/>
                <w:color w:val="auto"/>
              </w:rPr>
            </w:pPr>
          </w:p>
        </w:tc>
        <w:tc>
          <w:tcPr>
            <w:tcW w:w="1020" w:type="dxa"/>
            <w:vAlign w:val="bottom"/>
            <w:tcBorders>
              <w:bottom w:val="single" w:sz="8" w:color="0072AF"/>
            </w:tcBorders>
            <w:shd w:val="clear" w:color="auto" w:fill="CBCEE0"/>
          </w:tcPr>
          <w:p>
            <w:pPr>
              <w:spacing w:after="0"/>
              <w:rPr>
                <w:sz w:val="5"/>
                <w:szCs w:val="5"/>
                <w:color w:val="auto"/>
              </w:rPr>
            </w:pPr>
          </w:p>
        </w:tc>
        <w:tc>
          <w:tcPr>
            <w:tcW w:w="940" w:type="dxa"/>
            <w:vAlign w:val="bottom"/>
            <w:tcBorders>
              <w:bottom w:val="single" w:sz="8" w:color="0072AF"/>
            </w:tcBorders>
            <w:shd w:val="clear" w:color="auto" w:fill="CBCEE0"/>
          </w:tcPr>
          <w:p>
            <w:pPr>
              <w:spacing w:after="0"/>
              <w:rPr>
                <w:sz w:val="5"/>
                <w:szCs w:val="5"/>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jc w:val="both"/>
        <w:ind w:left="340" w:right="400"/>
        <w:spacing w:after="0" w:line="225" w:lineRule="auto"/>
        <w:rPr>
          <w:sz w:val="20"/>
          <w:szCs w:val="20"/>
          <w:color w:val="auto"/>
        </w:rPr>
      </w:pPr>
      <w:r>
        <w:rPr>
          <w:rFonts w:ascii="Arial" w:cs="Arial" w:eastAsia="Arial" w:hAnsi="Arial"/>
          <w:sz w:val="14"/>
          <w:szCs w:val="14"/>
          <w:color w:val="auto"/>
        </w:rPr>
        <w:t>Represents Total Compensation as reported in the Summary Compensation Table for 2023. With respect to the other NEOs, amounts shown represent averages.</w:t>
      </w:r>
    </w:p>
    <w:p>
      <w:pPr>
        <w:spacing w:after="0" w:line="198" w:lineRule="auto"/>
        <w:rPr>
          <w:sz w:val="20"/>
          <w:szCs w:val="20"/>
          <w:color w:val="auto"/>
        </w:rPr>
      </w:pPr>
      <w:r>
        <w:rPr>
          <w:rFonts w:ascii="Arial" w:cs="Arial" w:eastAsia="Arial" w:hAnsi="Arial"/>
          <w:sz w:val="8"/>
          <w:szCs w:val="8"/>
          <w:color w:val="auto"/>
        </w:rPr>
        <w:t>(b)</w:t>
      </w:r>
    </w:p>
    <w:p>
      <w:pPr>
        <w:jc w:val="both"/>
        <w:ind w:left="340" w:right="400"/>
        <w:spacing w:after="0" w:line="225" w:lineRule="auto"/>
        <w:rPr>
          <w:sz w:val="20"/>
          <w:szCs w:val="20"/>
          <w:color w:val="auto"/>
        </w:rPr>
      </w:pPr>
      <w:r>
        <w:rPr>
          <w:rFonts w:ascii="Arial" w:cs="Arial" w:eastAsia="Arial" w:hAnsi="Arial"/>
          <w:sz w:val="14"/>
          <w:szCs w:val="14"/>
          <w:color w:val="auto"/>
        </w:rPr>
        <w:t>Represents the aggregate change in the actuarial present value of the accumulated benefits under all defined benefit and actuarial pension plans reported in the Summary Compensation Table for 2023.</w:t>
      </w:r>
    </w:p>
    <w:p>
      <w:pPr>
        <w:spacing w:after="0" w:line="198" w:lineRule="auto"/>
        <w:rPr>
          <w:sz w:val="20"/>
          <w:szCs w:val="20"/>
          <w:color w:val="auto"/>
        </w:rPr>
      </w:pPr>
      <w:r>
        <w:rPr>
          <w:rFonts w:ascii="Arial" w:cs="Arial" w:eastAsia="Arial" w:hAnsi="Arial"/>
          <w:sz w:val="8"/>
          <w:szCs w:val="8"/>
          <w:color w:val="auto"/>
        </w:rPr>
        <w:t>(c)</w:t>
      </w:r>
    </w:p>
    <w:p>
      <w:pPr>
        <w:jc w:val="both"/>
        <w:ind w:left="340" w:right="380"/>
        <w:spacing w:after="0" w:line="230" w:lineRule="auto"/>
        <w:rPr>
          <w:sz w:val="20"/>
          <w:szCs w:val="20"/>
          <w:color w:val="auto"/>
        </w:rPr>
      </w:pPr>
      <w:r>
        <w:rPr>
          <w:rFonts w:ascii="Arial" w:cs="Arial" w:eastAsia="Arial" w:hAnsi="Arial"/>
          <w:sz w:val="14"/>
          <w:szCs w:val="14"/>
          <w:color w:val="auto"/>
        </w:rPr>
        <w:t>Represents the sum of the actuarial present value of the benefits under all defined benefit and actuarial pension plans attributable to services rendered during 2023, calculated using the same methodology as used in the Company’s financial statements under generally accepted accounting principles.</w:t>
      </w:r>
    </w:p>
    <w:p>
      <w:pPr>
        <w:spacing w:after="0" w:line="201" w:lineRule="auto"/>
        <w:rPr>
          <w:sz w:val="20"/>
          <w:szCs w:val="20"/>
          <w:color w:val="auto"/>
        </w:rPr>
      </w:pPr>
      <w:r>
        <w:rPr>
          <w:rFonts w:ascii="Arial" w:cs="Arial" w:eastAsia="Arial" w:hAnsi="Arial"/>
          <w:sz w:val="8"/>
          <w:szCs w:val="8"/>
          <w:color w:val="auto"/>
        </w:rPr>
        <w:t>(d)</w:t>
      </w:r>
    </w:p>
    <w:p>
      <w:pPr>
        <w:jc w:val="both"/>
        <w:ind w:left="340" w:right="380"/>
        <w:spacing w:after="0" w:line="225" w:lineRule="auto"/>
        <w:rPr>
          <w:sz w:val="20"/>
          <w:szCs w:val="20"/>
          <w:color w:val="auto"/>
        </w:rPr>
      </w:pPr>
      <w:r>
        <w:rPr>
          <w:rFonts w:ascii="Arial" w:cs="Arial" w:eastAsia="Arial" w:hAnsi="Arial"/>
          <w:sz w:val="14"/>
          <w:szCs w:val="14"/>
          <w:color w:val="auto"/>
        </w:rPr>
        <w:t>Represents the grant date fair value of the stock option and stock awards granted during 2023, computed in accordance with the methodology used for financial reporting purposes.</w:t>
      </w:r>
    </w:p>
    <w:p>
      <w:pPr>
        <w:spacing w:after="0" w:line="198" w:lineRule="auto"/>
        <w:rPr>
          <w:sz w:val="20"/>
          <w:szCs w:val="20"/>
          <w:color w:val="auto"/>
        </w:rPr>
      </w:pPr>
      <w:r>
        <w:rPr>
          <w:rFonts w:ascii="Arial" w:cs="Arial" w:eastAsia="Arial" w:hAnsi="Arial"/>
          <w:sz w:val="8"/>
          <w:szCs w:val="8"/>
          <w:color w:val="auto"/>
        </w:rPr>
        <w:t>(e)</w:t>
      </w:r>
    </w:p>
    <w:p>
      <w:pPr>
        <w:jc w:val="both"/>
        <w:ind w:left="340" w:right="400"/>
        <w:spacing w:after="0" w:line="225" w:lineRule="auto"/>
        <w:rPr>
          <w:sz w:val="20"/>
          <w:szCs w:val="20"/>
          <w:color w:val="auto"/>
        </w:rPr>
      </w:pPr>
      <w:r>
        <w:rPr>
          <w:rFonts w:ascii="Arial" w:cs="Arial" w:eastAsia="Arial" w:hAnsi="Arial"/>
          <w:sz w:val="14"/>
          <w:szCs w:val="14"/>
          <w:color w:val="auto"/>
        </w:rPr>
        <w:t>Represents the fair value as of December 31, 2023 of the outstanding and unvested option awards and stock awards granted during 2023, using year-end stock price, and otherwise computed in accordance with the methodology used for financial reporting purposes.</w:t>
      </w:r>
    </w:p>
    <w:p>
      <w:pPr>
        <w:spacing w:after="0" w:line="198" w:lineRule="auto"/>
        <w:rPr>
          <w:sz w:val="20"/>
          <w:szCs w:val="20"/>
          <w:color w:val="auto"/>
        </w:rPr>
      </w:pPr>
      <w:r>
        <w:rPr>
          <w:rFonts w:ascii="Arial" w:cs="Arial" w:eastAsia="Arial" w:hAnsi="Arial"/>
          <w:sz w:val="8"/>
          <w:szCs w:val="8"/>
          <w:color w:val="auto"/>
        </w:rPr>
        <w:t>(f)</w:t>
      </w:r>
    </w:p>
    <w:p>
      <w:pPr>
        <w:jc w:val="both"/>
        <w:ind w:left="340" w:right="380"/>
        <w:spacing w:after="0" w:line="233" w:lineRule="auto"/>
        <w:rPr>
          <w:sz w:val="20"/>
          <w:szCs w:val="20"/>
          <w:color w:val="auto"/>
        </w:rPr>
      </w:pPr>
      <w:r>
        <w:rPr>
          <w:rFonts w:ascii="Arial" w:cs="Arial" w:eastAsia="Arial" w:hAnsi="Arial"/>
          <w:sz w:val="14"/>
          <w:szCs w:val="14"/>
          <w:color w:val="auto"/>
        </w:rPr>
        <w:t>Represents the change in fair value during 2023 of each option award and stock award that was granted in a prior fiscal year and that remained outstanding and unvested as of December 31, 2023, using year-end stock price, and otherwise computed in accordance with the methodology used for financial reporting purposes and, for awards subject to performance-based vesting conditions, based on the probable outcome of such performance-based vesting conditions as of December 31, 2023.</w:t>
      </w:r>
    </w:p>
    <w:p>
      <w:pPr>
        <w:spacing w:after="0" w:line="200" w:lineRule="auto"/>
        <w:rPr>
          <w:sz w:val="20"/>
          <w:szCs w:val="20"/>
          <w:color w:val="auto"/>
        </w:rPr>
      </w:pPr>
      <w:r>
        <w:rPr>
          <w:rFonts w:ascii="Arial" w:cs="Arial" w:eastAsia="Arial" w:hAnsi="Arial"/>
          <w:sz w:val="8"/>
          <w:szCs w:val="8"/>
          <w:color w:val="auto"/>
        </w:rPr>
        <w:t>(g)</w:t>
      </w:r>
    </w:p>
    <w:p>
      <w:pPr>
        <w:jc w:val="both"/>
        <w:ind w:left="340" w:right="400"/>
        <w:spacing w:after="0" w:line="225" w:lineRule="auto"/>
        <w:rPr>
          <w:sz w:val="20"/>
          <w:szCs w:val="20"/>
          <w:color w:val="auto"/>
        </w:rPr>
      </w:pPr>
      <w:r>
        <w:rPr>
          <w:rFonts w:ascii="Arial" w:cs="Arial" w:eastAsia="Arial" w:hAnsi="Arial"/>
          <w:sz w:val="14"/>
          <w:szCs w:val="14"/>
          <w:color w:val="auto"/>
        </w:rPr>
        <w:t>Represents the fair value at vesting of the option awards and stock awards that were granted and vested during 2023, computed in accordance with the methodology used for financial reporting purposes.</w:t>
      </w:r>
    </w:p>
    <w:p>
      <w:pPr>
        <w:spacing w:after="0" w:line="198" w:lineRule="auto"/>
        <w:rPr>
          <w:sz w:val="20"/>
          <w:szCs w:val="20"/>
          <w:color w:val="auto"/>
        </w:rPr>
      </w:pPr>
      <w:r>
        <w:rPr>
          <w:rFonts w:ascii="Arial" w:cs="Arial" w:eastAsia="Arial" w:hAnsi="Arial"/>
          <w:sz w:val="8"/>
          <w:szCs w:val="8"/>
          <w:color w:val="auto"/>
        </w:rPr>
        <w:t>(h)</w:t>
      </w:r>
    </w:p>
    <w:p>
      <w:pPr>
        <w:jc w:val="both"/>
        <w:ind w:left="340" w:right="380"/>
        <w:spacing w:after="0" w:line="230" w:lineRule="auto"/>
        <w:rPr>
          <w:sz w:val="20"/>
          <w:szCs w:val="20"/>
          <w:color w:val="auto"/>
        </w:rPr>
      </w:pPr>
      <w:r>
        <w:rPr>
          <w:rFonts w:ascii="Arial" w:cs="Arial" w:eastAsia="Arial" w:hAnsi="Arial"/>
          <w:sz w:val="14"/>
          <w:szCs w:val="14"/>
          <w:color w:val="auto"/>
        </w:rPr>
        <w:t>Represents the change in fair value, measured from the prior fiscal year-end to the vesting date, of each option award and stock award that was granted in a prior fiscal year and which vested during 2023, using the average of the high and low stock price on the vesting date for RSUs and PSUs, and otherwise computed in accordance with the methodology used for financial reporting purposes.</w:t>
      </w:r>
    </w:p>
    <w:p>
      <w:pPr>
        <w:spacing w:after="0" w:line="201" w:lineRule="auto"/>
        <w:rPr>
          <w:sz w:val="20"/>
          <w:szCs w:val="20"/>
          <w:color w:val="auto"/>
        </w:rPr>
      </w:pPr>
      <w:r>
        <w:rPr>
          <w:rFonts w:ascii="Arial" w:cs="Arial" w:eastAsia="Arial" w:hAnsi="Arial"/>
          <w:sz w:val="8"/>
          <w:szCs w:val="8"/>
          <w:color w:val="auto"/>
        </w:rPr>
        <w:t>(i)</w:t>
      </w:r>
    </w:p>
    <w:p>
      <w:pPr>
        <w:jc w:val="both"/>
        <w:ind w:left="340" w:right="380"/>
        <w:spacing w:after="0" w:line="230" w:lineRule="auto"/>
        <w:rPr>
          <w:sz w:val="20"/>
          <w:szCs w:val="20"/>
          <w:color w:val="auto"/>
        </w:rPr>
      </w:pPr>
      <w:r>
        <w:rPr>
          <w:rFonts w:ascii="Arial" w:cs="Arial" w:eastAsia="Arial" w:hAnsi="Arial"/>
          <w:sz w:val="14"/>
          <w:szCs w:val="14"/>
          <w:color w:val="auto"/>
        </w:rPr>
        <w:t>Represents the fair value as of the last day of the prior fiscal year of the option award and stock awards that were granted in a prior fiscal year and which failed to meet the applicable vesting conditions in 2023, using year-end stock price, and otherwise computed in accordance with the methodology used for financial reporting purposes.</w:t>
      </w:r>
    </w:p>
    <w:p>
      <w:pPr>
        <w:spacing w:after="0" w:line="201" w:lineRule="auto"/>
        <w:rPr>
          <w:sz w:val="20"/>
          <w:szCs w:val="20"/>
          <w:color w:val="auto"/>
        </w:rPr>
      </w:pPr>
      <w:r>
        <w:rPr>
          <w:rFonts w:ascii="Arial" w:cs="Arial" w:eastAsia="Arial" w:hAnsi="Arial"/>
          <w:sz w:val="8"/>
          <w:szCs w:val="8"/>
          <w:color w:val="auto"/>
        </w:rPr>
        <w:t>(j)</w:t>
      </w:r>
    </w:p>
    <w:p>
      <w:pPr>
        <w:ind w:left="340"/>
        <w:spacing w:after="0"/>
        <w:rPr>
          <w:sz w:val="20"/>
          <w:szCs w:val="20"/>
          <w:color w:val="auto"/>
        </w:rPr>
      </w:pPr>
      <w:r>
        <w:rPr>
          <w:rFonts w:ascii="Arial" w:cs="Arial" w:eastAsia="Arial" w:hAnsi="Arial"/>
          <w:sz w:val="14"/>
          <w:szCs w:val="14"/>
          <w:color w:val="auto"/>
        </w:rPr>
        <w:t>See footnote 1 above for the NEOs included in the average for 2023.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B5A89"/>
        </w:rPr>
        <w:t>Performance Measures Used to Link Company Performance and Compensation Actually Paid to the NEOs</w:t>
      </w:r>
    </w:p>
    <w:p>
      <w:pPr>
        <w:spacing w:after="0" w:line="115" w:lineRule="exact"/>
        <w:rPr>
          <w:sz w:val="20"/>
          <w:szCs w:val="20"/>
          <w:color w:val="auto"/>
        </w:rPr>
      </w:pPr>
    </w:p>
    <w:p>
      <w:pPr>
        <w:jc w:val="both"/>
        <w:ind w:right="380"/>
        <w:spacing w:after="0" w:line="247" w:lineRule="auto"/>
        <w:rPr>
          <w:sz w:val="20"/>
          <w:szCs w:val="20"/>
          <w:color w:val="auto"/>
        </w:rPr>
      </w:pPr>
      <w:r>
        <w:rPr>
          <w:rFonts w:ascii="Arial" w:cs="Arial" w:eastAsia="Arial" w:hAnsi="Arial"/>
          <w:sz w:val="18"/>
          <w:szCs w:val="18"/>
          <w:color w:val="auto"/>
        </w:rPr>
        <w:t xml:space="preserve">Below is a list of performance measures, which in the Company’s assessment represent the most important performance measures used by the Company to link compensation actually paid to the NEOs for 2023. Please see the </w:t>
      </w:r>
      <w:r>
        <w:rPr>
          <w:rFonts w:ascii="Arial" w:cs="Arial" w:eastAsia="Arial" w:hAnsi="Arial"/>
          <w:sz w:val="18"/>
          <w:szCs w:val="18"/>
          <w:color w:val="0072AF"/>
        </w:rPr>
        <w:t>CD&amp;A</w:t>
      </w:r>
      <w:r>
        <w:rPr>
          <w:rFonts w:ascii="Arial" w:cs="Arial" w:eastAsia="Arial" w:hAnsi="Arial"/>
          <w:sz w:val="18"/>
          <w:szCs w:val="18"/>
          <w:color w:val="auto"/>
        </w:rPr>
        <w:t xml:space="preserve"> for further information regarding how each of these measures is used in the Company’s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-160020</wp:posOffset>
            </wp:positionV>
            <wp:extent cx="3175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100" w:lineRule="exact"/>
        <w:rPr>
          <w:sz w:val="20"/>
          <w:szCs w:val="20"/>
          <w:color w:val="auto"/>
        </w:rPr>
      </w:pPr>
    </w:p>
    <w:p>
      <w:pPr>
        <w:ind w:left="420" w:hanging="210"/>
        <w:spacing w:after="0"/>
        <w:tabs>
          <w:tab w:leader="none" w:pos="420" w:val="left"/>
        </w:tabs>
        <w:numPr>
          <w:ilvl w:val="0"/>
          <w:numId w:val="84"/>
        </w:numPr>
        <w:rPr>
          <w:rFonts w:ascii="Arial" w:cs="Arial" w:eastAsia="Arial" w:hAnsi="Arial"/>
          <w:sz w:val="18"/>
          <w:szCs w:val="18"/>
          <w:color w:val="0072AF"/>
        </w:rPr>
      </w:pPr>
      <w:r>
        <w:rPr>
          <w:rFonts w:ascii="Arial" w:cs="Arial" w:eastAsia="Arial" w:hAnsi="Arial"/>
          <w:sz w:val="18"/>
          <w:szCs w:val="18"/>
          <w:color w:val="auto"/>
        </w:rPr>
        <w:t>Adjusted EBIT</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84"/>
        </w:numPr>
        <w:rPr>
          <w:rFonts w:ascii="Arial" w:cs="Arial" w:eastAsia="Arial" w:hAnsi="Arial"/>
          <w:sz w:val="18"/>
          <w:szCs w:val="18"/>
          <w:color w:val="0072AF"/>
        </w:rPr>
      </w:pPr>
      <w:r>
        <w:rPr>
          <w:rFonts w:ascii="Arial" w:cs="Arial" w:eastAsia="Arial" w:hAnsi="Arial"/>
          <w:sz w:val="18"/>
          <w:szCs w:val="18"/>
          <w:color w:val="auto"/>
        </w:rPr>
        <w:t>Adjusted EPS</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84"/>
        </w:numPr>
        <w:rPr>
          <w:rFonts w:ascii="Arial" w:cs="Arial" w:eastAsia="Arial" w:hAnsi="Arial"/>
          <w:sz w:val="18"/>
          <w:szCs w:val="18"/>
          <w:color w:val="0072AF"/>
        </w:rPr>
      </w:pPr>
      <w:r>
        <w:rPr>
          <w:rFonts w:ascii="Arial" w:cs="Arial" w:eastAsia="Arial" w:hAnsi="Arial"/>
          <w:sz w:val="18"/>
          <w:szCs w:val="18"/>
          <w:color w:val="auto"/>
        </w:rPr>
        <w:t>Adjusted FCF</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84"/>
        </w:numPr>
        <w:rPr>
          <w:rFonts w:ascii="Arial" w:cs="Arial" w:eastAsia="Arial" w:hAnsi="Arial"/>
          <w:sz w:val="18"/>
          <w:szCs w:val="18"/>
          <w:color w:val="0072AF"/>
        </w:rPr>
      </w:pPr>
      <w:r>
        <w:rPr>
          <w:rFonts w:ascii="Arial" w:cs="Arial" w:eastAsia="Arial" w:hAnsi="Arial"/>
          <w:sz w:val="18"/>
          <w:szCs w:val="18"/>
          <w:color w:val="auto"/>
        </w:rPr>
        <w:t>Revenue Growth</w:t>
      </w:r>
    </w:p>
    <w:p>
      <w:pPr>
        <w:spacing w:after="0" w:line="49" w:lineRule="exact"/>
        <w:rPr>
          <w:rFonts w:ascii="Arial" w:cs="Arial" w:eastAsia="Arial" w:hAnsi="Arial"/>
          <w:sz w:val="18"/>
          <w:szCs w:val="18"/>
          <w:color w:val="0072AF"/>
        </w:rPr>
      </w:pPr>
    </w:p>
    <w:p>
      <w:pPr>
        <w:ind w:left="420" w:hanging="210"/>
        <w:spacing w:after="0"/>
        <w:tabs>
          <w:tab w:leader="none" w:pos="420" w:val="left"/>
        </w:tabs>
        <w:numPr>
          <w:ilvl w:val="0"/>
          <w:numId w:val="84"/>
        </w:numPr>
        <w:rPr>
          <w:rFonts w:ascii="Arial" w:cs="Arial" w:eastAsia="Arial" w:hAnsi="Arial"/>
          <w:sz w:val="18"/>
          <w:szCs w:val="18"/>
          <w:color w:val="0072AF"/>
        </w:rPr>
      </w:pPr>
      <w:r>
        <w:rPr>
          <w:rFonts w:ascii="Arial" w:cs="Arial" w:eastAsia="Arial" w:hAnsi="Arial"/>
          <w:sz w:val="18"/>
          <w:szCs w:val="18"/>
          <w:color w:val="auto"/>
        </w:rPr>
        <w:t>Stock Price</w:t>
      </w:r>
    </w:p>
    <w:p>
      <w:pPr>
        <w:spacing w:after="0" w:line="21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128905</wp:posOffset>
            </wp:positionV>
            <wp:extent cx="699516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0"/>
          </w:cols>
          <w:pgMar w:left="1360" w:top="114" w:right="9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EXECUTIVE COMPENSATION TABLES AND RELATED NARRATIVE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0072AF"/>
        </w:rPr>
        <w:t>Relationship Between Pay and Performance</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believe the compensation actually paid in each of the years reported above and over the four-year cumulative period are reflective of the Committee’s emphasis on “pay-for-performance” as the compensation actually paid fluctuated year-over-year, primarily due to the result of our stock performance and our varying levels of achievement against pre-established performance goals under the annual incentive pool, including our Adjusted EBIT performance. The CD&amp;A describes in greater detail the Committee’s emphasis on “pay-for-performance” and how our executive compensation program is designed to link executive compensation with the achievement of our financial objectives as well as stockholder value creation.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graphs illustrate the relationship between pay and performance.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B5A89"/>
        </w:rPr>
        <w:t>Pay vs.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179070</wp:posOffset>
            </wp:positionV>
            <wp:extent cx="5520690" cy="29146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52069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128905</wp:posOffset>
            </wp:positionV>
            <wp:extent cx="699516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EXECUTIVE COMPENSATION TABLES AND RELATED NARRATIVE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i w:val="1"/>
          <w:iCs w:val="1"/>
          <w:color w:val="4B5A89"/>
        </w:rPr>
        <w:t>Pay vs. Adjusted EBIT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179070</wp:posOffset>
            </wp:positionV>
            <wp:extent cx="5589270" cy="27343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58927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i w:val="1"/>
          <w:iCs w:val="1"/>
          <w:color w:val="4B5A89"/>
        </w:rPr>
        <w:t>Pay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179070</wp:posOffset>
            </wp:positionV>
            <wp:extent cx="5657850" cy="266573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65785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*Note: Refer to the Company’s 2023 Form 10-K and 2020 Annual Report regarding Goodwill Impairment Charges.</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128905</wp:posOffset>
            </wp:positionV>
            <wp:extent cx="699516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99"/>
          </w:cols>
          <w:pgMar w:left="1360" w:top="114"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NON-GAAP MEASURES AND RECONCILIATION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32"/>
          <w:szCs w:val="32"/>
          <w:b w:val="1"/>
          <w:bCs w:val="1"/>
          <w:color w:val="4B5A89"/>
        </w:rPr>
        <w:t>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58293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financial results are reported in accordance with generally accepted accounting principles (GAAP); however, in setting and measuring compensation targets, we use certain non-GAAP measures, such as adjusted Revenue Growth, Adjusted Earnings Before Interest and Taxes (Adjusted EBIT), Adjusted Margin, Adjusted Earnings Per Share (Adjusted EPS) and Adjusted Free Cash Flow (Adjusted FCF).</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Adjusted EBIT, Adjusted Margin and Adjusted EPS exclude the impact of items like goodwill impairment charges, restructuring charges, gains and losses on debt extinguishment and other unusual or one-time items. Such items are often inconsistent in amount and frequency and as such, we believe the non-GAAP measures provide investors greater insight into the underlying operating trends of the business.</w:t>
      </w:r>
    </w:p>
    <w:p>
      <w:pPr>
        <w:spacing w:after="0" w:line="147"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To provide investors a better understanding of underlying revenue performance, revenue growth is presented on a comparable basis that excludes the impacts of changes in foreign currency exchange rates, the divestiture of the Borderfree business effective July 1, 2022 and the impact of a change in presentation for certain revenues in the fourth quarter of 2022 from a gross basis to a net basis due to an adjustment in the terms of one of our contracts.</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Free Cash Flow adjusts cash flows from operations calculated in accordance with GAAP for capital expenditures, restructuring payments and other special items. Adjusted Free Cash Flow excludes from Free Cash Flow changes in finance receivables. We believe Free Cash Flow and Adjusted Free Cash Flow provides investors insight into the amount of cash that management could have available for other discretionary uses.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Non-GAAP measures should not be construed as an alternative to our reported results determined in accordance with GAAP. Further, our definitions of these non-GAAP measures may differ from similarly titled measures used by other companies.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128905</wp:posOffset>
            </wp:positionV>
            <wp:extent cx="699516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NON-GAAP MEASURES AND RECONCILIATION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0072AF"/>
        </w:rPr>
        <w:t>Pitney Bowes Inc.</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0072AF"/>
        </w:rPr>
        <w:t>Reconciliation of Reported Consolidated Results to Adjusted Measures</w:t>
      </w:r>
    </w:p>
    <w:p>
      <w:pPr>
        <w:jc w:val="center"/>
        <w:spacing w:after="0"/>
        <w:rPr>
          <w:sz w:val="20"/>
          <w:szCs w:val="20"/>
          <w:color w:val="auto"/>
        </w:rPr>
      </w:pPr>
      <w:r>
        <w:rPr>
          <w:rFonts w:ascii="Arial" w:cs="Arial" w:eastAsia="Arial" w:hAnsi="Arial"/>
          <w:sz w:val="18"/>
          <w:szCs w:val="18"/>
          <w:b w:val="1"/>
          <w:bCs w:val="1"/>
          <w:color w:val="0072AF"/>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00" w:type="dxa"/>
            <w:vAlign w:val="bottom"/>
            <w:gridSpan w:val="2"/>
          </w:tcPr>
          <w:p>
            <w:pPr>
              <w:spacing w:after="0"/>
              <w:rPr>
                <w:sz w:val="20"/>
                <w:szCs w:val="20"/>
                <w:color w:val="auto"/>
              </w:rPr>
            </w:pPr>
            <w:r>
              <w:rPr>
                <w:rFonts w:ascii="Arial" w:cs="Arial" w:eastAsia="Arial" w:hAnsi="Arial"/>
                <w:sz w:val="14"/>
                <w:szCs w:val="14"/>
                <w:color w:val="auto"/>
              </w:rPr>
              <w:t>(Dollars in thousands, except per share data)</w:t>
            </w:r>
          </w:p>
        </w:tc>
        <w:tc>
          <w:tcPr>
            <w:tcW w:w="260" w:type="dxa"/>
            <w:vAlign w:val="bottom"/>
          </w:tcPr>
          <w:p>
            <w:pPr>
              <w:spacing w:after="0"/>
              <w:rPr>
                <w:sz w:val="17"/>
                <w:szCs w:val="17"/>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56"/>
        </w:trPr>
        <w:tc>
          <w:tcPr>
            <w:tcW w:w="8300" w:type="dxa"/>
            <w:vAlign w:val="bottom"/>
            <w:gridSpan w:val="2"/>
          </w:tcPr>
          <w:p>
            <w:pPr>
              <w:spacing w:after="0"/>
              <w:rPr>
                <w:sz w:val="4"/>
                <w:szCs w:val="4"/>
                <w:color w:val="auto"/>
              </w:rPr>
            </w:pPr>
          </w:p>
        </w:tc>
        <w:tc>
          <w:tcPr>
            <w:tcW w:w="260" w:type="dxa"/>
            <w:vAlign w:val="bottom"/>
            <w:tcBorders>
              <w:bottom w:val="single" w:sz="8" w:color="0072AF"/>
            </w:tcBorders>
          </w:tcPr>
          <w:p>
            <w:pPr>
              <w:spacing w:after="0"/>
              <w:rPr>
                <w:sz w:val="4"/>
                <w:szCs w:val="4"/>
                <w:color w:val="auto"/>
              </w:rPr>
            </w:pPr>
          </w:p>
        </w:tc>
        <w:tc>
          <w:tcPr>
            <w:tcW w:w="140" w:type="dxa"/>
            <w:vAlign w:val="bottom"/>
            <w:tcBorders>
              <w:bottom w:val="single" w:sz="8" w:color="0072AF"/>
            </w:tcBorders>
          </w:tcPr>
          <w:p>
            <w:pPr>
              <w:spacing w:after="0"/>
              <w:rPr>
                <w:sz w:val="4"/>
                <w:szCs w:val="4"/>
                <w:color w:val="auto"/>
              </w:rPr>
            </w:pPr>
          </w:p>
        </w:tc>
        <w:tc>
          <w:tcPr>
            <w:tcW w:w="480" w:type="dxa"/>
            <w:vAlign w:val="bottom"/>
            <w:tcBorders>
              <w:bottom w:val="single" w:sz="8" w:color="0072AF"/>
            </w:tcBorders>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8300" w:type="dxa"/>
            <w:vAlign w:val="bottom"/>
            <w:gridSpan w:val="2"/>
          </w:tcPr>
          <w:p>
            <w:pPr>
              <w:spacing w:after="0"/>
              <w:rPr>
                <w:sz w:val="20"/>
                <w:szCs w:val="20"/>
                <w:color w:val="auto"/>
              </w:rPr>
            </w:pPr>
            <w:r>
              <w:rPr>
                <w:rFonts w:ascii="Arial" w:cs="Arial" w:eastAsia="Arial" w:hAnsi="Arial"/>
                <w:sz w:val="14"/>
                <w:szCs w:val="14"/>
                <w:b w:val="1"/>
                <w:bCs w:val="1"/>
                <w:color w:val="auto"/>
              </w:rPr>
              <w:t>GAAP diluted loss per share</w:t>
            </w: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 xml:space="preserve">$   </w:t>
            </w:r>
          </w:p>
        </w:tc>
        <w:tc>
          <w:tcPr>
            <w:tcW w:w="140" w:type="dxa"/>
            <w:vAlign w:val="bottom"/>
          </w:tcPr>
          <w:p>
            <w:pPr>
              <w:ind w:left="100"/>
              <w:spacing w:after="0"/>
              <w:rPr>
                <w:sz w:val="20"/>
                <w:szCs w:val="20"/>
                <w:color w:val="auto"/>
              </w:rPr>
            </w:pPr>
            <w:r>
              <w:rPr>
                <w:rFonts w:ascii="Arial" w:cs="Arial" w:eastAsia="Arial" w:hAnsi="Arial"/>
                <w:sz w:val="2"/>
                <w:szCs w:val="2"/>
                <w:b w:val="1"/>
                <w:bCs w:val="1"/>
                <w:color w:val="auto"/>
                <w:w w:val="97"/>
              </w:rPr>
              <w:t> </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(2.20)</w:t>
            </w:r>
          </w:p>
        </w:tc>
        <w:tc>
          <w:tcPr>
            <w:tcW w:w="0" w:type="dxa"/>
            <w:vAlign w:val="bottom"/>
          </w:tcPr>
          <w:p>
            <w:pPr>
              <w:spacing w:after="0"/>
              <w:rPr>
                <w:sz w:val="1"/>
                <w:szCs w:val="1"/>
                <w:color w:val="auto"/>
              </w:rPr>
            </w:pPr>
          </w:p>
        </w:tc>
      </w:tr>
      <w:tr>
        <w:trPr>
          <w:trHeight w:val="291"/>
        </w:trPr>
        <w:tc>
          <w:tcPr>
            <w:tcW w:w="8300" w:type="dxa"/>
            <w:vAlign w:val="bottom"/>
            <w:gridSpan w:val="2"/>
          </w:tcPr>
          <w:p>
            <w:pPr>
              <w:spacing w:after="0"/>
              <w:rPr>
                <w:sz w:val="20"/>
                <w:szCs w:val="20"/>
                <w:color w:val="auto"/>
              </w:rPr>
            </w:pPr>
            <w:r>
              <w:rPr>
                <w:rFonts w:ascii="Arial" w:cs="Arial" w:eastAsia="Arial" w:hAnsi="Arial"/>
                <w:sz w:val="14"/>
                <w:szCs w:val="14"/>
                <w:color w:val="auto"/>
              </w:rPr>
              <w:t>Restructuring charges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297"/>
        </w:trPr>
        <w:tc>
          <w:tcPr>
            <w:tcW w:w="8300" w:type="dxa"/>
            <w:vAlign w:val="bottom"/>
            <w:gridSpan w:val="2"/>
          </w:tcPr>
          <w:p>
            <w:pPr>
              <w:spacing w:after="0"/>
              <w:rPr>
                <w:sz w:val="20"/>
                <w:szCs w:val="20"/>
                <w:color w:val="auto"/>
              </w:rPr>
            </w:pPr>
            <w:r>
              <w:rPr>
                <w:rFonts w:ascii="Arial" w:cs="Arial" w:eastAsia="Arial" w:hAnsi="Arial"/>
                <w:sz w:val="14"/>
                <w:szCs w:val="14"/>
                <w:color w:val="auto"/>
              </w:rPr>
              <w:t>Goodwill impairment</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97"/>
        </w:trPr>
        <w:tc>
          <w:tcPr>
            <w:tcW w:w="8300" w:type="dxa"/>
            <w:vAlign w:val="bottom"/>
            <w:gridSpan w:val="2"/>
          </w:tcPr>
          <w:p>
            <w:pPr>
              <w:spacing w:after="0"/>
              <w:rPr>
                <w:sz w:val="20"/>
                <w:szCs w:val="20"/>
                <w:color w:val="auto"/>
              </w:rPr>
            </w:pPr>
            <w:r>
              <w:rPr>
                <w:rFonts w:ascii="Arial" w:cs="Arial" w:eastAsia="Arial" w:hAnsi="Arial"/>
                <w:sz w:val="14"/>
                <w:szCs w:val="14"/>
                <w:color w:val="auto"/>
              </w:rPr>
              <w:t>Proxy solicitation fees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97"/>
        </w:trPr>
        <w:tc>
          <w:tcPr>
            <w:tcW w:w="8300" w:type="dxa"/>
            <w:vAlign w:val="bottom"/>
            <w:gridSpan w:val="2"/>
          </w:tcPr>
          <w:p>
            <w:pPr>
              <w:spacing w:after="0"/>
              <w:rPr>
                <w:sz w:val="20"/>
                <w:szCs w:val="20"/>
                <w:color w:val="auto"/>
              </w:rPr>
            </w:pPr>
            <w:r>
              <w:rPr>
                <w:rFonts w:ascii="Arial" w:cs="Arial" w:eastAsia="Arial" w:hAnsi="Arial"/>
                <w:sz w:val="14"/>
                <w:szCs w:val="14"/>
                <w:color w:val="auto"/>
              </w:rPr>
              <w:t>Gain on debt redemption</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97"/>
        </w:trPr>
        <w:tc>
          <w:tcPr>
            <w:tcW w:w="8300" w:type="dxa"/>
            <w:vAlign w:val="bottom"/>
            <w:gridSpan w:val="2"/>
          </w:tcPr>
          <w:p>
            <w:pPr>
              <w:spacing w:after="0"/>
              <w:rPr>
                <w:sz w:val="20"/>
                <w:szCs w:val="20"/>
                <w:color w:val="auto"/>
              </w:rPr>
            </w:pPr>
            <w:r>
              <w:rPr>
                <w:rFonts w:ascii="Arial" w:cs="Arial" w:eastAsia="Arial" w:hAnsi="Arial"/>
                <w:sz w:val="14"/>
                <w:szCs w:val="14"/>
                <w:color w:val="auto"/>
              </w:rPr>
              <w:t>Foreign currency loss on intercompany loans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62"/>
        </w:trPr>
        <w:tc>
          <w:tcPr>
            <w:tcW w:w="8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Adjusted diluted earnings per share</w:t>
            </w:r>
            <w:r>
              <w:rPr>
                <w:rFonts w:ascii="Arial" w:cs="Arial" w:eastAsia="Arial" w:hAnsi="Arial"/>
                <w:sz w:val="23"/>
                <w:szCs w:val="23"/>
                <w:b w:val="1"/>
                <w:bCs w:val="1"/>
                <w:color w:val="auto"/>
                <w:vertAlign w:val="superscript"/>
              </w:rPr>
              <w:t>(1)</w:t>
            </w:r>
          </w:p>
        </w:tc>
        <w:tc>
          <w:tcPr>
            <w:tcW w:w="260" w:type="dxa"/>
            <w:vAlign w:val="bottom"/>
            <w:tcBorders>
              <w:bottom w:val="single" w:sz="8" w:color="0072AF"/>
            </w:tcBorders>
          </w:tcPr>
          <w:p>
            <w:pPr>
              <w:spacing w:after="0"/>
              <w:rPr>
                <w:sz w:val="5"/>
                <w:szCs w:val="5"/>
                <w:color w:val="auto"/>
              </w:rPr>
            </w:pPr>
          </w:p>
        </w:tc>
        <w:tc>
          <w:tcPr>
            <w:tcW w:w="140" w:type="dxa"/>
            <w:vAlign w:val="bottom"/>
            <w:tcBorders>
              <w:bottom w:val="single" w:sz="8" w:color="0072AF"/>
            </w:tcBorders>
          </w:tcPr>
          <w:p>
            <w:pPr>
              <w:spacing w:after="0"/>
              <w:rPr>
                <w:sz w:val="5"/>
                <w:szCs w:val="5"/>
                <w:color w:val="auto"/>
              </w:rPr>
            </w:pPr>
          </w:p>
        </w:tc>
        <w:tc>
          <w:tcPr>
            <w:tcW w:w="480" w:type="dxa"/>
            <w:vAlign w:val="bottom"/>
            <w:tcBorders>
              <w:bottom w:val="single" w:sz="8" w:color="0072AF"/>
            </w:tcBorders>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8300" w:type="dxa"/>
            <w:vAlign w:val="bottom"/>
            <w:gridSpan w:val="2"/>
            <w:vMerge w:val="continue"/>
          </w:tcPr>
          <w:p>
            <w:pPr>
              <w:spacing w:after="0"/>
              <w:rPr>
                <w:sz w:val="24"/>
                <w:szCs w:val="24"/>
                <w:color w:val="auto"/>
              </w:rPr>
            </w:pPr>
          </w:p>
        </w:tc>
        <w:tc>
          <w:tcPr>
            <w:tcW w:w="260" w:type="dxa"/>
            <w:vAlign w:val="bottom"/>
            <w:tcBorders>
              <w:bottom w:val="single" w:sz="8" w:color="0072AF"/>
            </w:tcBorders>
          </w:tcPr>
          <w:p>
            <w:pPr>
              <w:ind w:left="60"/>
              <w:spacing w:after="0"/>
              <w:rPr>
                <w:sz w:val="20"/>
                <w:szCs w:val="20"/>
                <w:color w:val="auto"/>
              </w:rPr>
            </w:pPr>
            <w:r>
              <w:rPr>
                <w:rFonts w:ascii="Arial" w:cs="Arial" w:eastAsia="Arial" w:hAnsi="Arial"/>
                <w:sz w:val="14"/>
                <w:szCs w:val="14"/>
                <w:b w:val="1"/>
                <w:bCs w:val="1"/>
                <w:color w:val="auto"/>
              </w:rPr>
              <w:t xml:space="preserve">$ </w:t>
            </w:r>
          </w:p>
        </w:tc>
        <w:tc>
          <w:tcPr>
            <w:tcW w:w="140" w:type="dxa"/>
            <w:vAlign w:val="bottom"/>
            <w:tcBorders>
              <w:bottom w:val="single" w:sz="8" w:color="0072AF"/>
            </w:tcBorders>
          </w:tcPr>
          <w:p>
            <w:pPr>
              <w:ind w:left="40"/>
              <w:spacing w:after="0"/>
              <w:rPr>
                <w:sz w:val="20"/>
                <w:szCs w:val="20"/>
                <w:color w:val="auto"/>
              </w:rPr>
            </w:pPr>
            <w:r>
              <w:rPr>
                <w:rFonts w:ascii="Arial" w:cs="Arial" w:eastAsia="Arial" w:hAnsi="Arial"/>
                <w:sz w:val="11"/>
                <w:szCs w:val="11"/>
                <w:b w:val="1"/>
                <w:bCs w:val="1"/>
                <w:color w:val="auto"/>
                <w:w w:val="72"/>
              </w:rPr>
              <w:t> </w:t>
            </w:r>
          </w:p>
        </w:tc>
        <w:tc>
          <w:tcPr>
            <w:tcW w:w="480" w:type="dxa"/>
            <w:vAlign w:val="bottom"/>
            <w:tcBorders>
              <w:bottom w:val="single" w:sz="8" w:color="0072AF"/>
            </w:tcBorders>
          </w:tcPr>
          <w:p>
            <w:pPr>
              <w:jc w:val="right"/>
              <w:spacing w:after="0"/>
              <w:rPr>
                <w:sz w:val="20"/>
                <w:szCs w:val="20"/>
                <w:color w:val="auto"/>
              </w:rPr>
            </w:pPr>
            <w:r>
              <w:rPr>
                <w:rFonts w:ascii="Arial" w:cs="Arial" w:eastAsia="Arial" w:hAnsi="Arial"/>
                <w:sz w:val="14"/>
                <w:szCs w:val="14"/>
                <w:b w:val="1"/>
                <w:bCs w:val="1"/>
                <w:color w:val="auto"/>
                <w:w w:val="98"/>
              </w:rPr>
              <w:t>    0.04</w:t>
            </w:r>
          </w:p>
        </w:tc>
        <w:tc>
          <w:tcPr>
            <w:tcW w:w="0" w:type="dxa"/>
            <w:vAlign w:val="bottom"/>
          </w:tcPr>
          <w:p>
            <w:pPr>
              <w:spacing w:after="0"/>
              <w:rPr>
                <w:sz w:val="1"/>
                <w:szCs w:val="1"/>
                <w:color w:val="auto"/>
              </w:rPr>
            </w:pPr>
          </w:p>
        </w:tc>
      </w:tr>
      <w:tr>
        <w:trPr>
          <w:trHeight w:val="437"/>
        </w:trPr>
        <w:tc>
          <w:tcPr>
            <w:tcW w:w="8300" w:type="dxa"/>
            <w:vAlign w:val="bottom"/>
            <w:gridSpan w:val="2"/>
          </w:tcPr>
          <w:p>
            <w:pPr>
              <w:spacing w:after="0"/>
              <w:rPr>
                <w:sz w:val="20"/>
                <w:szCs w:val="20"/>
                <w:color w:val="auto"/>
              </w:rPr>
            </w:pPr>
            <w:r>
              <w:rPr>
                <w:rFonts w:ascii="Arial" w:cs="Arial" w:eastAsia="Arial" w:hAnsi="Arial"/>
                <w:sz w:val="14"/>
                <w:szCs w:val="14"/>
                <w:b w:val="1"/>
                <w:bCs w:val="1"/>
                <w:color w:val="auto"/>
              </w:rPr>
              <w:t>GAAP net cash provided by operating activities</w:t>
            </w: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 xml:space="preserve">$ </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    79,468</w:t>
            </w:r>
          </w:p>
        </w:tc>
        <w:tc>
          <w:tcPr>
            <w:tcW w:w="0" w:type="dxa"/>
            <w:vAlign w:val="bottom"/>
          </w:tcPr>
          <w:p>
            <w:pPr>
              <w:spacing w:after="0"/>
              <w:rPr>
                <w:sz w:val="1"/>
                <w:szCs w:val="1"/>
                <w:color w:val="auto"/>
              </w:rPr>
            </w:pPr>
          </w:p>
        </w:tc>
      </w:tr>
      <w:tr>
        <w:trPr>
          <w:trHeight w:val="291"/>
        </w:trPr>
        <w:tc>
          <w:tcPr>
            <w:tcW w:w="8300" w:type="dxa"/>
            <w:vAlign w:val="bottom"/>
            <w:gridSpan w:val="2"/>
          </w:tcPr>
          <w:p>
            <w:pPr>
              <w:spacing w:after="0"/>
              <w:rPr>
                <w:sz w:val="20"/>
                <w:szCs w:val="20"/>
                <w:color w:val="auto"/>
              </w:rPr>
            </w:pPr>
            <w:r>
              <w:rPr>
                <w:rFonts w:ascii="Arial" w:cs="Arial" w:eastAsia="Arial" w:hAnsi="Arial"/>
                <w:sz w:val="14"/>
                <w:szCs w:val="14"/>
                <w:color w:val="auto"/>
              </w:rPr>
              <w:t>Capital expenditures</w:t>
            </w:r>
          </w:p>
        </w:tc>
        <w:tc>
          <w:tcPr>
            <w:tcW w:w="2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(102,878)</w:t>
            </w:r>
          </w:p>
        </w:tc>
        <w:tc>
          <w:tcPr>
            <w:tcW w:w="0" w:type="dxa"/>
            <w:vAlign w:val="bottom"/>
          </w:tcPr>
          <w:p>
            <w:pPr>
              <w:spacing w:after="0"/>
              <w:rPr>
                <w:sz w:val="1"/>
                <w:szCs w:val="1"/>
                <w:color w:val="auto"/>
              </w:rPr>
            </w:pPr>
          </w:p>
        </w:tc>
      </w:tr>
      <w:tr>
        <w:trPr>
          <w:trHeight w:val="297"/>
        </w:trPr>
        <w:tc>
          <w:tcPr>
            <w:tcW w:w="8300" w:type="dxa"/>
            <w:vAlign w:val="bottom"/>
            <w:gridSpan w:val="2"/>
          </w:tcPr>
          <w:p>
            <w:pPr>
              <w:spacing w:after="0"/>
              <w:rPr>
                <w:sz w:val="20"/>
                <w:szCs w:val="20"/>
                <w:color w:val="auto"/>
              </w:rPr>
            </w:pPr>
            <w:r>
              <w:rPr>
                <w:rFonts w:ascii="Arial" w:cs="Arial" w:eastAsia="Arial" w:hAnsi="Arial"/>
                <w:sz w:val="14"/>
                <w:szCs w:val="14"/>
                <w:color w:val="auto"/>
              </w:rPr>
              <w:t>Restructuring payments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34,443</w:t>
            </w:r>
          </w:p>
        </w:tc>
        <w:tc>
          <w:tcPr>
            <w:tcW w:w="0" w:type="dxa"/>
            <w:vAlign w:val="bottom"/>
          </w:tcPr>
          <w:p>
            <w:pPr>
              <w:spacing w:after="0"/>
              <w:rPr>
                <w:sz w:val="1"/>
                <w:szCs w:val="1"/>
                <w:color w:val="auto"/>
              </w:rPr>
            </w:pPr>
          </w:p>
        </w:tc>
      </w:tr>
      <w:tr>
        <w:trPr>
          <w:trHeight w:val="297"/>
        </w:trPr>
        <w:tc>
          <w:tcPr>
            <w:tcW w:w="8300" w:type="dxa"/>
            <w:vAlign w:val="bottom"/>
            <w:gridSpan w:val="2"/>
          </w:tcPr>
          <w:p>
            <w:pPr>
              <w:spacing w:after="0"/>
              <w:rPr>
                <w:sz w:val="20"/>
                <w:szCs w:val="20"/>
                <w:color w:val="auto"/>
              </w:rPr>
            </w:pPr>
            <w:r>
              <w:rPr>
                <w:rFonts w:ascii="Arial" w:cs="Arial" w:eastAsia="Arial" w:hAnsi="Arial"/>
                <w:sz w:val="14"/>
                <w:szCs w:val="14"/>
                <w:color w:val="auto"/>
              </w:rPr>
              <w:t>Proxy solicitation fee</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10,905</w:t>
            </w:r>
          </w:p>
        </w:tc>
        <w:tc>
          <w:tcPr>
            <w:tcW w:w="0" w:type="dxa"/>
            <w:vAlign w:val="bottom"/>
          </w:tcPr>
          <w:p>
            <w:pPr>
              <w:spacing w:after="0"/>
              <w:rPr>
                <w:sz w:val="1"/>
                <w:szCs w:val="1"/>
                <w:color w:val="auto"/>
              </w:rPr>
            </w:pPr>
          </w:p>
        </w:tc>
      </w:tr>
      <w:tr>
        <w:trPr>
          <w:trHeight w:val="62"/>
        </w:trPr>
        <w:tc>
          <w:tcPr>
            <w:tcW w:w="8300" w:type="dxa"/>
            <w:vAlign w:val="bottom"/>
            <w:gridSpan w:val="2"/>
          </w:tcPr>
          <w:p>
            <w:pPr>
              <w:spacing w:after="0"/>
              <w:rPr>
                <w:sz w:val="5"/>
                <w:szCs w:val="5"/>
                <w:color w:val="auto"/>
              </w:rPr>
            </w:pPr>
          </w:p>
        </w:tc>
        <w:tc>
          <w:tcPr>
            <w:tcW w:w="260" w:type="dxa"/>
            <w:vAlign w:val="bottom"/>
            <w:tcBorders>
              <w:bottom w:val="single" w:sz="8" w:color="0072AF"/>
            </w:tcBorders>
          </w:tcPr>
          <w:p>
            <w:pPr>
              <w:spacing w:after="0"/>
              <w:rPr>
                <w:sz w:val="5"/>
                <w:szCs w:val="5"/>
                <w:color w:val="auto"/>
              </w:rPr>
            </w:pPr>
          </w:p>
        </w:tc>
        <w:tc>
          <w:tcPr>
            <w:tcW w:w="140" w:type="dxa"/>
            <w:vAlign w:val="bottom"/>
            <w:tcBorders>
              <w:bottom w:val="single" w:sz="8" w:color="0072AF"/>
            </w:tcBorders>
          </w:tcPr>
          <w:p>
            <w:pPr>
              <w:spacing w:after="0"/>
              <w:rPr>
                <w:sz w:val="5"/>
                <w:szCs w:val="5"/>
                <w:color w:val="auto"/>
              </w:rPr>
            </w:pPr>
          </w:p>
        </w:tc>
        <w:tc>
          <w:tcPr>
            <w:tcW w:w="480" w:type="dxa"/>
            <w:vAlign w:val="bottom"/>
            <w:tcBorders>
              <w:bottom w:val="single" w:sz="8" w:color="0072AF"/>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00" w:type="dxa"/>
            <w:vAlign w:val="bottom"/>
            <w:gridSpan w:val="2"/>
          </w:tcPr>
          <w:p>
            <w:pPr>
              <w:spacing w:after="0"/>
              <w:rPr>
                <w:sz w:val="20"/>
                <w:szCs w:val="20"/>
                <w:color w:val="auto"/>
              </w:rPr>
            </w:pPr>
            <w:r>
              <w:rPr>
                <w:rFonts w:ascii="Arial" w:cs="Arial" w:eastAsia="Arial" w:hAnsi="Arial"/>
                <w:sz w:val="14"/>
                <w:szCs w:val="14"/>
                <w:color w:val="auto"/>
              </w:rPr>
              <w:t>Free cash flow</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21,938</w:t>
            </w:r>
          </w:p>
        </w:tc>
        <w:tc>
          <w:tcPr>
            <w:tcW w:w="0" w:type="dxa"/>
            <w:vAlign w:val="bottom"/>
          </w:tcPr>
          <w:p>
            <w:pPr>
              <w:spacing w:after="0"/>
              <w:rPr>
                <w:sz w:val="1"/>
                <w:szCs w:val="1"/>
                <w:color w:val="auto"/>
              </w:rPr>
            </w:pPr>
          </w:p>
        </w:tc>
      </w:tr>
      <w:tr>
        <w:trPr>
          <w:trHeight w:val="297"/>
        </w:trPr>
        <w:tc>
          <w:tcPr>
            <w:tcW w:w="8300" w:type="dxa"/>
            <w:vAlign w:val="bottom"/>
            <w:gridSpan w:val="2"/>
          </w:tcPr>
          <w:p>
            <w:pPr>
              <w:spacing w:after="0"/>
              <w:rPr>
                <w:sz w:val="20"/>
                <w:szCs w:val="20"/>
                <w:color w:val="auto"/>
              </w:rPr>
            </w:pPr>
            <w:r>
              <w:rPr>
                <w:rFonts w:ascii="Arial" w:cs="Arial" w:eastAsia="Arial" w:hAnsi="Arial"/>
                <w:sz w:val="14"/>
                <w:szCs w:val="14"/>
                <w:color w:val="auto"/>
              </w:rPr>
              <w:t>Net finance receivables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2,646</w:t>
            </w:r>
          </w:p>
        </w:tc>
        <w:tc>
          <w:tcPr>
            <w:tcW w:w="0" w:type="dxa"/>
            <w:vAlign w:val="bottom"/>
          </w:tcPr>
          <w:p>
            <w:pPr>
              <w:spacing w:after="0"/>
              <w:rPr>
                <w:sz w:val="1"/>
                <w:szCs w:val="1"/>
                <w:color w:val="auto"/>
              </w:rPr>
            </w:pPr>
          </w:p>
        </w:tc>
      </w:tr>
      <w:tr>
        <w:trPr>
          <w:trHeight w:val="62"/>
        </w:trPr>
        <w:tc>
          <w:tcPr>
            <w:tcW w:w="8300" w:type="dxa"/>
            <w:vAlign w:val="bottom"/>
            <w:gridSpan w:val="2"/>
          </w:tcPr>
          <w:p>
            <w:pPr>
              <w:spacing w:after="0"/>
              <w:rPr>
                <w:sz w:val="5"/>
                <w:szCs w:val="5"/>
                <w:color w:val="auto"/>
              </w:rPr>
            </w:pPr>
          </w:p>
        </w:tc>
        <w:tc>
          <w:tcPr>
            <w:tcW w:w="260" w:type="dxa"/>
            <w:vAlign w:val="bottom"/>
            <w:tcBorders>
              <w:bottom w:val="single" w:sz="8" w:color="0072AF"/>
            </w:tcBorders>
          </w:tcPr>
          <w:p>
            <w:pPr>
              <w:spacing w:after="0"/>
              <w:rPr>
                <w:sz w:val="5"/>
                <w:szCs w:val="5"/>
                <w:color w:val="auto"/>
              </w:rPr>
            </w:pPr>
          </w:p>
        </w:tc>
        <w:tc>
          <w:tcPr>
            <w:tcW w:w="620" w:type="dxa"/>
            <w:vAlign w:val="bottom"/>
            <w:tcBorders>
              <w:bottom w:val="single" w:sz="8" w:color="0072AF"/>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8300" w:type="dxa"/>
            <w:vAlign w:val="bottom"/>
            <w:gridSpan w:val="2"/>
          </w:tcPr>
          <w:p>
            <w:pPr>
              <w:spacing w:after="0"/>
              <w:rPr>
                <w:sz w:val="20"/>
                <w:szCs w:val="20"/>
                <w:color w:val="auto"/>
              </w:rPr>
            </w:pPr>
            <w:r>
              <w:rPr>
                <w:rFonts w:ascii="Arial" w:cs="Arial" w:eastAsia="Arial" w:hAnsi="Arial"/>
                <w:sz w:val="14"/>
                <w:szCs w:val="14"/>
                <w:b w:val="1"/>
                <w:bCs w:val="1"/>
                <w:color w:val="auto"/>
              </w:rPr>
              <w:t>Adjusted free cash flow</w:t>
            </w: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 xml:space="preserve">$ </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    24,584</w:t>
            </w:r>
          </w:p>
        </w:tc>
        <w:tc>
          <w:tcPr>
            <w:tcW w:w="0" w:type="dxa"/>
            <w:vAlign w:val="bottom"/>
          </w:tcPr>
          <w:p>
            <w:pPr>
              <w:spacing w:after="0"/>
              <w:rPr>
                <w:sz w:val="1"/>
                <w:szCs w:val="1"/>
                <w:color w:val="auto"/>
              </w:rPr>
            </w:pPr>
          </w:p>
        </w:tc>
      </w:tr>
      <w:tr>
        <w:trPr>
          <w:trHeight w:val="56"/>
        </w:trPr>
        <w:tc>
          <w:tcPr>
            <w:tcW w:w="8300" w:type="dxa"/>
            <w:vAlign w:val="bottom"/>
            <w:gridSpan w:val="2"/>
          </w:tcPr>
          <w:p>
            <w:pPr>
              <w:spacing w:after="0"/>
              <w:rPr>
                <w:sz w:val="4"/>
                <w:szCs w:val="4"/>
                <w:color w:val="auto"/>
              </w:rPr>
            </w:pPr>
          </w:p>
        </w:tc>
        <w:tc>
          <w:tcPr>
            <w:tcW w:w="260" w:type="dxa"/>
            <w:vAlign w:val="bottom"/>
            <w:tcBorders>
              <w:bottom w:val="single" w:sz="8" w:color="0072AF"/>
            </w:tcBorders>
          </w:tcPr>
          <w:p>
            <w:pPr>
              <w:spacing w:after="0"/>
              <w:rPr>
                <w:sz w:val="4"/>
                <w:szCs w:val="4"/>
                <w:color w:val="auto"/>
              </w:rPr>
            </w:pPr>
          </w:p>
        </w:tc>
        <w:tc>
          <w:tcPr>
            <w:tcW w:w="140" w:type="dxa"/>
            <w:vAlign w:val="bottom"/>
            <w:tcBorders>
              <w:bottom w:val="single" w:sz="8" w:color="0072AF"/>
            </w:tcBorders>
          </w:tcPr>
          <w:p>
            <w:pPr>
              <w:spacing w:after="0"/>
              <w:rPr>
                <w:sz w:val="4"/>
                <w:szCs w:val="4"/>
                <w:color w:val="auto"/>
              </w:rPr>
            </w:pPr>
          </w:p>
        </w:tc>
        <w:tc>
          <w:tcPr>
            <w:tcW w:w="480" w:type="dxa"/>
            <w:vAlign w:val="bottom"/>
            <w:tcBorders>
              <w:bottom w:val="single" w:sz="8" w:color="0072AF"/>
            </w:tcBorders>
          </w:tcPr>
          <w:p>
            <w:pPr>
              <w:spacing w:after="0"/>
              <w:rPr>
                <w:sz w:val="4"/>
                <w:szCs w:val="4"/>
                <w:color w:val="auto"/>
              </w:rPr>
            </w:pPr>
          </w:p>
        </w:tc>
        <w:tc>
          <w:tcPr>
            <w:tcW w:w="0" w:type="dxa"/>
            <w:vAlign w:val="bottom"/>
          </w:tcPr>
          <w:p>
            <w:pPr>
              <w:spacing w:after="0"/>
              <w:rPr>
                <w:sz w:val="1"/>
                <w:szCs w:val="1"/>
                <w:color w:val="auto"/>
              </w:rPr>
            </w:pPr>
          </w:p>
        </w:tc>
      </w:tr>
      <w:tr>
        <w:trPr>
          <w:trHeight w:val="431"/>
        </w:trPr>
        <w:tc>
          <w:tcPr>
            <w:tcW w:w="8300" w:type="dxa"/>
            <w:vAlign w:val="bottom"/>
            <w:gridSpan w:val="2"/>
          </w:tcPr>
          <w:p>
            <w:pPr>
              <w:spacing w:after="0"/>
              <w:rPr>
                <w:sz w:val="20"/>
                <w:szCs w:val="20"/>
                <w:color w:val="auto"/>
              </w:rPr>
            </w:pPr>
            <w:r>
              <w:rPr>
                <w:rFonts w:ascii="Arial" w:cs="Arial" w:eastAsia="Arial" w:hAnsi="Arial"/>
                <w:sz w:val="14"/>
                <w:szCs w:val="14"/>
                <w:color w:val="auto"/>
              </w:rPr>
              <w:t>Reported revenue growth</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97"/>
        </w:trPr>
        <w:tc>
          <w:tcPr>
            <w:tcW w:w="8300" w:type="dxa"/>
            <w:vAlign w:val="bottom"/>
            <w:gridSpan w:val="2"/>
          </w:tcPr>
          <w:p>
            <w:pPr>
              <w:spacing w:after="0"/>
              <w:rPr>
                <w:sz w:val="20"/>
                <w:szCs w:val="20"/>
                <w:color w:val="auto"/>
              </w:rPr>
            </w:pPr>
            <w:r>
              <w:rPr>
                <w:rFonts w:ascii="Arial" w:cs="Arial" w:eastAsia="Arial" w:hAnsi="Arial"/>
                <w:sz w:val="14"/>
                <w:szCs w:val="14"/>
                <w:color w:val="auto"/>
              </w:rPr>
              <w:t>Impact of foreign currency</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62"/>
        </w:trPr>
        <w:tc>
          <w:tcPr>
            <w:tcW w:w="8300" w:type="dxa"/>
            <w:vAlign w:val="bottom"/>
            <w:gridSpan w:val="2"/>
          </w:tcPr>
          <w:p>
            <w:pPr>
              <w:spacing w:after="0"/>
              <w:rPr>
                <w:sz w:val="5"/>
                <w:szCs w:val="5"/>
                <w:color w:val="auto"/>
              </w:rPr>
            </w:pPr>
          </w:p>
        </w:tc>
        <w:tc>
          <w:tcPr>
            <w:tcW w:w="260" w:type="dxa"/>
            <w:vAlign w:val="bottom"/>
            <w:tcBorders>
              <w:bottom w:val="single" w:sz="8" w:color="0072AF"/>
            </w:tcBorders>
          </w:tcPr>
          <w:p>
            <w:pPr>
              <w:spacing w:after="0"/>
              <w:rPr>
                <w:sz w:val="5"/>
                <w:szCs w:val="5"/>
                <w:color w:val="auto"/>
              </w:rPr>
            </w:pPr>
          </w:p>
        </w:tc>
        <w:tc>
          <w:tcPr>
            <w:tcW w:w="140" w:type="dxa"/>
            <w:vAlign w:val="bottom"/>
            <w:tcBorders>
              <w:bottom w:val="single" w:sz="8" w:color="0072AF"/>
            </w:tcBorders>
          </w:tcPr>
          <w:p>
            <w:pPr>
              <w:spacing w:after="0"/>
              <w:rPr>
                <w:sz w:val="5"/>
                <w:szCs w:val="5"/>
                <w:color w:val="auto"/>
              </w:rPr>
            </w:pPr>
          </w:p>
        </w:tc>
        <w:tc>
          <w:tcPr>
            <w:tcW w:w="480" w:type="dxa"/>
            <w:vAlign w:val="bottom"/>
            <w:tcBorders>
              <w:bottom w:val="single" w:sz="8" w:color="0072AF"/>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8300" w:type="dxa"/>
            <w:vAlign w:val="bottom"/>
            <w:gridSpan w:val="2"/>
          </w:tcPr>
          <w:p>
            <w:pPr>
              <w:spacing w:after="0"/>
              <w:rPr>
                <w:sz w:val="20"/>
                <w:szCs w:val="20"/>
                <w:color w:val="auto"/>
              </w:rPr>
            </w:pPr>
            <w:r>
              <w:rPr>
                <w:rFonts w:ascii="Arial" w:cs="Arial" w:eastAsia="Arial" w:hAnsi="Arial"/>
                <w:sz w:val="14"/>
                <w:szCs w:val="14"/>
                <w:color w:val="auto"/>
              </w:rPr>
              <w:t>Constant currency revenue growth</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97"/>
        </w:trPr>
        <w:tc>
          <w:tcPr>
            <w:tcW w:w="8300" w:type="dxa"/>
            <w:vAlign w:val="bottom"/>
            <w:gridSpan w:val="2"/>
          </w:tcPr>
          <w:p>
            <w:pPr>
              <w:spacing w:after="0"/>
              <w:rPr>
                <w:sz w:val="20"/>
                <w:szCs w:val="20"/>
                <w:color w:val="auto"/>
              </w:rPr>
            </w:pPr>
            <w:r>
              <w:rPr>
                <w:rFonts w:ascii="Arial" w:cs="Arial" w:eastAsia="Arial" w:hAnsi="Arial"/>
                <w:sz w:val="14"/>
                <w:szCs w:val="14"/>
                <w:color w:val="auto"/>
              </w:rPr>
              <w:t>Adjustment for change in revenue presentation</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62"/>
        </w:trPr>
        <w:tc>
          <w:tcPr>
            <w:tcW w:w="8300" w:type="dxa"/>
            <w:vAlign w:val="bottom"/>
            <w:gridSpan w:val="2"/>
          </w:tcPr>
          <w:p>
            <w:pPr>
              <w:spacing w:after="0"/>
              <w:rPr>
                <w:sz w:val="5"/>
                <w:szCs w:val="5"/>
                <w:color w:val="auto"/>
              </w:rPr>
            </w:pPr>
          </w:p>
        </w:tc>
        <w:tc>
          <w:tcPr>
            <w:tcW w:w="260" w:type="dxa"/>
            <w:vAlign w:val="bottom"/>
            <w:tcBorders>
              <w:bottom w:val="single" w:sz="8" w:color="0072AF"/>
            </w:tcBorders>
          </w:tcPr>
          <w:p>
            <w:pPr>
              <w:spacing w:after="0"/>
              <w:rPr>
                <w:sz w:val="5"/>
                <w:szCs w:val="5"/>
                <w:color w:val="auto"/>
              </w:rPr>
            </w:pPr>
          </w:p>
        </w:tc>
        <w:tc>
          <w:tcPr>
            <w:tcW w:w="140" w:type="dxa"/>
            <w:vAlign w:val="bottom"/>
            <w:tcBorders>
              <w:bottom w:val="single" w:sz="8" w:color="0072AF"/>
            </w:tcBorders>
          </w:tcPr>
          <w:p>
            <w:pPr>
              <w:spacing w:after="0"/>
              <w:rPr>
                <w:sz w:val="5"/>
                <w:szCs w:val="5"/>
                <w:color w:val="auto"/>
              </w:rPr>
            </w:pPr>
          </w:p>
        </w:tc>
        <w:tc>
          <w:tcPr>
            <w:tcW w:w="480" w:type="dxa"/>
            <w:vAlign w:val="bottom"/>
            <w:tcBorders>
              <w:bottom w:val="single" w:sz="8" w:color="0072AF"/>
            </w:tcBorders>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8300" w:type="dxa"/>
            <w:vAlign w:val="bottom"/>
            <w:gridSpan w:val="2"/>
          </w:tcPr>
          <w:p>
            <w:pPr>
              <w:spacing w:after="0"/>
              <w:rPr>
                <w:sz w:val="20"/>
                <w:szCs w:val="20"/>
                <w:color w:val="auto"/>
              </w:rPr>
            </w:pPr>
            <w:r>
              <w:rPr>
                <w:rFonts w:ascii="Arial" w:cs="Arial" w:eastAsia="Arial" w:hAnsi="Arial"/>
                <w:sz w:val="14"/>
                <w:szCs w:val="14"/>
                <w:b w:val="1"/>
                <w:bCs w:val="1"/>
                <w:color w:val="auto"/>
              </w:rPr>
              <w:t>Adjusted revenue growth for compensation</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8060" w:type="dxa"/>
            <w:vAlign w:val="bottom"/>
          </w:tcPr>
          <w:p>
            <w:pPr>
              <w:spacing w:after="0"/>
              <w:rPr>
                <w:sz w:val="4"/>
                <w:szCs w:val="4"/>
                <w:color w:val="auto"/>
              </w:rPr>
            </w:pPr>
          </w:p>
        </w:tc>
        <w:tc>
          <w:tcPr>
            <w:tcW w:w="260" w:type="dxa"/>
            <w:vAlign w:val="bottom"/>
            <w:tcBorders>
              <w:bottom w:val="single" w:sz="8" w:color="0072AF"/>
            </w:tcBorders>
          </w:tcPr>
          <w:p>
            <w:pPr>
              <w:spacing w:after="0"/>
              <w:rPr>
                <w:sz w:val="4"/>
                <w:szCs w:val="4"/>
                <w:color w:val="auto"/>
              </w:rPr>
            </w:pPr>
          </w:p>
        </w:tc>
        <w:tc>
          <w:tcPr>
            <w:tcW w:w="140" w:type="dxa"/>
            <w:vAlign w:val="bottom"/>
            <w:tcBorders>
              <w:bottom w:val="single" w:sz="8" w:color="0072AF"/>
            </w:tcBorders>
          </w:tcPr>
          <w:p>
            <w:pPr>
              <w:spacing w:after="0"/>
              <w:rPr>
                <w:sz w:val="4"/>
                <w:szCs w:val="4"/>
                <w:color w:val="auto"/>
              </w:rPr>
            </w:pPr>
          </w:p>
        </w:tc>
        <w:tc>
          <w:tcPr>
            <w:tcW w:w="480" w:type="dxa"/>
            <w:vAlign w:val="bottom"/>
            <w:tcBorders>
              <w:bottom w:val="single" w:sz="8" w:color="0072AF"/>
            </w:tcBorders>
          </w:tcPr>
          <w:p>
            <w:pPr>
              <w:spacing w:after="0"/>
              <w:rPr>
                <w:sz w:val="4"/>
                <w:szCs w:val="4"/>
                <w:color w:val="auto"/>
              </w:rPr>
            </w:pPr>
          </w:p>
        </w:tc>
        <w:tc>
          <w:tcPr>
            <w:tcW w:w="0" w:type="dxa"/>
            <w:vAlign w:val="bottom"/>
          </w:tcPr>
          <w:p>
            <w:pPr>
              <w:spacing w:after="0"/>
              <w:rPr>
                <w:sz w:val="1"/>
                <w:szCs w:val="1"/>
                <w:color w:val="auto"/>
              </w:rPr>
            </w:pPr>
          </w:p>
        </w:tc>
      </w:tr>
      <w:tr>
        <w:trPr>
          <w:trHeight w:val="403"/>
        </w:trPr>
        <w:tc>
          <w:tcPr>
            <w:tcW w:w="24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96"/>
        </w:trPr>
        <w:tc>
          <w:tcPr>
            <w:tcW w:w="8300" w:type="dxa"/>
            <w:vAlign w:val="bottom"/>
            <w:gridSpan w:val="2"/>
          </w:tcPr>
          <w:p>
            <w:pPr>
              <w:spacing w:after="0"/>
              <w:rPr>
                <w:sz w:val="20"/>
                <w:szCs w:val="20"/>
                <w:color w:val="auto"/>
              </w:rPr>
            </w:pPr>
            <w:r>
              <w:rPr>
                <w:rFonts w:ascii="Arial" w:cs="Arial" w:eastAsia="Arial" w:hAnsi="Arial"/>
                <w:sz w:val="14"/>
                <w:szCs w:val="14"/>
                <w:b w:val="1"/>
                <w:bCs w:val="1"/>
                <w:color w:val="auto"/>
              </w:rPr>
              <w:t>GAAP net income</w:t>
            </w:r>
          </w:p>
        </w:tc>
        <w:tc>
          <w:tcPr>
            <w:tcW w:w="2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(385,627)</w:t>
            </w:r>
          </w:p>
        </w:tc>
        <w:tc>
          <w:tcPr>
            <w:tcW w:w="0" w:type="dxa"/>
            <w:vAlign w:val="bottom"/>
          </w:tcPr>
          <w:p>
            <w:pPr>
              <w:spacing w:after="0"/>
              <w:rPr>
                <w:sz w:val="1"/>
                <w:szCs w:val="1"/>
                <w:color w:val="auto"/>
              </w:rPr>
            </w:pPr>
          </w:p>
        </w:tc>
      </w:tr>
      <w:tr>
        <w:trPr>
          <w:trHeight w:val="291"/>
        </w:trPr>
        <w:tc>
          <w:tcPr>
            <w:tcW w:w="830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2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(20,875)</w:t>
            </w:r>
          </w:p>
        </w:tc>
        <w:tc>
          <w:tcPr>
            <w:tcW w:w="0" w:type="dxa"/>
            <w:vAlign w:val="bottom"/>
          </w:tcPr>
          <w:p>
            <w:pPr>
              <w:spacing w:after="0"/>
              <w:rPr>
                <w:sz w:val="1"/>
                <w:szCs w:val="1"/>
                <w:color w:val="auto"/>
              </w:rPr>
            </w:pPr>
          </w:p>
        </w:tc>
      </w:tr>
      <w:tr>
        <w:trPr>
          <w:trHeight w:val="62"/>
        </w:trPr>
        <w:tc>
          <w:tcPr>
            <w:tcW w:w="8300" w:type="dxa"/>
            <w:vAlign w:val="bottom"/>
            <w:gridSpan w:val="2"/>
          </w:tcPr>
          <w:p>
            <w:pPr>
              <w:spacing w:after="0"/>
              <w:rPr>
                <w:sz w:val="5"/>
                <w:szCs w:val="5"/>
                <w:color w:val="auto"/>
              </w:rPr>
            </w:pPr>
          </w:p>
        </w:tc>
        <w:tc>
          <w:tcPr>
            <w:tcW w:w="260" w:type="dxa"/>
            <w:vAlign w:val="bottom"/>
            <w:tcBorders>
              <w:bottom w:val="single" w:sz="8" w:color="0072AF"/>
            </w:tcBorders>
          </w:tcPr>
          <w:p>
            <w:pPr>
              <w:spacing w:after="0"/>
              <w:rPr>
                <w:sz w:val="5"/>
                <w:szCs w:val="5"/>
                <w:color w:val="auto"/>
              </w:rPr>
            </w:pPr>
          </w:p>
        </w:tc>
        <w:tc>
          <w:tcPr>
            <w:tcW w:w="620" w:type="dxa"/>
            <w:vAlign w:val="bottom"/>
            <w:tcBorders>
              <w:bottom w:val="single" w:sz="8" w:color="0072AF"/>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8300" w:type="dxa"/>
            <w:vAlign w:val="bottom"/>
            <w:gridSpan w:val="2"/>
          </w:tcPr>
          <w:p>
            <w:pPr>
              <w:spacing w:after="0"/>
              <w:rPr>
                <w:sz w:val="20"/>
                <w:szCs w:val="20"/>
                <w:color w:val="auto"/>
              </w:rPr>
            </w:pPr>
            <w:r>
              <w:rPr>
                <w:rFonts w:ascii="Arial" w:cs="Arial" w:eastAsia="Arial" w:hAnsi="Arial"/>
                <w:sz w:val="14"/>
                <w:szCs w:val="14"/>
                <w:color w:val="auto"/>
              </w:rPr>
              <w:t>Income before taxes</w:t>
            </w:r>
          </w:p>
        </w:tc>
        <w:tc>
          <w:tcPr>
            <w:tcW w:w="26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(406,502)</w:t>
            </w:r>
          </w:p>
        </w:tc>
        <w:tc>
          <w:tcPr>
            <w:tcW w:w="0" w:type="dxa"/>
            <w:vAlign w:val="bottom"/>
          </w:tcPr>
          <w:p>
            <w:pPr>
              <w:spacing w:after="0"/>
              <w:rPr>
                <w:sz w:val="1"/>
                <w:szCs w:val="1"/>
                <w:color w:val="auto"/>
              </w:rPr>
            </w:pPr>
          </w:p>
        </w:tc>
      </w:tr>
      <w:tr>
        <w:trPr>
          <w:trHeight w:val="297"/>
        </w:trPr>
        <w:tc>
          <w:tcPr>
            <w:tcW w:w="8300" w:type="dxa"/>
            <w:vAlign w:val="bottom"/>
            <w:gridSpan w:val="2"/>
          </w:tcPr>
          <w:p>
            <w:pPr>
              <w:spacing w:after="0"/>
              <w:rPr>
                <w:sz w:val="20"/>
                <w:szCs w:val="20"/>
                <w:color w:val="auto"/>
              </w:rPr>
            </w:pPr>
            <w:r>
              <w:rPr>
                <w:rFonts w:ascii="Arial" w:cs="Arial" w:eastAsia="Arial" w:hAnsi="Arial"/>
                <w:sz w:val="14"/>
                <w:szCs w:val="14"/>
                <w:color w:val="auto"/>
              </w:rPr>
              <w:t>Restructuring charges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61,585</w:t>
            </w:r>
          </w:p>
        </w:tc>
        <w:tc>
          <w:tcPr>
            <w:tcW w:w="0" w:type="dxa"/>
            <w:vAlign w:val="bottom"/>
          </w:tcPr>
          <w:p>
            <w:pPr>
              <w:spacing w:after="0"/>
              <w:rPr>
                <w:sz w:val="1"/>
                <w:szCs w:val="1"/>
                <w:color w:val="auto"/>
              </w:rPr>
            </w:pPr>
          </w:p>
        </w:tc>
      </w:tr>
      <w:tr>
        <w:trPr>
          <w:trHeight w:val="297"/>
        </w:trPr>
        <w:tc>
          <w:tcPr>
            <w:tcW w:w="8300" w:type="dxa"/>
            <w:vAlign w:val="bottom"/>
            <w:gridSpan w:val="2"/>
          </w:tcPr>
          <w:p>
            <w:pPr>
              <w:spacing w:after="0"/>
              <w:rPr>
                <w:sz w:val="20"/>
                <w:szCs w:val="20"/>
                <w:color w:val="auto"/>
              </w:rPr>
            </w:pPr>
            <w:r>
              <w:rPr>
                <w:rFonts w:ascii="Arial" w:cs="Arial" w:eastAsia="Arial" w:hAnsi="Arial"/>
                <w:sz w:val="14"/>
                <w:szCs w:val="14"/>
                <w:color w:val="auto"/>
              </w:rPr>
              <w:t>Goodwill Impairment</w:t>
            </w:r>
          </w:p>
        </w:tc>
        <w:tc>
          <w:tcPr>
            <w:tcW w:w="2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339,184</w:t>
            </w:r>
          </w:p>
        </w:tc>
        <w:tc>
          <w:tcPr>
            <w:tcW w:w="0" w:type="dxa"/>
            <w:vAlign w:val="bottom"/>
          </w:tcPr>
          <w:p>
            <w:pPr>
              <w:spacing w:after="0"/>
              <w:rPr>
                <w:sz w:val="1"/>
                <w:szCs w:val="1"/>
                <w:color w:val="auto"/>
              </w:rPr>
            </w:pPr>
          </w:p>
        </w:tc>
      </w:tr>
      <w:tr>
        <w:trPr>
          <w:trHeight w:val="297"/>
        </w:trPr>
        <w:tc>
          <w:tcPr>
            <w:tcW w:w="8300" w:type="dxa"/>
            <w:vAlign w:val="bottom"/>
            <w:gridSpan w:val="2"/>
          </w:tcPr>
          <w:p>
            <w:pPr>
              <w:spacing w:after="0"/>
              <w:rPr>
                <w:sz w:val="20"/>
                <w:szCs w:val="20"/>
                <w:color w:val="auto"/>
              </w:rPr>
            </w:pPr>
            <w:r>
              <w:rPr>
                <w:rFonts w:ascii="Arial" w:cs="Arial" w:eastAsia="Arial" w:hAnsi="Arial"/>
                <w:sz w:val="14"/>
                <w:szCs w:val="14"/>
                <w:color w:val="auto"/>
              </w:rPr>
              <w:t>Proxy solicitation fees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10,905</w:t>
            </w:r>
          </w:p>
        </w:tc>
        <w:tc>
          <w:tcPr>
            <w:tcW w:w="0" w:type="dxa"/>
            <w:vAlign w:val="bottom"/>
          </w:tcPr>
          <w:p>
            <w:pPr>
              <w:spacing w:after="0"/>
              <w:rPr>
                <w:sz w:val="1"/>
                <w:szCs w:val="1"/>
                <w:color w:val="auto"/>
              </w:rPr>
            </w:pPr>
          </w:p>
        </w:tc>
      </w:tr>
      <w:tr>
        <w:trPr>
          <w:trHeight w:val="297"/>
        </w:trPr>
        <w:tc>
          <w:tcPr>
            <w:tcW w:w="8300" w:type="dxa"/>
            <w:vAlign w:val="bottom"/>
            <w:gridSpan w:val="2"/>
          </w:tcPr>
          <w:p>
            <w:pPr>
              <w:spacing w:after="0"/>
              <w:rPr>
                <w:sz w:val="20"/>
                <w:szCs w:val="20"/>
                <w:color w:val="auto"/>
              </w:rPr>
            </w:pPr>
            <w:r>
              <w:rPr>
                <w:rFonts w:ascii="Arial" w:cs="Arial" w:eastAsia="Arial" w:hAnsi="Arial"/>
                <w:sz w:val="14"/>
                <w:szCs w:val="14"/>
                <w:color w:val="auto"/>
              </w:rPr>
              <w:t>Gain on debt redemption</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(3,064)</w:t>
            </w:r>
          </w:p>
        </w:tc>
        <w:tc>
          <w:tcPr>
            <w:tcW w:w="0" w:type="dxa"/>
            <w:vAlign w:val="bottom"/>
          </w:tcPr>
          <w:p>
            <w:pPr>
              <w:spacing w:after="0"/>
              <w:rPr>
                <w:sz w:val="1"/>
                <w:szCs w:val="1"/>
                <w:color w:val="auto"/>
              </w:rPr>
            </w:pPr>
          </w:p>
        </w:tc>
      </w:tr>
      <w:tr>
        <w:trPr>
          <w:trHeight w:val="297"/>
        </w:trPr>
        <w:tc>
          <w:tcPr>
            <w:tcW w:w="8300" w:type="dxa"/>
            <w:vAlign w:val="bottom"/>
            <w:gridSpan w:val="2"/>
          </w:tcPr>
          <w:p>
            <w:pPr>
              <w:spacing w:after="0"/>
              <w:rPr>
                <w:sz w:val="20"/>
                <w:szCs w:val="20"/>
                <w:color w:val="auto"/>
              </w:rPr>
            </w:pPr>
            <w:r>
              <w:rPr>
                <w:rFonts w:ascii="Arial" w:cs="Arial" w:eastAsia="Arial" w:hAnsi="Arial"/>
                <w:sz w:val="14"/>
                <w:szCs w:val="14"/>
                <w:color w:val="auto"/>
              </w:rPr>
              <w:t>Foreign currency loss on intercompany loans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5,761</w:t>
            </w:r>
          </w:p>
        </w:tc>
        <w:tc>
          <w:tcPr>
            <w:tcW w:w="0" w:type="dxa"/>
            <w:vAlign w:val="bottom"/>
          </w:tcPr>
          <w:p>
            <w:pPr>
              <w:spacing w:after="0"/>
              <w:rPr>
                <w:sz w:val="1"/>
                <w:szCs w:val="1"/>
                <w:color w:val="auto"/>
              </w:rPr>
            </w:pPr>
          </w:p>
        </w:tc>
      </w:tr>
      <w:tr>
        <w:trPr>
          <w:trHeight w:val="62"/>
        </w:trPr>
        <w:tc>
          <w:tcPr>
            <w:tcW w:w="8300" w:type="dxa"/>
            <w:vAlign w:val="bottom"/>
            <w:gridSpan w:val="2"/>
          </w:tcPr>
          <w:p>
            <w:pPr>
              <w:spacing w:after="0"/>
              <w:rPr>
                <w:sz w:val="5"/>
                <w:szCs w:val="5"/>
                <w:color w:val="auto"/>
              </w:rPr>
            </w:pPr>
          </w:p>
        </w:tc>
        <w:tc>
          <w:tcPr>
            <w:tcW w:w="260" w:type="dxa"/>
            <w:vAlign w:val="bottom"/>
            <w:tcBorders>
              <w:bottom w:val="single" w:sz="8" w:color="0072AF"/>
            </w:tcBorders>
          </w:tcPr>
          <w:p>
            <w:pPr>
              <w:spacing w:after="0"/>
              <w:rPr>
                <w:sz w:val="5"/>
                <w:szCs w:val="5"/>
                <w:color w:val="auto"/>
              </w:rPr>
            </w:pPr>
          </w:p>
        </w:tc>
        <w:tc>
          <w:tcPr>
            <w:tcW w:w="140" w:type="dxa"/>
            <w:vAlign w:val="bottom"/>
            <w:tcBorders>
              <w:bottom w:val="single" w:sz="8" w:color="0072AF"/>
            </w:tcBorders>
          </w:tcPr>
          <w:p>
            <w:pPr>
              <w:spacing w:after="0"/>
              <w:rPr>
                <w:sz w:val="5"/>
                <w:szCs w:val="5"/>
                <w:color w:val="auto"/>
              </w:rPr>
            </w:pPr>
          </w:p>
        </w:tc>
        <w:tc>
          <w:tcPr>
            <w:tcW w:w="480" w:type="dxa"/>
            <w:vAlign w:val="bottom"/>
            <w:tcBorders>
              <w:bottom w:val="single" w:sz="8" w:color="0072AF"/>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8300" w:type="dxa"/>
            <w:vAlign w:val="bottom"/>
            <w:gridSpan w:val="2"/>
          </w:tcPr>
          <w:p>
            <w:pPr>
              <w:spacing w:after="0"/>
              <w:rPr>
                <w:sz w:val="20"/>
                <w:szCs w:val="20"/>
                <w:color w:val="auto"/>
              </w:rPr>
            </w:pPr>
            <w:r>
              <w:rPr>
                <w:rFonts w:ascii="Arial" w:cs="Arial" w:eastAsia="Arial" w:hAnsi="Arial"/>
                <w:sz w:val="14"/>
                <w:szCs w:val="14"/>
                <w:color w:val="auto"/>
              </w:rPr>
              <w:t>Adjusted income before taxes</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7,869</w:t>
            </w:r>
          </w:p>
        </w:tc>
        <w:tc>
          <w:tcPr>
            <w:tcW w:w="0" w:type="dxa"/>
            <w:vAlign w:val="bottom"/>
          </w:tcPr>
          <w:p>
            <w:pPr>
              <w:spacing w:after="0"/>
              <w:rPr>
                <w:sz w:val="1"/>
                <w:szCs w:val="1"/>
                <w:color w:val="auto"/>
              </w:rPr>
            </w:pPr>
          </w:p>
        </w:tc>
      </w:tr>
      <w:tr>
        <w:trPr>
          <w:trHeight w:val="297"/>
        </w:trPr>
        <w:tc>
          <w:tcPr>
            <w:tcW w:w="830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163,726</w:t>
            </w:r>
          </w:p>
        </w:tc>
        <w:tc>
          <w:tcPr>
            <w:tcW w:w="0" w:type="dxa"/>
            <w:vAlign w:val="bottom"/>
          </w:tcPr>
          <w:p>
            <w:pPr>
              <w:spacing w:after="0"/>
              <w:rPr>
                <w:sz w:val="1"/>
                <w:szCs w:val="1"/>
                <w:color w:val="auto"/>
              </w:rPr>
            </w:pPr>
          </w:p>
        </w:tc>
      </w:tr>
      <w:tr>
        <w:trPr>
          <w:trHeight w:val="62"/>
        </w:trPr>
        <w:tc>
          <w:tcPr>
            <w:tcW w:w="8300" w:type="dxa"/>
            <w:vAlign w:val="bottom"/>
            <w:gridSpan w:val="2"/>
          </w:tcPr>
          <w:p>
            <w:pPr>
              <w:spacing w:after="0"/>
              <w:rPr>
                <w:sz w:val="5"/>
                <w:szCs w:val="5"/>
                <w:color w:val="auto"/>
              </w:rPr>
            </w:pPr>
          </w:p>
        </w:tc>
        <w:tc>
          <w:tcPr>
            <w:tcW w:w="260" w:type="dxa"/>
            <w:vAlign w:val="bottom"/>
            <w:tcBorders>
              <w:bottom w:val="single" w:sz="8" w:color="0072AF"/>
            </w:tcBorders>
          </w:tcPr>
          <w:p>
            <w:pPr>
              <w:spacing w:after="0"/>
              <w:rPr>
                <w:sz w:val="5"/>
                <w:szCs w:val="5"/>
                <w:color w:val="auto"/>
              </w:rPr>
            </w:pPr>
          </w:p>
        </w:tc>
        <w:tc>
          <w:tcPr>
            <w:tcW w:w="620" w:type="dxa"/>
            <w:vAlign w:val="bottom"/>
            <w:tcBorders>
              <w:bottom w:val="single" w:sz="8" w:color="0072AF"/>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437"/>
        </w:trPr>
        <w:tc>
          <w:tcPr>
            <w:tcW w:w="8300" w:type="dxa"/>
            <w:vAlign w:val="bottom"/>
            <w:gridSpan w:val="2"/>
          </w:tcPr>
          <w:p>
            <w:pPr>
              <w:spacing w:after="0"/>
              <w:rPr>
                <w:sz w:val="20"/>
                <w:szCs w:val="20"/>
                <w:color w:val="auto"/>
              </w:rPr>
            </w:pPr>
            <w:r>
              <w:rPr>
                <w:rFonts w:ascii="Arial" w:cs="Arial" w:eastAsia="Arial" w:hAnsi="Arial"/>
                <w:sz w:val="14"/>
                <w:szCs w:val="14"/>
                <w:b w:val="1"/>
                <w:bCs w:val="1"/>
                <w:color w:val="auto"/>
              </w:rPr>
              <w:t>Adjusted earnings before interest and taxes</w:t>
            </w:r>
          </w:p>
        </w:tc>
        <w:tc>
          <w:tcPr>
            <w:tcW w:w="260" w:type="dxa"/>
            <w:vAlign w:val="bottom"/>
          </w:tcPr>
          <w:p>
            <w:pPr>
              <w:ind w:left="60"/>
              <w:spacing w:after="0"/>
              <w:rPr>
                <w:sz w:val="20"/>
                <w:szCs w:val="20"/>
                <w:color w:val="auto"/>
              </w:rPr>
            </w:pPr>
            <w:r>
              <w:rPr>
                <w:rFonts w:ascii="Arial" w:cs="Arial" w:eastAsia="Arial" w:hAnsi="Arial"/>
                <w:sz w:val="14"/>
                <w:szCs w:val="14"/>
                <w:color w:val="auto"/>
              </w:rPr>
              <w:t xml:space="preserve">$ </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96"/>
              </w:rPr>
              <w:t>  171,595</w:t>
            </w:r>
          </w:p>
        </w:tc>
        <w:tc>
          <w:tcPr>
            <w:tcW w:w="0" w:type="dxa"/>
            <w:vAlign w:val="bottom"/>
          </w:tcPr>
          <w:p>
            <w:pPr>
              <w:spacing w:after="0"/>
              <w:rPr>
                <w:sz w:val="1"/>
                <w:szCs w:val="1"/>
                <w:color w:val="auto"/>
              </w:rPr>
            </w:pPr>
          </w:p>
        </w:tc>
      </w:tr>
      <w:tr>
        <w:trPr>
          <w:trHeight w:val="291"/>
        </w:trPr>
        <w:tc>
          <w:tcPr>
            <w:tcW w:w="8300" w:type="dxa"/>
            <w:vAlign w:val="bottom"/>
            <w:gridSpan w:val="2"/>
          </w:tcPr>
          <w:p>
            <w:pPr>
              <w:spacing w:after="0"/>
              <w:rPr>
                <w:sz w:val="20"/>
                <w:szCs w:val="20"/>
                <w:color w:val="auto"/>
              </w:rPr>
            </w:pPr>
            <w:r>
              <w:rPr>
                <w:rFonts w:ascii="Arial" w:cs="Arial" w:eastAsia="Arial" w:hAnsi="Arial"/>
                <w:sz w:val="14"/>
                <w:szCs w:val="14"/>
                <w:color w:val="auto"/>
              </w:rPr>
              <w:t>Incentive compensation adjustment</w:t>
            </w:r>
          </w:p>
        </w:tc>
        <w:tc>
          <w:tcPr>
            <w:tcW w:w="2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(26,755)</w:t>
            </w:r>
          </w:p>
        </w:tc>
        <w:tc>
          <w:tcPr>
            <w:tcW w:w="0" w:type="dxa"/>
            <w:vAlign w:val="bottom"/>
          </w:tcPr>
          <w:p>
            <w:pPr>
              <w:spacing w:after="0"/>
              <w:rPr>
                <w:sz w:val="1"/>
                <w:szCs w:val="1"/>
                <w:color w:val="auto"/>
              </w:rPr>
            </w:pPr>
          </w:p>
        </w:tc>
      </w:tr>
      <w:tr>
        <w:trPr>
          <w:trHeight w:val="62"/>
        </w:trPr>
        <w:tc>
          <w:tcPr>
            <w:tcW w:w="8300" w:type="dxa"/>
            <w:vAlign w:val="bottom"/>
            <w:gridSpan w:val="2"/>
          </w:tcPr>
          <w:p>
            <w:pPr>
              <w:spacing w:after="0"/>
              <w:rPr>
                <w:sz w:val="5"/>
                <w:szCs w:val="5"/>
                <w:color w:val="auto"/>
              </w:rPr>
            </w:pPr>
          </w:p>
        </w:tc>
        <w:tc>
          <w:tcPr>
            <w:tcW w:w="260" w:type="dxa"/>
            <w:vAlign w:val="bottom"/>
            <w:tcBorders>
              <w:bottom w:val="single" w:sz="8" w:color="0072AF"/>
            </w:tcBorders>
          </w:tcPr>
          <w:p>
            <w:pPr>
              <w:spacing w:after="0"/>
              <w:rPr>
                <w:sz w:val="5"/>
                <w:szCs w:val="5"/>
                <w:color w:val="auto"/>
              </w:rPr>
            </w:pPr>
          </w:p>
        </w:tc>
        <w:tc>
          <w:tcPr>
            <w:tcW w:w="620" w:type="dxa"/>
            <w:vAlign w:val="bottom"/>
            <w:tcBorders>
              <w:bottom w:val="single" w:sz="8" w:color="0072AF"/>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8300" w:type="dxa"/>
            <w:vAlign w:val="bottom"/>
            <w:gridSpan w:val="2"/>
          </w:tcPr>
          <w:p>
            <w:pPr>
              <w:spacing w:after="0"/>
              <w:rPr>
                <w:sz w:val="20"/>
                <w:szCs w:val="20"/>
                <w:color w:val="auto"/>
              </w:rPr>
            </w:pPr>
            <w:r>
              <w:rPr>
                <w:rFonts w:ascii="Arial" w:cs="Arial" w:eastAsia="Arial" w:hAnsi="Arial"/>
                <w:sz w:val="14"/>
                <w:szCs w:val="14"/>
                <w:b w:val="1"/>
                <w:bCs w:val="1"/>
                <w:color w:val="auto"/>
              </w:rPr>
              <w:t>Adjusted earnings before interest and taxes for compensation</w:t>
            </w: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 xml:space="preserve">$ </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  144,840</w:t>
            </w:r>
          </w:p>
        </w:tc>
        <w:tc>
          <w:tcPr>
            <w:tcW w:w="0" w:type="dxa"/>
            <w:vAlign w:val="bottom"/>
          </w:tcPr>
          <w:p>
            <w:pPr>
              <w:spacing w:after="0"/>
              <w:rPr>
                <w:sz w:val="1"/>
                <w:szCs w:val="1"/>
                <w:color w:val="auto"/>
              </w:rPr>
            </w:pPr>
          </w:p>
        </w:tc>
      </w:tr>
      <w:tr>
        <w:trPr>
          <w:trHeight w:val="466"/>
        </w:trPr>
        <w:tc>
          <w:tcPr>
            <w:tcW w:w="830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3,266,348</w:t>
            </w:r>
          </w:p>
        </w:tc>
        <w:tc>
          <w:tcPr>
            <w:tcW w:w="0" w:type="dxa"/>
            <w:vAlign w:val="bottom"/>
          </w:tcPr>
          <w:p>
            <w:pPr>
              <w:spacing w:after="0"/>
              <w:rPr>
                <w:sz w:val="1"/>
                <w:szCs w:val="1"/>
                <w:color w:val="auto"/>
              </w:rPr>
            </w:pPr>
          </w:p>
        </w:tc>
      </w:tr>
      <w:tr>
        <w:trPr>
          <w:trHeight w:val="297"/>
        </w:trPr>
        <w:tc>
          <w:tcPr>
            <w:tcW w:w="8300" w:type="dxa"/>
            <w:vAlign w:val="bottom"/>
            <w:gridSpan w:val="2"/>
          </w:tcPr>
          <w:p>
            <w:pPr>
              <w:spacing w:after="0"/>
              <w:rPr>
                <w:sz w:val="20"/>
                <w:szCs w:val="20"/>
                <w:color w:val="auto"/>
              </w:rPr>
            </w:pPr>
            <w:r>
              <w:rPr>
                <w:rFonts w:ascii="Arial" w:cs="Arial" w:eastAsia="Arial" w:hAnsi="Arial"/>
                <w:sz w:val="14"/>
                <w:szCs w:val="14"/>
                <w:color w:val="auto"/>
              </w:rPr>
              <w:t>Adjusted earnings before interest and taxes</w:t>
            </w:r>
          </w:p>
        </w:tc>
        <w:tc>
          <w:tcPr>
            <w:tcW w:w="2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171,595</w:t>
            </w:r>
          </w:p>
        </w:tc>
        <w:tc>
          <w:tcPr>
            <w:tcW w:w="0" w:type="dxa"/>
            <w:vAlign w:val="bottom"/>
          </w:tcPr>
          <w:p>
            <w:pPr>
              <w:spacing w:after="0"/>
              <w:rPr>
                <w:sz w:val="1"/>
                <w:szCs w:val="1"/>
                <w:color w:val="auto"/>
              </w:rPr>
            </w:pPr>
          </w:p>
        </w:tc>
      </w:tr>
      <w:tr>
        <w:trPr>
          <w:trHeight w:val="62"/>
        </w:trPr>
        <w:tc>
          <w:tcPr>
            <w:tcW w:w="8300" w:type="dxa"/>
            <w:vAlign w:val="bottom"/>
            <w:gridSpan w:val="2"/>
          </w:tcPr>
          <w:p>
            <w:pPr>
              <w:spacing w:after="0"/>
              <w:rPr>
                <w:sz w:val="5"/>
                <w:szCs w:val="5"/>
                <w:color w:val="auto"/>
              </w:rPr>
            </w:pPr>
          </w:p>
        </w:tc>
        <w:tc>
          <w:tcPr>
            <w:tcW w:w="260" w:type="dxa"/>
            <w:vAlign w:val="bottom"/>
            <w:tcBorders>
              <w:bottom w:val="single" w:sz="8" w:color="0072AF"/>
            </w:tcBorders>
          </w:tcPr>
          <w:p>
            <w:pPr>
              <w:spacing w:after="0"/>
              <w:rPr>
                <w:sz w:val="5"/>
                <w:szCs w:val="5"/>
                <w:color w:val="auto"/>
              </w:rPr>
            </w:pPr>
          </w:p>
        </w:tc>
        <w:tc>
          <w:tcPr>
            <w:tcW w:w="140" w:type="dxa"/>
            <w:vAlign w:val="bottom"/>
            <w:tcBorders>
              <w:bottom w:val="single" w:sz="8" w:color="0072AF"/>
            </w:tcBorders>
          </w:tcPr>
          <w:p>
            <w:pPr>
              <w:spacing w:after="0"/>
              <w:rPr>
                <w:sz w:val="5"/>
                <w:szCs w:val="5"/>
                <w:color w:val="auto"/>
              </w:rPr>
            </w:pPr>
          </w:p>
        </w:tc>
        <w:tc>
          <w:tcPr>
            <w:tcW w:w="480" w:type="dxa"/>
            <w:vAlign w:val="bottom"/>
            <w:tcBorders>
              <w:bottom w:val="single" w:sz="8" w:color="0072AF"/>
            </w:tcBorders>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8300" w:type="dxa"/>
            <w:vAlign w:val="bottom"/>
            <w:gridSpan w:val="2"/>
          </w:tcPr>
          <w:p>
            <w:pPr>
              <w:spacing w:after="0"/>
              <w:rPr>
                <w:sz w:val="20"/>
                <w:szCs w:val="20"/>
                <w:color w:val="auto"/>
              </w:rPr>
            </w:pPr>
            <w:r>
              <w:rPr>
                <w:rFonts w:ascii="Arial" w:cs="Arial" w:eastAsia="Arial" w:hAnsi="Arial"/>
                <w:sz w:val="14"/>
                <w:szCs w:val="14"/>
                <w:b w:val="1"/>
                <w:bCs w:val="1"/>
                <w:color w:val="auto"/>
              </w:rPr>
              <w:t>Adjusted Margin for Compensation</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5.25%</w:t>
            </w:r>
          </w:p>
        </w:tc>
        <w:tc>
          <w:tcPr>
            <w:tcW w:w="0" w:type="dxa"/>
            <w:vAlign w:val="bottom"/>
          </w:tcPr>
          <w:p>
            <w:pPr>
              <w:spacing w:after="0"/>
              <w:rPr>
                <w:sz w:val="1"/>
                <w:szCs w:val="1"/>
                <w:color w:val="auto"/>
              </w:rPr>
            </w:pPr>
          </w:p>
        </w:tc>
      </w:tr>
      <w:tr>
        <w:trPr>
          <w:trHeight w:val="83"/>
        </w:trPr>
        <w:tc>
          <w:tcPr>
            <w:tcW w:w="240" w:type="dxa"/>
            <w:vAlign w:val="bottom"/>
            <w:vMerge w:val="restart"/>
          </w:tcPr>
          <w:p>
            <w:pPr>
              <w:spacing w:after="0"/>
              <w:rPr>
                <w:sz w:val="20"/>
                <w:szCs w:val="20"/>
                <w:color w:val="auto"/>
              </w:rPr>
            </w:pPr>
            <w:r>
              <w:rPr>
                <w:rFonts w:ascii="Arial" w:cs="Arial" w:eastAsia="Arial" w:hAnsi="Arial"/>
                <w:sz w:val="11"/>
                <w:szCs w:val="11"/>
                <w:color w:val="auto"/>
              </w:rPr>
              <w:t>(1)</w:t>
            </w:r>
          </w:p>
        </w:tc>
        <w:tc>
          <w:tcPr>
            <w:tcW w:w="8060" w:type="dxa"/>
            <w:vAlign w:val="bottom"/>
            <w:vMerge w:val="restart"/>
          </w:tcPr>
          <w:p>
            <w:pPr>
              <w:ind w:left="100"/>
              <w:spacing w:after="0"/>
              <w:rPr>
                <w:sz w:val="20"/>
                <w:szCs w:val="20"/>
                <w:color w:val="auto"/>
              </w:rPr>
            </w:pPr>
            <w:r>
              <w:rPr>
                <w:rFonts w:ascii="Arial" w:cs="Arial" w:eastAsia="Arial" w:hAnsi="Arial"/>
                <w:sz w:val="14"/>
                <w:szCs w:val="14"/>
                <w:color w:val="auto"/>
              </w:rPr>
              <w:t>The sum of the earnings per share amounts may not equal the totals due to rounding.</w:t>
            </w:r>
          </w:p>
        </w:tc>
        <w:tc>
          <w:tcPr>
            <w:tcW w:w="260" w:type="dxa"/>
            <w:vAlign w:val="bottom"/>
            <w:tcBorders>
              <w:bottom w:val="single" w:sz="8" w:color="0072AF"/>
            </w:tcBorders>
          </w:tcPr>
          <w:p>
            <w:pPr>
              <w:spacing w:after="0"/>
              <w:rPr>
                <w:sz w:val="7"/>
                <w:szCs w:val="7"/>
                <w:color w:val="auto"/>
              </w:rPr>
            </w:pPr>
          </w:p>
        </w:tc>
        <w:tc>
          <w:tcPr>
            <w:tcW w:w="140" w:type="dxa"/>
            <w:vAlign w:val="bottom"/>
            <w:tcBorders>
              <w:bottom w:val="single" w:sz="8" w:color="0072AF"/>
            </w:tcBorders>
          </w:tcPr>
          <w:p>
            <w:pPr>
              <w:spacing w:after="0"/>
              <w:rPr>
                <w:sz w:val="7"/>
                <w:szCs w:val="7"/>
                <w:color w:val="auto"/>
              </w:rPr>
            </w:pPr>
          </w:p>
        </w:tc>
        <w:tc>
          <w:tcPr>
            <w:tcW w:w="480" w:type="dxa"/>
            <w:vAlign w:val="bottom"/>
            <w:tcBorders>
              <w:bottom w:val="single" w:sz="8" w:color="0072AF"/>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2" w:lineRule="exact"/>
        <w:rPr>
          <w:sz w:val="20"/>
          <w:szCs w:val="20"/>
          <w:color w:val="auto"/>
        </w:rPr>
      </w:pPr>
    </w:p>
    <w:p>
      <w:pPr>
        <w:ind w:right="1740"/>
        <w:spacing w:after="0" w:line="298" w:lineRule="auto"/>
        <w:rPr>
          <w:sz w:val="20"/>
          <w:szCs w:val="20"/>
          <w:color w:val="auto"/>
        </w:rPr>
      </w:pPr>
      <w:r>
        <w:rPr>
          <w:rFonts w:ascii="Arial" w:cs="Arial" w:eastAsia="Arial" w:hAnsi="Arial"/>
          <w:sz w:val="32"/>
          <w:szCs w:val="32"/>
          <w:b w:val="1"/>
          <w:bCs w:val="1"/>
          <w:color w:val="4B5A89"/>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58293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90"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During 2023, there were no Executive Compensation Committee interlocks and no insider participation in Executive Compensation Committee decisions that were required to be reported under the rules and regulations of the Exchange Act. The following individuals were members of the Executive Compensation Committee during 2023: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Steven D. Brill, Katie May, Sheila A. Stamps and Kurt Wolf.</w:t>
      </w:r>
    </w:p>
    <w:p>
      <w:pPr>
        <w:spacing w:after="0" w:line="200" w:lineRule="exact"/>
        <w:rPr>
          <w:sz w:val="20"/>
          <w:szCs w:val="20"/>
          <w:color w:val="auto"/>
        </w:rPr>
      </w:pPr>
    </w:p>
    <w:p>
      <w:pPr>
        <w:spacing w:after="0"/>
        <w:rPr>
          <w:sz w:val="20"/>
          <w:szCs w:val="20"/>
          <w:color w:val="auto"/>
        </w:rPr>
      </w:pPr>
      <w:r>
        <w:rPr>
          <w:rFonts w:ascii="Arial" w:cs="Arial" w:eastAsia="Arial" w:hAnsi="Arial"/>
          <w:sz w:val="32"/>
          <w:szCs w:val="32"/>
          <w:b w:val="1"/>
          <w:bCs w:val="1"/>
          <w:color w:val="4B5A89"/>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582930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231140</wp:posOffset>
            </wp:positionV>
            <wp:extent cx="582930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Other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not aware of any other matters that will be presented for consideration at the Annual Meeting. However, if any other matters properly come before the Annual Meeting, it is the intention of the individuals named in the enclosed proxy to vote the shares of Common Stock they represent in accordance with their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153670</wp:posOffset>
            </wp:positionV>
            <wp:extent cx="58293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to the use of the mail, proxies may be solicited by the directors, officers, and employees of the Company without additional compensation by personal interview, by telephone, or by electronic transmission. Arrangements may also be made with brokerage firms and other custodians, nominees, and fiduciaries for the forwarding of solicitation material to the beneficial owners of Pitney Bowes Common Stock and the Company will reimburse such brokers, custodians, nominees, and fiduciaries for reasonable out-of-pocket expenses incurred. The Company has retained Morrow Sodali LLC to aid in the solicitation of proxies for a fee of $10,000 plus reimbursement of expenses. All costs associated with the solicitation of proxies for the Annual Meeting will be borne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582930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Communications with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All interested parties, including our stockholders, who wish to contact the Company’s directors may send written correspondence, to the attention of the Corporate Secretary, by email or to the Company’s principal executive offices:</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Pitney Bowes Inc.</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3001 Summer Street</w:t>
      </w:r>
    </w:p>
    <w:p>
      <w:pPr>
        <w:ind w:left="620"/>
        <w:spacing w:after="0" w:line="234" w:lineRule="auto"/>
        <w:rPr>
          <w:sz w:val="20"/>
          <w:szCs w:val="20"/>
          <w:color w:val="auto"/>
        </w:rPr>
      </w:pPr>
      <w:r>
        <w:rPr>
          <w:rFonts w:ascii="Arial" w:cs="Arial" w:eastAsia="Arial" w:hAnsi="Arial"/>
          <w:sz w:val="18"/>
          <w:szCs w:val="18"/>
          <w:color w:val="auto"/>
        </w:rPr>
        <w:t>Stamford, Connecticut 06926</w:t>
      </w:r>
    </w:p>
    <w:p>
      <w:pPr>
        <w:ind w:left="620"/>
        <w:spacing w:after="0" w:line="235" w:lineRule="auto"/>
        <w:rPr>
          <w:sz w:val="20"/>
          <w:szCs w:val="20"/>
          <w:color w:val="auto"/>
        </w:rPr>
      </w:pPr>
      <w:r>
        <w:rPr>
          <w:rFonts w:ascii="Arial" w:cs="Arial" w:eastAsia="Arial" w:hAnsi="Arial"/>
          <w:sz w:val="18"/>
          <w:szCs w:val="18"/>
          <w:color w:val="auto"/>
        </w:rPr>
        <w:t>Attention: Corporate Secretary</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investorrelations@pb.com</w:t>
      </w:r>
    </w:p>
    <w:p>
      <w:pPr>
        <w:spacing w:after="0" w:line="207"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Communications may be addressed to an individual director (including our Chair), or to the non-management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58293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58293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1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the extent that this Proxy Statement is incorporated by reference into any other filing by us under the Securities Act of 1933, as amended, or the Exchange Act, the “Report of the Audit Committee” will not be deemed incorporated unless specifically provided otherwise in such filing, to the extent permitted by the rules of the SEC. Such section shall also not be deemed to be “soliciting material” or to be “filed” with the SEC. Website references and links to other materials are for convenience only, and the content and information contained on or connected to our website is not incorporated by reference into this Proxy Statement and should not be considered part of this Proxy Statement or any other filing that we make with the SEC.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175260</wp:posOffset>
            </wp:positionV>
            <wp:extent cx="582930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statements in this Proxy Statement which are not historical in nature are “forward-looking statements” within the meaning of the federal securities laws. These statements often include words such as “believe,” “expect,” “project,” “anticipate,” “intend,” “plan,” “outlook,” “estimate,” “target,” “seek,” “will,” “may,” “would,” “should,” “could,” “forecast,” “mission,” “strive,” “more,” “goal,” or similar expressions and are based upon various assumptions and our experience in the industry, as well as historical trends, current conditions, and expected future developments. However, you should understand that these statements are not guarantees of performance or results and there are a number of risks, uncertainties and other factors that could cause our actual results to differ materially from those expressed in the forward-looking statements, including, among others: declining physical mail volumes; changes in postal regulations or the operations and financial health of posts in the U.S. or other major markets or changes to the broader postal or shipping markets; our ability to continue to grow and manage unexpected fluctuations in volumes, gain additional economies of scale and improve profitability within our Global Ecommerce segment; the loss of some of our larger clients in our Global Ecommerce and Presort Services segments; the loss of, or significant changes to, United States Postal Service (USPS) commercial programs, or our contractual relationships with the USPS or their performance under those contracts; the impacts of higher interest rates and the potential for future interest rate increases on our cost of debt; and other factors as more fully outlined in the 2023 Form 10-K filed on February 20, 2024 and other reports filed with the Securities and Exchange Commission. In addition, historical, current, and forward-looking environmental and social-related statements may be based on standards for measuring progress that are still developing, internal controls and processes that continue to evolve, and assumptions that are subject to change in the future. We caution you that these statements are not guarantees of future performance, nor promises that goals or targets will be met, and are subject to numerous and evolving risks and uncertainties that we may not be able to predict or assess. Pitney Bowes assumes no obligation to update any forward-looking statements contained in this Proxy Statement as a result of new information, events or developments.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Lauren Freeman-Bosworth</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Vice President, General Counsel and Corporate Secretary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128905</wp:posOffset>
            </wp:positionV>
            <wp:extent cx="699516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0072AF"/>
        </w:rPr>
        <w:t> ANNEX A PROPOSED AMENDMENTS TO THE RESTATED CERTIFICATE OF INCORPORATION TO GIVE HOLDERS OF 25% OF THE COMPANY’S STOCK THE RIGHT TO REQUEST A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8293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08" w:lineRule="exact"/>
        <w:rPr>
          <w:sz w:val="20"/>
          <w:szCs w:val="20"/>
          <w:color w:val="auto"/>
        </w:rPr>
      </w:pPr>
    </w:p>
    <w:p>
      <w:pPr>
        <w:ind w:right="420"/>
        <w:spacing w:after="0" w:line="272" w:lineRule="auto"/>
        <w:rPr>
          <w:sz w:val="20"/>
          <w:szCs w:val="20"/>
          <w:color w:val="auto"/>
        </w:rPr>
      </w:pPr>
      <w:r>
        <w:rPr>
          <w:rFonts w:ascii="Arial" w:cs="Arial" w:eastAsia="Arial" w:hAnsi="Arial"/>
          <w:sz w:val="32"/>
          <w:szCs w:val="32"/>
          <w:b w:val="1"/>
          <w:bCs w:val="1"/>
          <w:color w:val="4B5A89"/>
        </w:rPr>
        <w:t>Annex A: Proposed Amendments to the Restated Certificate of Incorporation to Give Holders of 25% of the Company’s Stock the Right to Request a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582930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3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Proposal 3 would amend Article Eighth of the Restated Certificate of Incorporation as set forth below; proposed additions are indicated by underlining, and proposed deletions are indicated by strikethrough:</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72AF"/>
        </w:rPr>
        <w:t>Eighth</w:t>
      </w:r>
      <w:r>
        <w:rPr>
          <w:rFonts w:ascii="Arial" w:cs="Arial" w:eastAsia="Arial" w:hAnsi="Arial"/>
          <w:sz w:val="22"/>
          <w:szCs w:val="22"/>
          <w:color w:val="0072AF"/>
        </w:rPr>
        <w:t>:-</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PROVISIONS RELATING TO STOCKHOLDER ACTION</w:t>
      </w:r>
    </w:p>
    <w:p>
      <w:pPr>
        <w:spacing w:after="0" w:line="17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Any action required or permitted to be taken by the stockholders of the Corporation must be effected at a duly called annual or special meeting of such holders and may not be affected by any consent in writing by such holders.</w:t>
      </w:r>
    </w:p>
    <w:p>
      <w:pPr>
        <w:spacing w:after="0" w:line="12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Except as otherwise required by law</w:t>
      </w:r>
      <w:r>
        <w:rPr>
          <w:rFonts w:ascii="Arial" w:cs="Arial" w:eastAsia="Arial" w:hAnsi="Arial"/>
          <w:sz w:val="18"/>
          <w:szCs w:val="18"/>
          <w:u w:val="single" w:color="auto"/>
          <w:color w:val="auto"/>
        </w:rPr>
        <w:t>, and except as otherwise provided for or fixed pursuant to the provisions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Fourth of this Certificate of Incorporation</w:t>
      </w:r>
      <w:r>
        <w:rPr>
          <w:rFonts w:ascii="Arial" w:cs="Arial" w:eastAsia="Arial" w:hAnsi="Arial"/>
          <w:sz w:val="18"/>
          <w:szCs w:val="18"/>
          <w:color w:val="auto"/>
        </w:rPr>
        <w:t xml:space="preserve"> and subject to the rights of the holders of any class or series of </w:t>
      </w:r>
      <w:r>
        <w:rPr>
          <w:rFonts w:ascii="Arial" w:cs="Arial" w:eastAsia="Arial" w:hAnsi="Arial"/>
          <w:sz w:val="18"/>
          <w:szCs w:val="18"/>
          <w:color w:val="auto"/>
          <w:strike w:val="1"/>
        </w:rPr>
        <w:t>stock having a preference over the Common Stock as to dividends or upon liquidation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special meeting</w:t>
      </w:r>
      <w:r>
        <w:rPr>
          <w:rFonts w:ascii="Arial" w:cs="Arial" w:eastAsia="Arial" w:hAnsi="Arial"/>
          <w:sz w:val="18"/>
          <w:szCs w:val="18"/>
          <w:color w:val="auto"/>
          <w:strike w:val="1"/>
        </w:rPr>
        <w:t>s</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the</w:t>
      </w:r>
      <w:r>
        <w:rPr>
          <w:rFonts w:ascii="Arial" w:cs="Arial" w:eastAsia="Arial" w:hAnsi="Arial"/>
          <w:sz w:val="18"/>
          <w:szCs w:val="18"/>
          <w:color w:val="auto"/>
        </w:rPr>
        <w:t xml:space="preserve"> stockholders of the Corporation</w:t>
      </w:r>
      <w:r>
        <w:rPr>
          <w:rFonts w:ascii="Arial" w:cs="Arial" w:eastAsia="Arial" w:hAnsi="Arial"/>
          <w:sz w:val="18"/>
          <w:szCs w:val="18"/>
          <w:u w:val="single" w:color="auto"/>
          <w:color w:val="auto"/>
        </w:rPr>
        <w:t>: (a)</w:t>
      </w:r>
      <w:r>
        <w:rPr>
          <w:rFonts w:ascii="Arial" w:cs="Arial" w:eastAsia="Arial" w:hAnsi="Arial"/>
          <w:sz w:val="18"/>
          <w:szCs w:val="18"/>
          <w:color w:val="auto"/>
        </w:rPr>
        <w:t xml:space="preserve"> may be called at any time</w:t>
      </w:r>
      <w:r>
        <w:rPr>
          <w:rFonts w:ascii="Arial" w:cs="Arial" w:eastAsia="Arial" w:hAnsi="Arial"/>
          <w:sz w:val="18"/>
          <w:szCs w:val="18"/>
          <w:color w:val="auto"/>
          <w:strike w:val="1"/>
        </w:rPr>
        <w:t>only</w:t>
      </w:r>
      <w:r>
        <w:rPr>
          <w:rFonts w:ascii="Arial" w:cs="Arial" w:eastAsia="Arial" w:hAnsi="Arial"/>
          <w:sz w:val="18"/>
          <w:szCs w:val="18"/>
          <w:color w:val="auto"/>
        </w:rPr>
        <w:t xml:space="preserve"> by the Board of Directors</w:t>
      </w:r>
      <w:r>
        <w:rPr>
          <w:rFonts w:ascii="Arial" w:cs="Arial" w:eastAsia="Arial" w:hAnsi="Arial"/>
          <w:sz w:val="18"/>
          <w:szCs w:val="18"/>
          <w:u w:val="single" w:color="auto"/>
          <w:color w:val="auto"/>
        </w:rPr>
        <w:t>; and (b) shall be called</w:t>
      </w:r>
      <w:r>
        <w:rPr>
          <w:rFonts w:ascii="Arial" w:cs="Arial" w:eastAsia="Arial" w:hAnsi="Arial"/>
          <w:sz w:val="18"/>
          <w:szCs w:val="18"/>
          <w:color w:val="auto"/>
        </w:rPr>
        <w:t xml:space="preserve"> </w:t>
      </w:r>
      <w:r>
        <w:rPr>
          <w:rFonts w:ascii="Arial" w:cs="Arial" w:eastAsia="Arial" w:hAnsi="Arial"/>
          <w:sz w:val="18"/>
          <w:szCs w:val="18"/>
          <w:u w:val="single" w:color="auto"/>
          <w:color w:val="auto"/>
        </w:rPr>
        <w:t xml:space="preserve">by President, a Vice-President or the Secretary of the Corporation upon the written request or requests of one or more persons that: (i) own (as defined in the Bylaws of the Corporation, as amended from time to time) shares representing at least 25% of the voting power of the stock outstanding and entitled to vote on the matter or matters to be brought before the proposed special meeting as of the record date fixed in accordance with the By-laws of the Corporation (as amended from time to time) to determine who may deliver a written request to call the special meeting; and (ii) comply with such procedures for calling a special meeting of stockholders as may be set forth in the By-laws of the Corporation and amended from time to time. The foregoing provisions of this Article Fourth shall be subject to the provisions of the By-laws of the Corporation (as amended from time to time) that limit the ability to make a request for a special meeting and that specify the circumstances pursuant to which a request for a special meeting will be deemed to be revoked. Except as otherwise required by law, and except as otherwise provided for or fixed pursuant to the provisions of Article Fourth hereof, special meetings of the stockholders of the Corporation may not be called by any other person or persons. Only such business shall be conducted at a special meeting of stockholders as shall have been brought before the meeting pursuant to the Corporation’s notice of meeting </w:t>
      </w:r>
      <w:r>
        <w:rPr>
          <w:rFonts w:ascii="Arial" w:cs="Arial" w:eastAsia="Arial" w:hAnsi="Arial"/>
          <w:sz w:val="18"/>
          <w:szCs w:val="18"/>
          <w:color w:val="auto"/>
          <w:strike w:val="1"/>
        </w:rPr>
        <w:t>pursuant to a resolution approved by a majority of the entire Board of Directors. Notwithstanding anything contained in this Restated Certificate of Incorporation to the contrary, the affirmative vote of the holders of at least a majority of the voting power of all shares of the Corporation entitled to vote generally in the election of directors, voting together as a single class, shall be required to alter, amend, adopt any provision inconsistent with or repeal this Article EIGHTH.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-2642235</wp:posOffset>
            </wp:positionV>
            <wp:extent cx="337248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372485" cy="8255"/>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-2333625</wp:posOffset>
            </wp:positionV>
            <wp:extent cx="59055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9055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128905</wp:posOffset>
            </wp:positionV>
            <wp:extent cx="699516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0072AF"/>
        </w:rPr>
        <w:t> ANNEX B PROPOSED AMENDMENTS TO THE BY-LAWS TO IMPLEMENT THE RIGHT TO REQUEST A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8293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08" w:lineRule="exact"/>
        <w:rPr>
          <w:sz w:val="20"/>
          <w:szCs w:val="20"/>
          <w:color w:val="auto"/>
        </w:rPr>
      </w:pPr>
    </w:p>
    <w:p>
      <w:pPr>
        <w:ind w:right="1360"/>
        <w:spacing w:after="0" w:line="298" w:lineRule="auto"/>
        <w:rPr>
          <w:sz w:val="20"/>
          <w:szCs w:val="20"/>
          <w:color w:val="auto"/>
        </w:rPr>
      </w:pPr>
      <w:r>
        <w:rPr>
          <w:rFonts w:ascii="Arial" w:cs="Arial" w:eastAsia="Arial" w:hAnsi="Arial"/>
          <w:sz w:val="32"/>
          <w:szCs w:val="32"/>
          <w:b w:val="1"/>
          <w:bCs w:val="1"/>
          <w:color w:val="4B5A89"/>
        </w:rPr>
        <w:t>Annex B: Proposed Amendments to the By-laws to Implement the Right to Request a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582930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9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Board has amended Article I, Section 2 of the By-laws, contingent upon stockholder approval and implementation of the Special Meeting Right Amendment, as set forth below; proposed additions are indicated by underlining, and proposed deletions are indicated by strikethrough:</w:t>
      </w:r>
    </w:p>
    <w:p>
      <w:pPr>
        <w:spacing w:after="0" w:line="12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Special Meeting</w:t>
      </w:r>
      <w:r>
        <w:rPr>
          <w:rFonts w:ascii="Arial" w:cs="Arial" w:eastAsia="Arial" w:hAnsi="Arial"/>
          <w:sz w:val="18"/>
          <w:szCs w:val="18"/>
          <w:color w:val="auto"/>
        </w:rPr>
        <w:t xml:space="preserve">. </w:t>
      </w:r>
      <w:r>
        <w:rPr>
          <w:rFonts w:ascii="Arial" w:cs="Arial" w:eastAsia="Arial" w:hAnsi="Arial"/>
          <w:sz w:val="18"/>
          <w:szCs w:val="18"/>
          <w:color w:val="auto"/>
          <w:strike w:val="1"/>
        </w:rPr>
        <w:t>Except as otherwise required by law and subject to the rights of the holders of any</w:t>
      </w:r>
      <w:r>
        <w:rPr>
          <w:rFonts w:ascii="Arial" w:cs="Arial" w:eastAsia="Arial" w:hAnsi="Arial"/>
          <w:sz w:val="18"/>
          <w:szCs w:val="18"/>
          <w:color w:val="auto"/>
        </w:rPr>
        <w:t xml:space="preserve"> </w:t>
      </w:r>
      <w:r>
        <w:rPr>
          <w:rFonts w:ascii="Arial" w:cs="Arial" w:eastAsia="Arial" w:hAnsi="Arial"/>
          <w:sz w:val="18"/>
          <w:szCs w:val="18"/>
          <w:color w:val="auto"/>
          <w:strike w:val="1"/>
        </w:rPr>
        <w:t>class or series of stock having a preference over the Common Stock as to dividends or upon liquidation, special meetings of the stockholders of the Corporation may be called only by the Board of Directors pursuant to a resolution approved by a majority of the entire Board of Directors.</w:t>
      </w:r>
      <w:r>
        <w:rPr>
          <w:rFonts w:ascii="Arial" w:cs="Arial" w:eastAsia="Arial" w:hAnsi="Arial"/>
          <w:sz w:val="18"/>
          <w:szCs w:val="18"/>
          <w:u w:val="single" w:color="auto"/>
          <w:color w:val="auto"/>
          <w:strike w:val="1"/>
        </w:rPr>
        <w:t>(a) Except as otherwise required by law, and</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except as otherwise provided for or fixed pursuant to the Certificate of Incorporation, a special meeting of the stockholders of the Corporation: (i) may be called at any time by the Board of Directors; and (ii) shall be called by the President of the Corporation (the “President”), a Vice-President of the Corporation (a “Vice-President”) or the Secretary of the Corporation (the “Secretary”) upon the written request or requests of one or more persons that: (A) own (as defined below) shares representing at least 25% of the voting power of the stock entitled to vote on the matter or matters to be brought before the proposed special meeting (hereinafter, the “requisite percent”) as of the record date fixed in accordance with these By-laws to determine who may deliver a written request to call the special meeting; and (B) comply with the notice procedures set forth in this Section 2 with respect to any matter that is a proper subject for the meeting pursuant to paragraph (f) of this Section 2 (a meeting called in accordance with clause (ii) above, a “stockholder-requested special meeting”). Except as otherwise required by law, and except as otherwise provided for or fixed pursuant to the Certificate of Incorporation, special meetings of the stockholders of the Corporation may not be called by any other person or persons. Only such business shall be conducted at a special meeting of stockholders as shall have been brought before the meeting pursuant to the Corporation’s notice of meeting.</w:t>
      </w:r>
    </w:p>
    <w:p>
      <w:pPr>
        <w:spacing w:after="0" w:line="155" w:lineRule="exact"/>
        <w:rPr>
          <w:sz w:val="20"/>
          <w:szCs w:val="20"/>
          <w:color w:val="auto"/>
        </w:rPr>
      </w:pPr>
    </w:p>
    <w:p>
      <w:pPr>
        <w:ind w:left="700" w:hanging="346"/>
        <w:spacing w:after="0"/>
        <w:tabs>
          <w:tab w:leader="none" w:pos="700" w:val="left"/>
        </w:tabs>
        <w:numPr>
          <w:ilvl w:val="0"/>
          <w:numId w:val="8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For purposes of satisfying the requisite percent under this Section 2:</w:t>
      </w:r>
    </w:p>
    <w:p>
      <w:pPr>
        <w:spacing w:after="0" w:line="171" w:lineRule="exact"/>
        <w:rPr>
          <w:rFonts w:ascii="Arial" w:cs="Arial" w:eastAsia="Arial" w:hAnsi="Arial"/>
          <w:sz w:val="18"/>
          <w:szCs w:val="18"/>
          <w:u w:val="single" w:color="auto"/>
          <w:color w:val="auto"/>
        </w:rPr>
      </w:pPr>
    </w:p>
    <w:p>
      <w:pPr>
        <w:jc w:val="both"/>
        <w:ind w:left="1060" w:right="20" w:hanging="346"/>
        <w:spacing w:after="0" w:line="245" w:lineRule="auto"/>
        <w:tabs>
          <w:tab w:leader="none" w:pos="1060" w:val="left"/>
        </w:tabs>
        <w:numPr>
          <w:ilvl w:val="1"/>
          <w:numId w:val="8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 person is deemed to “own” only those outstanding shares of stock of the Corporation as to which such person possesses both: (A) the full voting and investment rights pertaining to the shares; and</w:t>
      </w:r>
    </w:p>
    <w:p>
      <w:pPr>
        <w:jc w:val="both"/>
        <w:ind w:left="1060" w:right="20" w:firstLine="5"/>
        <w:spacing w:after="0" w:line="236" w:lineRule="auto"/>
        <w:tabs>
          <w:tab w:leader="none" w:pos="1370" w:val="left"/>
        </w:tabs>
        <w:numPr>
          <w:ilvl w:val="2"/>
          <w:numId w:val="8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the full economic interest in (including the opportunity for profit and risk of loss on) the shares, except that the number of shares calculated in accordance with the foregoing clauses (A) and (B) shall not include any shares: (1) sold by such person in any transaction that has not been settled or closed; (2) borrowed by the person for any purposes or purchased by the person pursuant to an agreement to resell; or (3) subject to any option, warrant, forward contract, swap, contract of sale, or other derivative or similar agreement entered into by the person, whether the instrument or agreement is to be settled with shares or with cash based on the notional amount or value of outstanding shares of stock of the Corporation, if the instrument or agreement has, or is intended to have, or if exercised would have, the purpose or effect of: (x) reducing in any manner, to any extent or at any time in the future, the person’s full right to vote or direct the voting of the shares; and/or (y) hedging, offsetting or altering to any degree any gain or loss arising from the full economic ownership of the shares by the person. For purposes of the foregoing clauses (1)-(3), the term “person” includes its affiliates; and</w:t>
      </w:r>
    </w:p>
    <w:p>
      <w:pPr>
        <w:spacing w:after="0" w:line="144" w:lineRule="exact"/>
        <w:rPr>
          <w:rFonts w:ascii="Arial" w:cs="Arial" w:eastAsia="Arial" w:hAnsi="Arial"/>
          <w:sz w:val="18"/>
          <w:szCs w:val="18"/>
          <w:u w:val="single" w:color="auto"/>
          <w:color w:val="auto"/>
        </w:rPr>
      </w:pPr>
    </w:p>
    <w:p>
      <w:pPr>
        <w:jc w:val="both"/>
        <w:ind w:left="1060" w:right="20" w:hanging="346"/>
        <w:spacing w:after="0" w:line="244" w:lineRule="auto"/>
        <w:tabs>
          <w:tab w:leader="none" w:pos="1060" w:val="left"/>
        </w:tabs>
        <w:numPr>
          <w:ilvl w:val="1"/>
          <w:numId w:val="8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 person “owns” shares held in the name of a nominee or other intermediary so long as such person retains both: (A) the full voting and investment rights pertaining to the shares; and (B) the full economic interest in the shares. The person’s ownership of shares is deemed to continue during any period in which the person has delegated any voting power by means of a proxy, power of attorney, or other instrument or arrangement that is revocable at any time by the person.</w:t>
      </w:r>
    </w:p>
    <w:p>
      <w:pPr>
        <w:spacing w:after="0" w:line="149" w:lineRule="exact"/>
        <w:rPr>
          <w:rFonts w:ascii="Arial" w:cs="Arial" w:eastAsia="Arial" w:hAnsi="Arial"/>
          <w:sz w:val="18"/>
          <w:szCs w:val="18"/>
          <w:u w:val="single" w:color="auto"/>
          <w:color w:val="auto"/>
        </w:rPr>
      </w:pPr>
    </w:p>
    <w:p>
      <w:pPr>
        <w:jc w:val="both"/>
        <w:ind w:left="700" w:right="20" w:hanging="346"/>
        <w:spacing w:after="0" w:line="239" w:lineRule="auto"/>
        <w:tabs>
          <w:tab w:leader="none" w:pos="700" w:val="left"/>
        </w:tabs>
        <w:numPr>
          <w:ilvl w:val="0"/>
          <w:numId w:val="8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Any person seeking to request a special meeting shall first request that the Board of Directors fix a record date to determine the persons entitled to request a special meeting (the “ownership record date”) by delivering notice in writing to the Secretary at the principal executive offices of the Corporation (the “record date request notice”). A person’s record date request notice shall contain information about the class or series and number of shares of stock of the Corporation which are owned of record and beneficially by the person and state the business proposed to be acted on at the meeting. Upon receiving a record date request notice, the Board of Directors may set an ownership record date. Notwithstanding any other provision of these Bylaws, the ownership record date shall not precede the date upon which the resolution fixing the ownership record date is adopted by the Board of Directors,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0072AF"/>
        </w:rPr>
        <w:t> ANNEX B PROPOSED AMENDMENTS TO THE BY-LAWS TO IMPLEMENT THE RIGHT TO REQUEST A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8293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58" w:lineRule="exact"/>
        <w:rPr>
          <w:sz w:val="20"/>
          <w:szCs w:val="20"/>
          <w:color w:val="auto"/>
        </w:rPr>
      </w:pPr>
    </w:p>
    <w:p>
      <w:pPr>
        <w:jc w:val="both"/>
        <w:ind w:left="720"/>
        <w:spacing w:after="0"/>
        <w:rPr>
          <w:sz w:val="20"/>
          <w:szCs w:val="20"/>
          <w:color w:val="auto"/>
        </w:rPr>
      </w:pPr>
      <w:r>
        <w:rPr>
          <w:rFonts w:ascii="Arial" w:cs="Arial" w:eastAsia="Arial" w:hAnsi="Arial"/>
          <w:sz w:val="18"/>
          <w:szCs w:val="18"/>
          <w:u w:val="single" w:color="auto"/>
          <w:color w:val="auto"/>
        </w:rPr>
        <w:t>and shall not be more than ten (10) days after the close of business (as defined in Article I, Section 5) on the date upon which the resolution fixing the ownership record date is adopted by the Board of Directors. If the Board of Directors, within ten (10) days after the date upon which a valid record date request notice is received by the Secretary, does not adopt a resolution fixing the ownership record date, the ownership record date shall be the close of business on the 10th day after the date upon which a valid record date request notice is received by the Secretary (or, if such 10th day is not a business day, the first business day thereafter).</w:t>
      </w:r>
    </w:p>
    <w:p>
      <w:pPr>
        <w:spacing w:after="0" w:line="158" w:lineRule="exact"/>
        <w:rPr>
          <w:sz w:val="20"/>
          <w:szCs w:val="20"/>
          <w:color w:val="auto"/>
        </w:rPr>
      </w:pPr>
    </w:p>
    <w:p>
      <w:pPr>
        <w:jc w:val="both"/>
        <w:ind w:left="700" w:right="20" w:hanging="346"/>
        <w:spacing w:after="0" w:line="237" w:lineRule="auto"/>
        <w:tabs>
          <w:tab w:leader="none" w:pos="700" w:val="left"/>
        </w:tabs>
        <w:numPr>
          <w:ilvl w:val="0"/>
          <w:numId w:val="8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In order for a stockholder-requested special meeting to be called by the President, a Vice-President or the Secretary, one or more written requests for a special meeting signed by persons (or their duly authorized agents) who own or who are acting on behalf of persons who own, as of the ownership record date, at least the requisite percent (the “special meeting request”), shall be delivered to the Secretary. A special meeting request shall: (i) state the business (including the identity of nominees for election as a director, if any) proposed to be acted on at the meeting, which shall be limited to the business set forth in the record date request notice received by the Secretary; (ii) bear the date of signature of each such person (or duly authorized agent) submitting the special meeting request; (iii) set forth the name and address of each person submitting the special meeting request (as they appear on the Corporation’s books, if applicable);</w:t>
      </w:r>
    </w:p>
    <w:p>
      <w:pPr>
        <w:jc w:val="both"/>
        <w:ind w:left="700" w:right="20" w:firstLine="5"/>
        <w:spacing w:after="0" w:line="234" w:lineRule="auto"/>
        <w:tabs>
          <w:tab w:leader="none" w:pos="10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contain the information required by Article‎ I, Section 5 with respect to any director nominations or other </w:t>
      </w:r>
      <w:r>
        <w:rPr>
          <w:rFonts w:ascii="Arial" w:cs="Arial" w:eastAsia="Arial" w:hAnsi="Arial"/>
          <w:sz w:val="18"/>
          <w:szCs w:val="18"/>
          <w:u w:val="single" w:color="auto"/>
          <w:color w:val="auto"/>
        </w:rPr>
        <w:t>business proposed to be presented at the special meeting, and as to each person requesting the meeting, any nominee such person proposes to be elected as a director and each other person (including any beneficial owner) on whose behalf the person requesting the meeting is acting, other than persons who are not affiliates or associates of the requesting person and who have provided such special meeting request solely in response to any form of public solicitation for such special meeting request; (v) include documentary evidence that the requesting persons own the requisite percent as of the ownership record date; provided, however, that if the requesting persons are not the beneficial owners of the shares representing the requisite percent, then to be valid, the special meeting request must also include</w:t>
      </w:r>
    </w:p>
    <w:p>
      <w:pPr>
        <w:spacing w:after="0" w:line="6" w:lineRule="exact"/>
        <w:rPr>
          <w:rFonts w:ascii="Arial" w:cs="Arial" w:eastAsia="Arial" w:hAnsi="Arial"/>
          <w:sz w:val="18"/>
          <w:szCs w:val="18"/>
          <w:color w:val="auto"/>
        </w:rPr>
      </w:pPr>
    </w:p>
    <w:p>
      <w:pPr>
        <w:jc w:val="both"/>
        <w:ind w:left="700" w:right="20"/>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documentary evidence of the number of shares owned (as defined in paragraph‎ (b) above) by the </w:t>
      </w:r>
      <w:r>
        <w:rPr>
          <w:rFonts w:ascii="Arial" w:cs="Arial" w:eastAsia="Arial" w:hAnsi="Arial"/>
          <w:sz w:val="18"/>
          <w:szCs w:val="18"/>
          <w:u w:val="single" w:color="auto"/>
          <w:color w:val="auto"/>
        </w:rPr>
        <w:t>beneficial owners on whose behalf the special meeting request is made as of the ownership record date;</w:t>
      </w:r>
    </w:p>
    <w:p>
      <w:pPr>
        <w:spacing w:after="0" w:line="1" w:lineRule="exact"/>
        <w:rPr>
          <w:rFonts w:ascii="Arial" w:cs="Arial" w:eastAsia="Arial" w:hAnsi="Arial"/>
          <w:sz w:val="18"/>
          <w:szCs w:val="18"/>
          <w:color w:val="auto"/>
        </w:rPr>
      </w:pPr>
    </w:p>
    <w:p>
      <w:pPr>
        <w:jc w:val="both"/>
        <w:ind w:left="700" w:right="20" w:firstLine="5"/>
        <w:spacing w:after="0" w:line="236" w:lineRule="auto"/>
        <w:tabs>
          <w:tab w:leader="none" w:pos="1034" w:val="left"/>
        </w:tabs>
        <w:numPr>
          <w:ilvl w:val="1"/>
          <w:numId w:val="8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be delivered to the Secretary at the principal executive offices of the Corporation, by hand or by certified or registered mail, return receipt requested, within sixty (60) days after the ownership record date. The special meeting request shall be updated and supplemented within five (5) business days after the record date for determining the stockholders entitled to vote at the stockholder requested-special meeting (or by the opening of business on the date of the meeting, whichever is earlier, if the record date for determining the stockholders entitled to vote at the meeting is different from the record date for determining the stockholders entitled to notice of the meeting), and in either case such information when provided to the Corporation shall be current as of the record date for determining the stockholders entitled to vote at the meeting. In addition, the requesting person and each other person (including any beneficial owner) on whose behalf the person is acting, shall provide such other information as the Corporation may reasonably request within ten (10) business days of such a request.</w:t>
      </w:r>
    </w:p>
    <w:p>
      <w:pPr>
        <w:spacing w:after="0" w:line="146" w:lineRule="exact"/>
        <w:rPr>
          <w:rFonts w:ascii="Arial" w:cs="Arial" w:eastAsia="Arial" w:hAnsi="Arial"/>
          <w:sz w:val="18"/>
          <w:szCs w:val="18"/>
          <w:u w:val="single" w:color="auto"/>
          <w:color w:val="auto"/>
        </w:rPr>
      </w:pPr>
    </w:p>
    <w:p>
      <w:pPr>
        <w:jc w:val="both"/>
        <w:ind w:left="700" w:right="20" w:hanging="346"/>
        <w:spacing w:after="0"/>
        <w:tabs>
          <w:tab w:leader="none" w:pos="700" w:val="left"/>
        </w:tabs>
        <w:numPr>
          <w:ilvl w:val="0"/>
          <w:numId w:val="8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After receiving a special meeting request, the Board of Directors shall determine in good faith whether the persons requesting the special meeting have satisfied the requirements for calling a special meeting of stockholders, and the Corporation shall notify the requesting person of the Board’s determination about whether the special meeting request is valid, which determination shall be conclusive and binding on the Corporation and all stockholders and other persons. The date, time and place of the special meeting shall be fixed by the Board of Directors, and the date of the special meeting shall not be more than ninety (90) days after the date on which the Board of Directors fixes the date of the special meeting. The record date for the special meeting shall be fixed by the Board of Directors in accordance with these By-laws.</w:t>
      </w:r>
    </w:p>
    <w:p>
      <w:pPr>
        <w:spacing w:after="0" w:line="139" w:lineRule="exact"/>
        <w:rPr>
          <w:rFonts w:ascii="Arial" w:cs="Arial" w:eastAsia="Arial" w:hAnsi="Arial"/>
          <w:sz w:val="18"/>
          <w:szCs w:val="18"/>
          <w:u w:val="single" w:color="auto"/>
          <w:color w:val="auto"/>
        </w:rPr>
      </w:pPr>
    </w:p>
    <w:p>
      <w:pPr>
        <w:jc w:val="both"/>
        <w:ind w:left="700" w:right="20" w:hanging="346"/>
        <w:spacing w:after="0" w:line="236" w:lineRule="auto"/>
        <w:tabs>
          <w:tab w:leader="none" w:pos="700" w:val="left"/>
        </w:tabs>
        <w:numPr>
          <w:ilvl w:val="0"/>
          <w:numId w:val="8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 special meeting request shall not be valid, and the Corporation shall not call a special meeting if: (i) the special meeting request relates to an item of business that is not a proper subject for stockholder action under, or that involves a violation of, applicable law; (ii) an item of business that is the same or substantially similar (as determined in good faith by the Board of Directors) was presented at a meeting of stockholders occurring within ninety (90) days preceding the earliest date of signature on the special meeting request, provided that the removal of directors and the filling of the resulting vacancies shall not be considered the same or substantially similar to the election of directors at the preceding annual meeting of stockholders; (iii) the special meeting request is delivered during the period commencing ninety (90) days prior to the first anniversary of the preceding year’s annual meeting and ending on the date of the next annual meeting of stockholders; or (iv) the special meeting request does not comply with the</w:t>
      </w:r>
    </w:p>
    <w:p>
      <w:pPr>
        <w:spacing w:after="0" w:line="7" w:lineRule="exact"/>
        <w:rPr>
          <w:rFonts w:ascii="Arial" w:cs="Arial" w:eastAsia="Arial" w:hAnsi="Arial"/>
          <w:sz w:val="18"/>
          <w:szCs w:val="18"/>
          <w:u w:val="single" w:color="auto"/>
          <w:color w:val="auto"/>
        </w:rPr>
      </w:pPr>
    </w:p>
    <w:p>
      <w:pPr>
        <w:ind w:left="700"/>
        <w:spacing w:after="0"/>
        <w:rPr>
          <w:rFonts w:ascii="Arial" w:cs="Arial" w:eastAsia="Arial" w:hAnsi="Arial"/>
          <w:sz w:val="18"/>
          <w:szCs w:val="18"/>
          <w:u w:val="single" w:color="auto"/>
          <w:color w:val="auto"/>
        </w:rPr>
      </w:pPr>
      <w:r>
        <w:rPr>
          <w:rFonts w:ascii="Arial" w:cs="Arial" w:eastAsia="Arial" w:hAnsi="Arial"/>
          <w:sz w:val="18"/>
          <w:szCs w:val="18"/>
          <w:color w:val="auto"/>
        </w:rPr>
        <w:t>requirements of this Section‎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-5385435</wp:posOffset>
            </wp:positionV>
            <wp:extent cx="53727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372735" cy="825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-4227830</wp:posOffset>
            </wp:positionV>
            <wp:extent cx="53682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368290" cy="825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-19050</wp:posOffset>
            </wp:positionV>
            <wp:extent cx="154305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128905</wp:posOffset>
            </wp:positionV>
            <wp:extent cx="699516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color w:val="0072AF"/>
        </w:rPr>
        <w:t> ANNEX B PROPOSED AMENDMENTS TO THE BY-LAWS TO IMPLEMENT THE RIGHT TO REQUEST A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8293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58" w:lineRule="exact"/>
        <w:rPr>
          <w:sz w:val="20"/>
          <w:szCs w:val="20"/>
          <w:color w:val="auto"/>
        </w:rPr>
      </w:pPr>
    </w:p>
    <w:p>
      <w:pPr>
        <w:jc w:val="both"/>
        <w:ind w:left="700" w:hanging="346"/>
        <w:spacing w:after="0" w:line="244" w:lineRule="auto"/>
        <w:tabs>
          <w:tab w:leader="none" w:pos="700" w:val="left"/>
        </w:tabs>
        <w:numPr>
          <w:ilvl w:val="0"/>
          <w:numId w:val="8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Any person who submitted a special meeting request may revoke its written request by written revocation delivered to the Secretary at the principal executive offices of the Corporation at any time prior to the stockholder-requested special meeting. If, as a result of any revocations, there are no longer valid unrevoked written requests from the requisite percent, the Board of Directors shall have the discretion to determine whether or not to proceed with the special meeting.</w:t>
      </w:r>
    </w:p>
    <w:p>
      <w:pPr>
        <w:spacing w:after="0" w:line="149" w:lineRule="exact"/>
        <w:rPr>
          <w:rFonts w:ascii="Arial" w:cs="Arial" w:eastAsia="Arial" w:hAnsi="Arial"/>
          <w:sz w:val="18"/>
          <w:szCs w:val="18"/>
          <w:u w:val="single" w:color="auto"/>
          <w:color w:val="auto"/>
        </w:rPr>
      </w:pPr>
    </w:p>
    <w:p>
      <w:pPr>
        <w:jc w:val="both"/>
        <w:ind w:left="700" w:hanging="346"/>
        <w:spacing w:after="0"/>
        <w:tabs>
          <w:tab w:leader="none" w:pos="700" w:val="left"/>
        </w:tabs>
        <w:numPr>
          <w:ilvl w:val="0"/>
          <w:numId w:val="8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Business transacted at a stockholder-requested special meeting shall be limited to: (i) the business stated in the valid special meeting request received from the requisite percent; and (ii) any additional business that the Board of Directors determines to include in the Corporation’s notice of meeting. If none of the persons who submitted the special meeting request (or their qualified representatives, as defined in</w:t>
      </w:r>
    </w:p>
    <w:p>
      <w:pPr>
        <w:jc w:val="both"/>
        <w:ind w:left="700"/>
        <w:spacing w:after="0" w:line="239" w:lineRule="auto"/>
        <w:rPr>
          <w:rFonts w:ascii="Arial" w:cs="Arial" w:eastAsia="Arial" w:hAnsi="Arial"/>
          <w:sz w:val="18"/>
          <w:szCs w:val="18"/>
          <w:u w:val="single" w:color="auto"/>
          <w:color w:val="auto"/>
        </w:rPr>
      </w:pPr>
      <w:r>
        <w:rPr>
          <w:rFonts w:ascii="Arial" w:cs="Arial" w:eastAsia="Arial" w:hAnsi="Arial"/>
          <w:sz w:val="18"/>
          <w:szCs w:val="18"/>
          <w:color w:val="auto"/>
        </w:rPr>
        <w:t xml:space="preserve">Article‎ I, Section 10) appears at the special meeting to present the matter or matters to be brought before </w:t>
      </w:r>
      <w:r>
        <w:rPr>
          <w:rFonts w:ascii="Arial" w:cs="Arial" w:eastAsia="Arial" w:hAnsi="Arial"/>
          <w:sz w:val="18"/>
          <w:szCs w:val="18"/>
          <w:u w:val="single" w:color="auto"/>
          <w:color w:val="auto"/>
        </w:rPr>
        <w:t>the special meeting that were specified in the special meeting request, the Corporation need not present the matter or matters for a vote at the meeting, notwithstanding that proxies and votes in respect of such matter may have been received by the Corporation. The Board of Directors may postpone, reschedule or cancel any special meeting of stockholders previously scheduled pursuant to this Section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-541655</wp:posOffset>
            </wp:positionV>
            <wp:extent cx="537146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371465"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ANNEX C: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32"/>
          <w:szCs w:val="32"/>
          <w:b w:val="1"/>
          <w:bCs w:val="1"/>
          <w:color w:val="4B5A89"/>
        </w:rPr>
        <w:t>Annex C: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582930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0072AF"/>
        </w:rPr>
        <w:t>1996 PITNEY BOWES EMPLOYEE STOCK</w:t>
      </w:r>
    </w:p>
    <w:p>
      <w:pPr>
        <w:spacing w:after="0" w:line="12"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0072AF"/>
        </w:rPr>
        <w:t>PURCHASE PLAN</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(as amended and restated in May 2003 and May 2024)</w:t>
      </w:r>
    </w:p>
    <w:p>
      <w:pPr>
        <w:spacing w:after="0" w:line="20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99"/>
          </w:cols>
          <w:pgMar w:left="1360" w:top="114"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ANNEX C: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175260</wp:posOffset>
            </wp:positionV>
            <wp:extent cx="58293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0072AF"/>
        </w:rPr>
        <w:t>1996 PITNEY BOWES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1. Introduction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Pitney Bowes Employee Stock Purchase Plan (the </w:t>
      </w:r>
      <w:r>
        <w:rPr>
          <w:rFonts w:ascii="Arial" w:cs="Arial" w:eastAsia="Arial" w:hAnsi="Arial"/>
          <w:sz w:val="18"/>
          <w:szCs w:val="18"/>
          <w:b w:val="1"/>
          <w:bCs w:val="1"/>
          <w:color w:val="auto"/>
        </w:rPr>
        <w:t>“Plan”</w:t>
      </w:r>
      <w:r>
        <w:rPr>
          <w:rFonts w:ascii="Arial" w:cs="Arial" w:eastAsia="Arial" w:hAnsi="Arial"/>
          <w:sz w:val="18"/>
          <w:szCs w:val="18"/>
          <w:color w:val="auto"/>
        </w:rPr>
        <w:t xml:space="preserve">) is designed to encourage employees to become partial owners of Pitney Bowes Inc. (the </w:t>
      </w:r>
      <w:r>
        <w:rPr>
          <w:rFonts w:ascii="Arial" w:cs="Arial" w:eastAsia="Arial" w:hAnsi="Arial"/>
          <w:sz w:val="18"/>
          <w:szCs w:val="18"/>
          <w:b w:val="1"/>
          <w:bCs w:val="1"/>
          <w:color w:val="auto"/>
        </w:rPr>
        <w:t>“Company”</w:t>
      </w:r>
      <w:r>
        <w:rPr>
          <w:rFonts w:ascii="Arial" w:cs="Arial" w:eastAsia="Arial" w:hAnsi="Arial"/>
          <w:sz w:val="18"/>
          <w:szCs w:val="18"/>
          <w:color w:val="auto"/>
        </w:rPr>
        <w:t>) by the acquisition of shares of common stock of the Company, (</w:t>
      </w:r>
      <w:r>
        <w:rPr>
          <w:rFonts w:ascii="Arial" w:cs="Arial" w:eastAsia="Arial" w:hAnsi="Arial"/>
          <w:sz w:val="18"/>
          <w:szCs w:val="18"/>
          <w:b w:val="1"/>
          <w:bCs w:val="1"/>
          <w:color w:val="auto"/>
        </w:rPr>
        <w:t>“Common Stock”</w:t>
      </w:r>
      <w:r>
        <w:rPr>
          <w:rFonts w:ascii="Arial" w:cs="Arial" w:eastAsia="Arial" w:hAnsi="Arial"/>
          <w:sz w:val="18"/>
          <w:szCs w:val="18"/>
          <w:color w:val="auto"/>
        </w:rPr>
        <w:t>), thereby stimulating their personal and active interest in its growth and prosperity.</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It is the intention of the Company to have the Plan qualify as an “employee stock purchase plan” under Section 423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or any successor provision thereto, and the Plan shall be construed in accordance with such purpose.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2. Eligible Employees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“Eligible Employee”</w:t>
      </w:r>
      <w:r>
        <w:rPr>
          <w:rFonts w:ascii="Arial" w:cs="Arial" w:eastAsia="Arial" w:hAnsi="Arial"/>
          <w:sz w:val="18"/>
          <w:szCs w:val="18"/>
          <w:color w:val="auto"/>
        </w:rPr>
        <w:t xml:space="preserve"> is any person (i) who is an employee of (A) Pitney Bowes Inc. or (B) a subsidiary designated as a “a participating subsidiary” by the Committee, (ii) who has been employed for at least twenty (20) hours a week continuously since the last day of the fourth month preceding the month in which occurs the Initial Payroll Deduction Date (as defined below), and (iii) whose customary employment is for more than five (5) months in any one calendar year. An Eligible Employee shall be eligible to be offered options under this Plan.</w:t>
      </w:r>
    </w:p>
    <w:p>
      <w:pPr>
        <w:spacing w:after="0" w:line="176"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Any provision of this Plan to the contrary notwithstanding, no Eligible Employee shall be granted an option under this Plan:</w:t>
      </w:r>
    </w:p>
    <w:p>
      <w:pPr>
        <w:spacing w:after="0" w:line="127" w:lineRule="exact"/>
        <w:rPr>
          <w:sz w:val="20"/>
          <w:szCs w:val="20"/>
          <w:color w:val="auto"/>
        </w:rPr>
      </w:pPr>
    </w:p>
    <w:p>
      <w:pPr>
        <w:jc w:val="both"/>
        <w:ind w:left="700" w:right="20" w:hanging="346"/>
        <w:spacing w:after="0" w:line="253" w:lineRule="auto"/>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immediately after the grant such Eligible Employee would own shares and/or hold outstanding options to purchase stock possessing five percent (5%) or more of the total combined voting power or value of all classes of stock of the Company or of any subsidiary of the Company; or</w:t>
      </w:r>
    </w:p>
    <w:p>
      <w:pPr>
        <w:spacing w:after="0" w:line="128" w:lineRule="exact"/>
        <w:rPr>
          <w:rFonts w:ascii="Arial" w:cs="Arial" w:eastAsia="Arial" w:hAnsi="Arial"/>
          <w:sz w:val="18"/>
          <w:szCs w:val="18"/>
          <w:color w:val="auto"/>
        </w:rPr>
      </w:pPr>
    </w:p>
    <w:p>
      <w:pPr>
        <w:jc w:val="both"/>
        <w:ind w:left="700" w:right="20" w:hanging="346"/>
        <w:spacing w:after="0" w:line="244" w:lineRule="auto"/>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Which permits the Eligible Employee’s rights to purchase shares under all employee stock purchase plans of the Company and its subsidiaries to accrue at a rate which exceeds $25,000, in the aggregate (or such greater amount as may be then permitted by Section 423, or any successor provision, of the Code), of the fair market value of the shares (determined at the time such option is granted) for each calendar year in which such options outstanding at any time.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An Eligible Employee who elects to participate as provided in Paragraph 4 shall be a “Participating Employee.”</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3. Offering</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may make offering (</w:t>
      </w:r>
      <w:r>
        <w:rPr>
          <w:rFonts w:ascii="Arial" w:cs="Arial" w:eastAsia="Arial" w:hAnsi="Arial"/>
          <w:sz w:val="18"/>
          <w:szCs w:val="18"/>
          <w:b w:val="1"/>
          <w:bCs w:val="1"/>
          <w:color w:val="auto"/>
        </w:rPr>
        <w:t>“Offerings”</w:t>
      </w:r>
      <w:r>
        <w:rPr>
          <w:rFonts w:ascii="Arial" w:cs="Arial" w:eastAsia="Arial" w:hAnsi="Arial"/>
          <w:sz w:val="18"/>
          <w:szCs w:val="18"/>
          <w:color w:val="auto"/>
        </w:rPr>
        <w:t>) of shares of its Common Stock to Participating Employees. The Company may, if the Committee (as defined below) so directs, make one or more Offerings in any calendar year. For each Offering, Participating Employees will be granted rights to purchase stock in amounts up to a maximum percentage of such Participating Employee’s annual compensation, which maximum percentage shall be 10% or such other percentage determined with respect to an Offering by the Committee in its discretion and shall apply uniformly to all participating Employees with respect to each such Offering. “Compensation” shall be as defined by the Administrator and shall apply to all participating Employees with respect to the applicable Offering.</w:t>
      </w:r>
    </w:p>
    <w:p>
      <w:pPr>
        <w:spacing w:after="0" w:line="14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term of each Offering shall be one (1) year from July 1 (or such other length of term and commencement date as the Committee, in its discretion, shall designate) (the </w:t>
      </w:r>
      <w:r>
        <w:rPr>
          <w:rFonts w:ascii="Arial" w:cs="Arial" w:eastAsia="Arial" w:hAnsi="Arial"/>
          <w:sz w:val="18"/>
          <w:szCs w:val="18"/>
          <w:b w:val="1"/>
          <w:bCs w:val="1"/>
          <w:color w:val="auto"/>
        </w:rPr>
        <w:t>“Offering Date”</w:t>
      </w:r>
      <w:r>
        <w:rPr>
          <w:rFonts w:ascii="Arial" w:cs="Arial" w:eastAsia="Arial" w:hAnsi="Arial"/>
          <w:sz w:val="18"/>
          <w:szCs w:val="18"/>
          <w:color w:val="auto"/>
        </w:rPr>
        <w:t>) of the Offering year. For each Offering, the last business day of the term of the Offering shall be the date of exercise (</w:t>
      </w:r>
      <w:r>
        <w:rPr>
          <w:rFonts w:ascii="Arial" w:cs="Arial" w:eastAsia="Arial" w:hAnsi="Arial"/>
          <w:sz w:val="18"/>
          <w:szCs w:val="18"/>
          <w:b w:val="1"/>
          <w:bCs w:val="1"/>
          <w:color w:val="auto"/>
        </w:rPr>
        <w:t>“Exercise Date”</w:t>
      </w:r>
      <w:r>
        <w:rPr>
          <w:rFonts w:ascii="Arial" w:cs="Arial" w:eastAsia="Arial" w:hAnsi="Arial"/>
          <w:sz w:val="18"/>
          <w:szCs w:val="18"/>
          <w:color w:val="auto"/>
        </w:rPr>
        <w:t xml:space="preserve">) unless the Committee determines otherwise. For each Offering the option price per share of stock (the </w:t>
      </w:r>
      <w:r>
        <w:rPr>
          <w:rFonts w:ascii="Arial" w:cs="Arial" w:eastAsia="Arial" w:hAnsi="Arial"/>
          <w:sz w:val="18"/>
          <w:szCs w:val="18"/>
          <w:b w:val="1"/>
          <w:bCs w:val="1"/>
          <w:color w:val="auto"/>
        </w:rPr>
        <w:t>“Exercise Price”</w:t>
      </w:r>
      <w:r>
        <w:rPr>
          <w:rFonts w:ascii="Arial" w:cs="Arial" w:eastAsia="Arial" w:hAnsi="Arial"/>
          <w:sz w:val="18"/>
          <w:szCs w:val="18"/>
          <w:color w:val="auto"/>
        </w:rPr>
        <w:t xml:space="preserve">) will be determined by the Committee, in its discretion, but, unless the Committee determines otherwise and subject to the first paragraph of Section 8, shall be expressed as a percentage (the </w:t>
      </w:r>
      <w:r>
        <w:rPr>
          <w:rFonts w:ascii="Arial" w:cs="Arial" w:eastAsia="Arial" w:hAnsi="Arial"/>
          <w:sz w:val="18"/>
          <w:szCs w:val="18"/>
          <w:b w:val="1"/>
          <w:bCs w:val="1"/>
          <w:color w:val="auto"/>
        </w:rPr>
        <w:t>“Discount”</w:t>
      </w:r>
      <w:r>
        <w:rPr>
          <w:rFonts w:ascii="Arial" w:cs="Arial" w:eastAsia="Arial" w:hAnsi="Arial"/>
          <w:sz w:val="18"/>
          <w:szCs w:val="18"/>
          <w:color w:val="auto"/>
        </w:rPr>
        <w:t xml:space="preserve">) of the average of the high and low price of the Common Stock on the New York Stock Exchange (the </w:t>
      </w:r>
      <w:r>
        <w:rPr>
          <w:rFonts w:ascii="Arial" w:cs="Arial" w:eastAsia="Arial" w:hAnsi="Arial"/>
          <w:sz w:val="18"/>
          <w:szCs w:val="18"/>
          <w:b w:val="1"/>
          <w:bCs w:val="1"/>
          <w:color w:val="auto"/>
        </w:rPr>
        <w:t>“Average Price”</w:t>
      </w:r>
      <w:r>
        <w:rPr>
          <w:rFonts w:ascii="Arial" w:cs="Arial" w:eastAsia="Arial" w:hAnsi="Arial"/>
          <w:sz w:val="18"/>
          <w:szCs w:val="18"/>
          <w:color w:val="auto"/>
        </w:rPr>
        <w:t>) on the Offering Date. In no event shall the Committee determine an Exercise Price that is less than the lowest price that employee stock purchase plans are permitted to establish under Section 423 (or any successor provision) of the Code nor shall an option granted under this Plan be exercisable for a period of time longer than that permitted under Section 423 (or any successor provision) of the Code.</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Committee (or the Administrator if permitted by the terms of the Plan) shall in its discretion determine the terms and conditions under which each Offering shall be made and shall authorize and determine the number of shares of Common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ANNEX C: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Stock that may be issued pursuant to each Offering. The Administrator shall determine the exact number of shares of Common Stock utilized in each Offering and shall report such information to the Treasurer or his or her delegate. The maximum number of shares of Common Stock that may be issued pursuant to this Plan is 3,931,060.</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4. Method of Participation</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Unless the Administrator shall specify otherwise, an Eligible Employee may become a Participating Employee in the Plan by filing on or before the Offering Date a completed Stock Purchase form provided by the Company and applying for an allotment of the number of shares purchasable, not to exceed the amounts described below. Any such Stock Purchase form pursuant to this paragraph 4 shall remain in effect for subsequent Offerings unless such Participating Employee delivers a new Stock Purchase form applying for a different allotment, which shall be applied to future Offerings until a further Stock Purchase form is received by the Company pursuant to this paragraph 4. Unless the Administrator shall specify otherwise, all Eligible Employee will also be required to agree to payroll deductions to cover the purchase price of such shares in accordance with paragraph 6.</w:t>
      </w:r>
    </w:p>
    <w:p>
      <w:pPr>
        <w:spacing w:after="0" w:line="14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Unless the Committee shall specify otherwise, on the Offering Date each Participating Employee will be granted all allotment for the number of shares of Common Stock which are purchasable, computed as the aggregate amount designated by such Participating Employee on such Participating Employee’s Stock Purchase form to be deducted during the term of the Offering divided by the Exercise Price or for such reduced amount as permitted under paragraph 5 below. If such amount does not result in a whole number of shares, the number of shares will be decreased to the next lowest whole number.</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Notice of the Offering will be given to each Participating Employee with full details as to the aggregate number of shares offered, the Exercise Price, the number of shares allotted to the Participating Employee, the amount of payroll deductions to be made and any pro rata reduction in accordance with paragraph 5.</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5. Oversubscriptions</w:t>
      </w:r>
    </w:p>
    <w:p>
      <w:pPr>
        <w:spacing w:after="0" w:line="17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the event the number of shares for which subscriptions are received exceeds the number of shares offered as determined under paragraph 3, the number of shares allotted to each Participating Employee will be proportionately reduced.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6. Payroll Deductions</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Unless the Administrator shall specify otherwise, the purchase price of each share of Common Stock for which a Participating Employee has a right to purchase will be deducted over a one (1) year period (or such shorter period as may be determined by the Administrator) in substantially equal installments (weekly, biweekly, semi-monthly or monthly, depending on the normal pay period of such Participating Employee), Unless the Administrator shall specify otherwise, deductions shall begin in the first pay period commencing after the Offering Date (the </w:t>
      </w:r>
      <w:r>
        <w:rPr>
          <w:rFonts w:ascii="Arial" w:cs="Arial" w:eastAsia="Arial" w:hAnsi="Arial"/>
          <w:sz w:val="18"/>
          <w:szCs w:val="18"/>
          <w:b w:val="1"/>
          <w:bCs w:val="1"/>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color w:val="auto"/>
        </w:rPr>
        <w:t>Payroll Deduction Date”</w:t>
      </w:r>
      <w:r>
        <w:rPr>
          <w:rFonts w:ascii="Arial" w:cs="Arial" w:eastAsia="Arial" w:hAnsi="Arial"/>
          <w:sz w:val="18"/>
          <w:szCs w:val="18"/>
          <w:color w:val="auto"/>
        </w:rPr>
        <w:t>). All payroll deductions may be used by the Company for general corporate purposes. A</w:t>
      </w:r>
      <w:r>
        <w:rPr>
          <w:rFonts w:ascii="Arial" w:cs="Arial" w:eastAsia="Arial" w:hAnsi="Arial"/>
          <w:sz w:val="18"/>
          <w:szCs w:val="18"/>
          <w:b w:val="1"/>
          <w:bCs w:val="1"/>
          <w:color w:val="auto"/>
        </w:rPr>
        <w:t xml:space="preserve"> </w:t>
      </w:r>
      <w:r>
        <w:rPr>
          <w:rFonts w:ascii="Arial" w:cs="Arial" w:eastAsia="Arial" w:hAnsi="Arial"/>
          <w:sz w:val="18"/>
          <w:szCs w:val="18"/>
          <w:color w:val="auto"/>
        </w:rPr>
        <w:t>separate bookkeeping account for each Participating Employee shall be maintained by the Company and the amount of each Participating Employee’s payroll deductions shall be credited to such account.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7. Rights as a Stockholder</w:t>
      </w:r>
    </w:p>
    <w:p>
      <w:pPr>
        <w:spacing w:after="0" w:line="18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 Participating Employee will have none of the rights or privileges of a stockholder of the Company until the full purchase price of such Participating Employee’s shares has been paid and such shares of Common Stock have been issued to the Participating Employee.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8. Issuance of Stock</w:t>
      </w:r>
    </w:p>
    <w:p>
      <w:pPr>
        <w:spacing w:after="0" w:line="175"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 xml:space="preserve">Unless a Participating Employee cancels such Participating Employee’s right to purchase as provided below, it will be exercised and become an obligation to take the shares of Common Stock as of the Exercise Date. Within a reasonable time after the Exercise Date, the number of shares purchased by a Participating Employee will be credited to such Participating Employee. Unless the Committee shall specify otherwise, if the Discount times the Average Price of the Common Stock on the Exercise Date yields a purchase price per share (the </w:t>
      </w:r>
      <w:r>
        <w:rPr>
          <w:rFonts w:ascii="Arial" w:cs="Arial" w:eastAsia="Arial" w:hAnsi="Arial"/>
          <w:sz w:val="18"/>
          <w:szCs w:val="18"/>
          <w:b w:val="1"/>
          <w:bCs w:val="1"/>
          <w:color w:val="auto"/>
        </w:rPr>
        <w:t>“New Price”</w:t>
      </w:r>
      <w:r>
        <w:rPr>
          <w:rFonts w:ascii="Arial" w:cs="Arial" w:eastAsia="Arial" w:hAnsi="Arial"/>
          <w:sz w:val="18"/>
          <w:szCs w:val="18"/>
          <w:color w:val="auto"/>
        </w:rPr>
        <w:t>) less than the Exercise Price, then the New Price shall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128905</wp:posOffset>
            </wp:positionV>
            <wp:extent cx="699516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ANNEX C: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be used for any purchase for such Offering and the Participating Employee shall also receive an amount equal to the difference between the New Price and the Exercise Price times the number of shares so purchased for such Participating Employee.</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shares will be issued in the name of the employee or, upon such employee’s request, jointly in such employee’s name and that of a family member as specified on such employee’s Stock Purchase Registration form.</w:t>
      </w:r>
    </w:p>
    <w:p>
      <w:pPr>
        <w:spacing w:after="0" w:line="11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Committee, in its discretion, may impose restrictions on the transferability of shares of Common Stock acquired pursuant to this Plan, and may cause to be placed on all stock certificates, or other evidences of ownership, legends or other indicators setting forth any such restrictions on transferability instructing the transfer agent to notify the Company of any transfer of such shares. Such restrictions, if any, shall apply uniformly to all Participating Employees with respect to any Offering.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9. Right to Cancel</w:t>
      </w:r>
    </w:p>
    <w:p>
      <w:pPr>
        <w:spacing w:after="0" w:line="18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At such time prior to the final payroll deduction to be made pursuant to any Offering as may be specified by the Administrator, a Participating Employee may cancel all or any part of such Participating Employee’s right to purchase by filing a notice of cancellation with the Company. Promptly after the Company’s receipt of such notice, the Participating Employee will receive the proportional amount withheld from such Participating Employee’s compensation in respect of that portion of such Participating Employee’s allotment which is canceled. Rights to purchase which have been canceled pursuant to this section may not be reinstated at a later date.</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10. Termination of Employment</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a Participating Employee dies prior to such Participating Employee’s final payroll deduction for an Offering, all of such Participating Employee’s right to purchase shall be canceled and such Participating Employee’s legal representative shall receive as soon as practicable payment in cash of the entire amount which has been deducted under the Plan.</w:t>
      </w:r>
    </w:p>
    <w:p>
      <w:pPr>
        <w:spacing w:after="0" w:line="14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a Participating Employee retires prior to such Participating Employee’s final payroll deduction for an Offering, such Participating Employee must decide at the time of such retirement in accordance with rules promulgated by the Administrator whether to have the amount which has been deducted as of such retirement (i) to be refunded to such Participating Employee or (ii) to be held by the Company and used on the Exercise Date to purchase the number of full shares of Common Stock such amount will purchase at the Exercise Price with the balance, if any, paid in cash to such retired employee.</w:t>
      </w:r>
    </w:p>
    <w:p>
      <w:pPr>
        <w:spacing w:after="0" w:line="13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If a Participating Employee’s employment is otherwise terminated, such Participating Employee’s only right will be to receive in cash the amount which has been deducted under the Plan.</w:t>
      </w:r>
    </w:p>
    <w:p>
      <w:pPr>
        <w:spacing w:after="0" w:line="11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Participating Employee who remains an employee, but whose name is temporarily taken off the payroll because of leave of absence, temporary disability, temporary layoff, military service, or for service with another organization which is to the mutual benefit of the Company and the employee, may cancel such Participating Employee’s right to purchase and receive in cash the amounts accumulated to such Participating Employee’s credit, or suspend further contributions. In the event of suspension of contributions, if such Participating Employee returns to the payroll prior to the last payroll date before the Exercise Date, payroll deductions shall be resumed subject to the Participating Employee’s rights under Section 9 and to the extent an amount remains credited to such Participating Employee’s account on the Exercise Date, such amount shall be used to purchase the number of full shares of Common Stock such amount will purchase at the Exercise Price with the balance, if any, paid in cash to such Participating Employee.</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11. Rights not Transferable</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 right under this Plan (other than stock issued pursuant to the terms of the Plan not otherwise subject to restrictions on transfer (</w:t>
      </w:r>
      <w:r>
        <w:rPr>
          <w:rFonts w:ascii="Arial" w:cs="Arial" w:eastAsia="Arial" w:hAnsi="Arial"/>
          <w:sz w:val="18"/>
          <w:szCs w:val="18"/>
          <w:b w:val="1"/>
          <w:bCs w:val="1"/>
          <w:color w:val="auto"/>
        </w:rPr>
        <w:t>“Released Stock”</w:t>
      </w:r>
      <w:r>
        <w:rPr>
          <w:rFonts w:ascii="Arial" w:cs="Arial" w:eastAsia="Arial" w:hAnsi="Arial"/>
          <w:sz w:val="18"/>
          <w:szCs w:val="18"/>
          <w:color w:val="auto"/>
        </w:rPr>
        <w:t>)) shall be assignable, alienable, saleable, or transferable by a Participating Employee other than by will or by the laws of descent and distribution. Each right under this Plan shall be exercisable during the Participating Employee’s lifetime only by the Participating Employee, or, if permissible under applicable law, by the Participating Employee’s guardian or legal representative. No right hereunder (other than Released Stock) may be pledged, alienated, attached, or otherwise encumbered and any purported pledge, alienation, attachment, or encumbrance thereof shall be void and unenforceable against the Company or any affiliate.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ANNEX C: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0072AF"/>
        </w:rPr>
        <w:t>12. Administration</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Plan shall be administered by a committee (the </w:t>
      </w:r>
      <w:r>
        <w:rPr>
          <w:rFonts w:ascii="Arial" w:cs="Arial" w:eastAsia="Arial" w:hAnsi="Arial"/>
          <w:sz w:val="18"/>
          <w:szCs w:val="18"/>
          <w:b w:val="1"/>
          <w:bCs w:val="1"/>
          <w:color w:val="auto"/>
        </w:rPr>
        <w:t>“Committee”</w:t>
      </w:r>
      <w:r>
        <w:rPr>
          <w:rFonts w:ascii="Arial" w:cs="Arial" w:eastAsia="Arial" w:hAnsi="Arial"/>
          <w:sz w:val="18"/>
          <w:szCs w:val="18"/>
          <w:color w:val="auto"/>
        </w:rPr>
        <w:t>) designated by the Board of Directors of the Company to administer the Plan, which committee shall be composed of persons then serving as Directors of the Company. The Committee shall have full authority to establish rules for the administration of the Plan, to make administrative decisions regarding the Plan and to make the determinations to be made by the Committee under the Plan. The Administrator, which shall be the Corporate Secretary or Assistant Corporate Secretary of the Company, may also make administrative decisions and perform functions regarding the Plan as provided in the Plan, except that the designation of Eligible Employees and decisions concerning the timing, pricing and amount of participation shall be made by the Committee, subject to the other terms of the Plan.</w:t>
      </w:r>
    </w:p>
    <w:p>
      <w:pPr>
        <w:spacing w:after="0" w:line="14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Unless otherwise expressly provided in the Plan, all designations, determinations, interpretations, and other decisions under or with respect to the Plan, any participation hereunder, or any participation agreement or certificate, shall be with and in the sole discretion of the Committee or the Administrator, as the case may be, may be made at any time, and shall be final, conclusive, and binding upon all persons, including the Company, any affiliate, any Participating Employee, any holder or beneficiary of any right of participation, and any employee of the Company or of any affiliate.</w:t>
      </w:r>
    </w:p>
    <w:p>
      <w:pPr>
        <w:spacing w:after="0" w:line="1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event a stock dividend, extraordinary cash dividend, spin-off, split-up, combination, exchange of shares, merger, consolidation, reorganization, recapitalization, or other similar corporate event affects the Common Stock such that an adjustment is required in order to preserve the benefits or potential benefits intended to be made available under the Plan, then the Committee shall, in its sole discretion, and in such manner as the Committee may deem equitable, adjust the maximum number of shares available under the Plan, the number and kind of shares subject to outstanding rights to purchase, and the terms relating to the purchase price with respect to such outstanding rights and take such other actions as the Committee, in its opinion, deems appropriate under the circumstances.</w:t>
      </w:r>
    </w:p>
    <w:p>
      <w:pPr>
        <w:spacing w:after="0" w:line="15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Board of Directors of the Company may, from time to time amend, suspend or discontinue this Plan for the purpose of meeting any changes in legal requirements or for any other purpose permitted by law and the Committee may also amend or alter the Plan from time to time in a manner not inconsistent with the Board’s power to amend, suspend or discontinue the Plan; provided, however, that, except for any adjustment authorized by the immediately preceding paragraph, the maximum number of shares that may be offered under this Plan may not be increased without appropriate stockholder approval.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09" w:name="page110"/>
    <w:bookmarkEnd w:id="10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ANNEX D: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2" w:lineRule="exact"/>
        <w:rPr>
          <w:sz w:val="20"/>
          <w:szCs w:val="20"/>
          <w:color w:val="auto"/>
        </w:rPr>
      </w:pPr>
    </w:p>
    <w:p>
      <w:pPr>
        <w:ind w:left="6"/>
        <w:spacing w:after="0"/>
        <w:rPr>
          <w:sz w:val="20"/>
          <w:szCs w:val="20"/>
          <w:color w:val="auto"/>
        </w:rPr>
      </w:pPr>
      <w:r>
        <w:rPr>
          <w:rFonts w:ascii="Arial" w:cs="Arial" w:eastAsia="Arial" w:hAnsi="Arial"/>
          <w:sz w:val="32"/>
          <w:szCs w:val="32"/>
          <w:b w:val="1"/>
          <w:bCs w:val="1"/>
          <w:color w:val="4B5A89"/>
        </w:rPr>
        <w:t>Annex D: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582930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1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72AF"/>
        </w:rPr>
        <w:t xml:space="preserve">Section 1. </w:t>
      </w:r>
      <w:r>
        <w:rPr>
          <w:rFonts w:ascii="Arial" w:cs="Arial" w:eastAsia="Arial" w:hAnsi="Arial"/>
          <w:sz w:val="22"/>
          <w:szCs w:val="22"/>
          <w:b w:val="1"/>
          <w:bCs w:val="1"/>
          <w:i w:val="1"/>
          <w:iCs w:val="1"/>
          <w:color w:val="0072AF"/>
        </w:rPr>
        <w:t>Purpose.</w:t>
      </w:r>
    </w:p>
    <w:p>
      <w:pPr>
        <w:spacing w:after="0" w:line="175" w:lineRule="exact"/>
        <w:rPr>
          <w:sz w:val="20"/>
          <w:szCs w:val="20"/>
          <w:color w:val="auto"/>
        </w:rPr>
      </w:pPr>
    </w:p>
    <w:p>
      <w:pPr>
        <w:jc w:val="both"/>
        <w:ind w:left="6"/>
        <w:spacing w:after="0"/>
        <w:rPr>
          <w:sz w:val="20"/>
          <w:szCs w:val="20"/>
          <w:color w:val="auto"/>
        </w:rPr>
      </w:pPr>
      <w:r>
        <w:rPr>
          <w:rFonts w:ascii="Arial" w:cs="Arial" w:eastAsia="Arial" w:hAnsi="Arial"/>
          <w:sz w:val="18"/>
          <w:szCs w:val="18"/>
          <w:color w:val="auto"/>
        </w:rPr>
        <w:t>The purposes of the Pitney Bowes Inc. 2024 Stock Plan, effective as of May 6, 2024 (the “Plan”) are to promote the interests of the Company and its shareholders by aligning the interests of key employees of the Company and its Affiliates with the interests of Pitney Bowes shareholders, to afford an opportunity to key employees to acquire a proprietary interest in the growth and performance of the Company, to generate an increased incentive to contribute to the Company’s future financial success and prosperity and to enhance the ability of the Company and its Affiliates to attract and retain exceptionally qualified individuals whose efforts can affect the financial growth and profitability of the Company.</w:t>
      </w:r>
    </w:p>
    <w:p>
      <w:pPr>
        <w:spacing w:after="0" w:line="215"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72AF"/>
        </w:rPr>
        <w:t xml:space="preserve">Section 2. </w:t>
      </w:r>
      <w:r>
        <w:rPr>
          <w:rFonts w:ascii="Arial" w:cs="Arial" w:eastAsia="Arial" w:hAnsi="Arial"/>
          <w:sz w:val="22"/>
          <w:szCs w:val="22"/>
          <w:b w:val="1"/>
          <w:bCs w:val="1"/>
          <w:i w:val="1"/>
          <w:iCs w:val="1"/>
          <w:color w:val="0072AF"/>
        </w:rPr>
        <w:t>Definitions.</w:t>
      </w:r>
    </w:p>
    <w:p>
      <w:pPr>
        <w:spacing w:after="0" w:line="216" w:lineRule="exact"/>
        <w:rPr>
          <w:sz w:val="20"/>
          <w:szCs w:val="20"/>
          <w:color w:val="auto"/>
        </w:rPr>
      </w:pPr>
    </w:p>
    <w:p>
      <w:pPr>
        <w:ind w:left="6"/>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185" w:lineRule="exact"/>
        <w:rPr>
          <w:sz w:val="20"/>
          <w:szCs w:val="20"/>
          <w:color w:val="auto"/>
        </w:rPr>
      </w:pPr>
    </w:p>
    <w:p>
      <w:pPr>
        <w:jc w:val="both"/>
        <w:ind w:left="346" w:right="20" w:hanging="346"/>
        <w:spacing w:after="0" w:line="244" w:lineRule="auto"/>
        <w:tabs>
          <w:tab w:leader="none" w:pos="3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“Affiliate” shall mean (i) any entity that, directly or through one or more intermediaries, is controlled by the Company or (ii) any entity in which the Company has a significant equity interest, as determined by the Committee. Aggregation rules set forth in Code Sections 409A and 414(b) and (c) generally will be used in determining Affiliate status, except that a 50% test, instead of an 80% test, shall be used to determine controlled group status, to the extent not inconsistent with rules of Code Section 409A.</w:t>
      </w:r>
    </w:p>
    <w:p>
      <w:pPr>
        <w:spacing w:after="0" w:line="135" w:lineRule="exact"/>
        <w:rPr>
          <w:rFonts w:ascii="Arial" w:cs="Arial" w:eastAsia="Arial" w:hAnsi="Arial"/>
          <w:sz w:val="18"/>
          <w:szCs w:val="18"/>
          <w:color w:val="auto"/>
        </w:rPr>
      </w:pPr>
    </w:p>
    <w:p>
      <w:pPr>
        <w:ind w:left="346" w:hanging="346"/>
        <w:spacing w:after="0" w:line="271" w:lineRule="auto"/>
        <w:tabs>
          <w:tab w:leader="none" w:pos="3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“Award” shall mean any Restricted Stock, Stock Unit, Stock Option, Stock Appreciation Right, Other Stock-Based Award, Performance Award or Substitute Award, granted under the Plan.</w:t>
      </w:r>
    </w:p>
    <w:p>
      <w:pPr>
        <w:spacing w:after="0" w:line="113" w:lineRule="exact"/>
        <w:rPr>
          <w:rFonts w:ascii="Arial" w:cs="Arial" w:eastAsia="Arial" w:hAnsi="Arial"/>
          <w:sz w:val="18"/>
          <w:szCs w:val="18"/>
          <w:color w:val="auto"/>
        </w:rPr>
      </w:pPr>
    </w:p>
    <w:p>
      <w:pPr>
        <w:jc w:val="both"/>
        <w:ind w:left="346" w:hanging="346"/>
        <w:spacing w:after="0" w:line="247" w:lineRule="auto"/>
        <w:tabs>
          <w:tab w:leader="none" w:pos="3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“Award Agreement” shall mean any written agreement, contract, or other instrument or document (including electronic communication) specifying the terms and conditions of an Award granted under the Plan, as may from time to time be approved by the Company or the Board of Directors to evidence an Award granted under the Plan.</w:t>
      </w:r>
    </w:p>
    <w:p>
      <w:pPr>
        <w:spacing w:after="0" w:line="146" w:lineRule="exact"/>
        <w:rPr>
          <w:rFonts w:ascii="Arial" w:cs="Arial" w:eastAsia="Arial" w:hAnsi="Arial"/>
          <w:sz w:val="18"/>
          <w:szCs w:val="18"/>
          <w:color w:val="auto"/>
        </w:rPr>
      </w:pPr>
    </w:p>
    <w:p>
      <w:pPr>
        <w:ind w:left="346" w:right="20" w:hanging="346"/>
        <w:spacing w:after="0" w:line="271" w:lineRule="auto"/>
        <w:tabs>
          <w:tab w:leader="none" w:pos="3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“Board of Directors” or “Board” shall mean the Board of Directors of the Company as it may be composed from time to time.</w:t>
      </w:r>
    </w:p>
    <w:p>
      <w:pPr>
        <w:spacing w:after="0" w:line="113" w:lineRule="exact"/>
        <w:rPr>
          <w:rFonts w:ascii="Arial" w:cs="Arial" w:eastAsia="Arial" w:hAnsi="Arial"/>
          <w:sz w:val="18"/>
          <w:szCs w:val="18"/>
          <w:color w:val="auto"/>
        </w:rPr>
      </w:pPr>
    </w:p>
    <w:p>
      <w:pPr>
        <w:ind w:left="346" w:hanging="346"/>
        <w:spacing w:after="0"/>
        <w:tabs>
          <w:tab w:leader="none" w:pos="3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“Change of Control” shall be deemed to have occurred for purposes of this Plan, if:</w:t>
      </w:r>
    </w:p>
    <w:p>
      <w:pPr>
        <w:spacing w:after="0" w:line="171" w:lineRule="exact"/>
        <w:rPr>
          <w:rFonts w:ascii="Arial" w:cs="Arial" w:eastAsia="Arial" w:hAnsi="Arial"/>
          <w:sz w:val="18"/>
          <w:szCs w:val="18"/>
          <w:color w:val="auto"/>
        </w:rPr>
      </w:pPr>
    </w:p>
    <w:p>
      <w:pPr>
        <w:jc w:val="both"/>
        <w:ind w:left="706" w:right="20" w:hanging="346"/>
        <w:spacing w:after="0" w:line="237" w:lineRule="auto"/>
        <w:tabs>
          <w:tab w:leader="none" w:pos="706"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there is an acquisition, in any one transaction or a series of transactions, other than from Pitney Bowes Inc., by any individual, entity or group (within the meaning of Section 13(d)(3) or 14(d)(2) of the Securities Exchange Act of 1934, as amended (the “Exchange Act”)), of beneficial ownership (within the meaning of Rule 13(d)(3) promulgated under the Exchange Act) of 30% or more of either the then outstanding shares of common stock or the combined voting power of the then outstanding voting securities of Pitney Bowes Inc. entitled to vote generally in the election of directors, but excluding, for this purpose, any such acquisition by Pitney Bowes Inc. or any of its subsidiaries, or any employee benefit plan (or related trust) of Pitney Bowes Inc. or its subsidiaries, or any corporation with respect to which, following such acquisition, more than 50% of the then outstanding shares of common stock of such corporation and the combined voting power of the then outstanding voting securities of such corporation entitled to vote generally in the election of directors is then beneficially owned, directly or indirectly, by the individuals and entities who were the beneficial owners, respectively, of the common stock and voting securities of Pitney Bowes Inc. immediately prior to such acquisition in substantially the same proportion as their ownership, immediately prior to such acquisition, of the then outstanding shares of common stock or the combined voting power of the then outstanding voting securities of Pitney Bowes Inc. entitled to vote generally in the election of directors, as the case may be; or</w:t>
      </w:r>
    </w:p>
    <w:p>
      <w:pPr>
        <w:spacing w:after="0" w:line="158" w:lineRule="exact"/>
        <w:rPr>
          <w:rFonts w:ascii="Arial" w:cs="Arial" w:eastAsia="Arial" w:hAnsi="Arial"/>
          <w:sz w:val="18"/>
          <w:szCs w:val="18"/>
          <w:color w:val="auto"/>
        </w:rPr>
      </w:pPr>
    </w:p>
    <w:p>
      <w:pPr>
        <w:jc w:val="both"/>
        <w:ind w:left="706" w:right="20" w:hanging="346"/>
        <w:spacing w:after="0"/>
        <w:tabs>
          <w:tab w:leader="none" w:pos="706" w:val="left"/>
        </w:tabs>
        <w:numPr>
          <w:ilvl w:val="1"/>
          <w:numId w:val="91"/>
        </w:numPr>
        <w:rPr>
          <w:rFonts w:ascii="Arial" w:cs="Arial" w:eastAsia="Arial" w:hAnsi="Arial"/>
          <w:sz w:val="18"/>
          <w:szCs w:val="18"/>
          <w:color w:val="auto"/>
        </w:rPr>
      </w:pPr>
      <w:r>
        <w:rPr>
          <w:rFonts w:ascii="Arial" w:cs="Arial" w:eastAsia="Arial" w:hAnsi="Arial"/>
          <w:sz w:val="18"/>
          <w:szCs w:val="18"/>
          <w:color w:val="auto"/>
        </w:rPr>
        <w:t>during any period of 12 consecutive calendar months, individuals who, as the first day of such period constitute the Board (as of such date, the “Incumbent Board”) cease for any reason to constitute at least a majority of the Board, provided that any individual becoming a director subsequent to the first day of such period, whose appointment, election, or nomination for election by Pitney Bowes’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is in</w:t>
      </w:r>
    </w:p>
    <w:p>
      <w:pPr>
        <w:spacing w:after="0" w:line="185"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120650</wp:posOffset>
            </wp:positionV>
            <wp:extent cx="699516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10" w:name="page111"/>
    <w:bookmarkEnd w:id="110"/>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ANNEX D: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jc w:val="both"/>
        <w:ind w:left="726"/>
        <w:spacing w:after="0" w:line="253" w:lineRule="auto"/>
        <w:rPr>
          <w:sz w:val="20"/>
          <w:szCs w:val="20"/>
          <w:color w:val="auto"/>
        </w:rPr>
      </w:pPr>
      <w:r>
        <w:rPr>
          <w:rFonts w:ascii="Arial" w:cs="Arial" w:eastAsia="Arial" w:hAnsi="Arial"/>
          <w:sz w:val="18"/>
          <w:szCs w:val="18"/>
          <w:color w:val="auto"/>
        </w:rPr>
        <w:t>connection with an actual or threatened election contest relating to the election of the directors until such time (if ever) as such individual is approved by a majority of the directors then comprising the Incumbent Board; or</w:t>
      </w:r>
    </w:p>
    <w:p>
      <w:pPr>
        <w:spacing w:after="0" w:line="142" w:lineRule="exact"/>
        <w:rPr>
          <w:sz w:val="20"/>
          <w:szCs w:val="20"/>
          <w:color w:val="auto"/>
        </w:rPr>
      </w:pPr>
    </w:p>
    <w:p>
      <w:pPr>
        <w:jc w:val="both"/>
        <w:ind w:left="706" w:right="20" w:hanging="346"/>
        <w:spacing w:after="0" w:line="238" w:lineRule="auto"/>
        <w:tabs>
          <w:tab w:leader="none" w:pos="706"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there occurs either (A) the consummation of a reorganization, merger, consolidation, or sale or other disposition of all or substantially all of the assets of the Company, in each case, with respect to which the individuals and entities who were the respective beneficial owners of the common stock and voting securities of Pitney Bowes Inc. immediately prior to such reorganization, merger, consolidation or sale or other disposition do not, following such reorganization, merger, consolidation or sale or other disposition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merger, consolidation, or sale or other disposition or (B) an approval by the shareholders of Pitney Bowes Inc. of a complete liquidation or dissolution of Pitney Bowes Inc. or of the sale or other disposition of all or substantially all of the assets of Pitney Bowes Inc.</w:t>
      </w:r>
    </w:p>
    <w:p>
      <w:pPr>
        <w:spacing w:after="0" w:line="145" w:lineRule="exact"/>
        <w:rPr>
          <w:rFonts w:ascii="Arial" w:cs="Arial" w:eastAsia="Arial" w:hAnsi="Arial"/>
          <w:sz w:val="18"/>
          <w:szCs w:val="18"/>
          <w:color w:val="auto"/>
        </w:rPr>
      </w:pPr>
    </w:p>
    <w:p>
      <w:pPr>
        <w:ind w:left="346" w:right="180" w:hanging="346"/>
        <w:spacing w:after="0" w:line="271" w:lineRule="auto"/>
        <w:tabs>
          <w:tab w:leader="none" w:pos="3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 from time to time or any successor code thereto.</w:t>
      </w:r>
    </w:p>
    <w:p>
      <w:pPr>
        <w:spacing w:after="0" w:line="113" w:lineRule="exact"/>
        <w:rPr>
          <w:rFonts w:ascii="Arial" w:cs="Arial" w:eastAsia="Arial" w:hAnsi="Arial"/>
          <w:sz w:val="18"/>
          <w:szCs w:val="18"/>
          <w:color w:val="auto"/>
        </w:rPr>
      </w:pPr>
    </w:p>
    <w:p>
      <w:pPr>
        <w:jc w:val="both"/>
        <w:ind w:left="346" w:right="20" w:hanging="346"/>
        <w:spacing w:after="0" w:line="244" w:lineRule="auto"/>
        <w:tabs>
          <w:tab w:leader="none" w:pos="3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“Committee” shall mean the Executive Compensation Committee comprised solely of independent directors or any other committee designated by the Board of Directors comprised solely of independent directors to administer the Plan pursuant to Section 3. The Board of Directors and the Committee shall each have the authority to delegate its duties under the Plan to the fullest extent permitted by Delaware law. The Committee may also delegate certain administrative tasks under Section 3 to the Employee Benefits Committee.</w:t>
      </w:r>
    </w:p>
    <w:p>
      <w:pPr>
        <w:spacing w:after="0" w:line="149" w:lineRule="exact"/>
        <w:rPr>
          <w:rFonts w:ascii="Arial" w:cs="Arial" w:eastAsia="Arial" w:hAnsi="Arial"/>
          <w:sz w:val="18"/>
          <w:szCs w:val="18"/>
          <w:color w:val="auto"/>
        </w:rPr>
      </w:pPr>
    </w:p>
    <w:p>
      <w:pPr>
        <w:ind w:left="346" w:hanging="346"/>
        <w:spacing w:after="0"/>
        <w:tabs>
          <w:tab w:leader="none" w:pos="3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“Company” shall mean Pitney Bowes Inc. or any successor thereto.</w:t>
      </w:r>
    </w:p>
    <w:p>
      <w:pPr>
        <w:spacing w:after="0" w:line="171" w:lineRule="exact"/>
        <w:rPr>
          <w:rFonts w:ascii="Arial" w:cs="Arial" w:eastAsia="Arial" w:hAnsi="Arial"/>
          <w:sz w:val="18"/>
          <w:szCs w:val="18"/>
          <w:color w:val="auto"/>
        </w:rPr>
      </w:pPr>
    </w:p>
    <w:p>
      <w:pPr>
        <w:jc w:val="both"/>
        <w:ind w:left="346" w:hanging="346"/>
        <w:spacing w:after="0" w:line="247" w:lineRule="auto"/>
        <w:tabs>
          <w:tab w:leader="none" w:pos="3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“Covered Award” means an Award, other than a Stock Option, Stock Appreciation Right or other Award with an exercise price per Share not less than the Fair Market Value of a Share on the date of grant of such Award, to a Covered Employee, if it is designated as such by the Committee at the time it is granted. Covered Awards are subject to the provisions of Section 15 of this Plan.</w:t>
      </w:r>
    </w:p>
    <w:p>
      <w:pPr>
        <w:spacing w:after="0" w:line="133" w:lineRule="exact"/>
        <w:rPr>
          <w:rFonts w:ascii="Arial" w:cs="Arial" w:eastAsia="Arial" w:hAnsi="Arial"/>
          <w:sz w:val="18"/>
          <w:szCs w:val="18"/>
          <w:color w:val="auto"/>
        </w:rPr>
      </w:pPr>
    </w:p>
    <w:p>
      <w:pPr>
        <w:jc w:val="both"/>
        <w:ind w:left="346" w:hanging="346"/>
        <w:spacing w:after="0" w:line="244" w:lineRule="auto"/>
        <w:tabs>
          <w:tab w:leader="none" w:pos="3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“Disability” shall have the meaning established by the Committee or, in the absence of Committee determination, shall mean a Participant who is “disabled” for two years under the provisions and procedures of the Pitney Bowes Long Term Disability (LTD) Plan, irrespective of whether the Participant is eligible to receive benefits under the LTD Plan, or a Participant entitled to receive benefits for two years under state worker’s compensation laws.</w:t>
      </w:r>
    </w:p>
    <w:p>
      <w:pPr>
        <w:spacing w:after="0" w:line="149" w:lineRule="exact"/>
        <w:rPr>
          <w:rFonts w:ascii="Arial" w:cs="Arial" w:eastAsia="Arial" w:hAnsi="Arial"/>
          <w:sz w:val="18"/>
          <w:szCs w:val="18"/>
          <w:color w:val="auto"/>
        </w:rPr>
      </w:pPr>
    </w:p>
    <w:p>
      <w:pPr>
        <w:jc w:val="both"/>
        <w:ind w:left="346" w:hanging="346"/>
        <w:spacing w:after="0" w:line="253" w:lineRule="auto"/>
        <w:tabs>
          <w:tab w:leader="none" w:pos="3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“Dividend Equivalent” shall mean an amount payable in cash, as determined by the Committee under Section 7(c) of the Plan, with respect to a Restricted Stock or Stock Unit award equal to what would have been received if the shares underlying the Award had been owned by the Participant.</w:t>
      </w:r>
    </w:p>
    <w:p>
      <w:pPr>
        <w:spacing w:after="0" w:line="128" w:lineRule="exact"/>
        <w:rPr>
          <w:rFonts w:ascii="Arial" w:cs="Arial" w:eastAsia="Arial" w:hAnsi="Arial"/>
          <w:sz w:val="18"/>
          <w:szCs w:val="18"/>
          <w:color w:val="auto"/>
        </w:rPr>
      </w:pPr>
    </w:p>
    <w:p>
      <w:pPr>
        <w:jc w:val="both"/>
        <w:ind w:left="346" w:hanging="346"/>
        <w:spacing w:after="0" w:line="244" w:lineRule="auto"/>
        <w:tabs>
          <w:tab w:leader="none" w:pos="3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“Dividend Equivalent Shares” shall be Shares issued pursuant to the deemed reinvestment of dividends under Restricted Stock, Stock Units or other Awards, provided that such Shares shall be subject to the same vesting, risk of forfeiture, deferral or other conditions or restrictions as apply to the Restricted Stock, Stock Units or other Awards as to which they accrue, and to such further conditions or restrictions as the Committee may determine.</w:t>
      </w:r>
    </w:p>
    <w:p>
      <w:pPr>
        <w:spacing w:after="0" w:line="135" w:lineRule="exact"/>
        <w:rPr>
          <w:rFonts w:ascii="Arial" w:cs="Arial" w:eastAsia="Arial" w:hAnsi="Arial"/>
          <w:sz w:val="18"/>
          <w:szCs w:val="18"/>
          <w:color w:val="auto"/>
        </w:rPr>
      </w:pPr>
    </w:p>
    <w:p>
      <w:pPr>
        <w:ind w:left="346" w:hanging="346"/>
        <w:spacing w:after="0"/>
        <w:tabs>
          <w:tab w:leader="none" w:pos="3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“Employee” shall mean any employee of the Company or of any Affiliate.</w:t>
      </w:r>
    </w:p>
    <w:p>
      <w:pPr>
        <w:spacing w:after="0" w:line="184" w:lineRule="exact"/>
        <w:rPr>
          <w:rFonts w:ascii="Arial" w:cs="Arial" w:eastAsia="Arial" w:hAnsi="Arial"/>
          <w:sz w:val="18"/>
          <w:szCs w:val="18"/>
          <w:color w:val="auto"/>
        </w:rPr>
      </w:pPr>
    </w:p>
    <w:p>
      <w:pPr>
        <w:jc w:val="both"/>
        <w:ind w:left="346" w:hanging="346"/>
        <w:spacing w:after="0"/>
        <w:tabs>
          <w:tab w:leader="none" w:pos="3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“Fair Market Value” shall mean, with respect to any property (including, without limitation, any Shares or other securities), the fair market value of such property determined by such methods or procedures as shall be established from time to time by the Committee. The Fair Market Value of a Share of Company common stock on the date of grant shall be the closing price of a Share of the Company’s common stock on the date of grant as reported in the New York Stock Exchange Composite Transactions Table published in the Wall Street Journal. If the New York Stock Exchange (NYSE) is closed on the date of grant, then Fair Market Value shall be the closing price on the first trading day of the NYSE immediately following the grant date.</w:t>
      </w:r>
    </w:p>
    <w:p>
      <w:pPr>
        <w:spacing w:after="0" w:line="144" w:lineRule="exact"/>
        <w:rPr>
          <w:rFonts w:ascii="Arial" w:cs="Arial" w:eastAsia="Arial" w:hAnsi="Arial"/>
          <w:sz w:val="18"/>
          <w:szCs w:val="18"/>
          <w:color w:val="auto"/>
        </w:rPr>
      </w:pPr>
    </w:p>
    <w:p>
      <w:pPr>
        <w:ind w:left="346" w:hanging="346"/>
        <w:spacing w:after="0"/>
        <w:tabs>
          <w:tab w:leader="none" w:pos="3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“Full Value Award” means an Award other than an Option or Stock Appreciation Right.</w:t>
      </w:r>
    </w:p>
    <w:p>
      <w:pPr>
        <w:spacing w:after="0" w:line="171" w:lineRule="exact"/>
        <w:rPr>
          <w:rFonts w:ascii="Arial" w:cs="Arial" w:eastAsia="Arial" w:hAnsi="Arial"/>
          <w:sz w:val="18"/>
          <w:szCs w:val="18"/>
          <w:color w:val="auto"/>
        </w:rPr>
      </w:pPr>
    </w:p>
    <w:p>
      <w:pPr>
        <w:ind w:left="346" w:right="20" w:hanging="346"/>
        <w:spacing w:after="0" w:line="271" w:lineRule="auto"/>
        <w:tabs>
          <w:tab w:leader="none" w:pos="3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“Incentive Stock Option” or “ISO” shall mean a Stock Option that is intended to meet the requirements of Section 422 of the Code, or any successor provision thereto.</w:t>
      </w:r>
    </w:p>
    <w:p>
      <w:pPr>
        <w:spacing w:after="0" w:line="154"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128905</wp:posOffset>
            </wp:positionV>
            <wp:extent cx="699516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11" w:name="page112"/>
    <w:bookmarkEnd w:id="111"/>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ANNEX D: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ind w:left="346" w:right="480" w:hanging="346"/>
        <w:spacing w:after="0" w:line="271" w:lineRule="auto"/>
        <w:tabs>
          <w:tab w:leader="none" w:pos="346"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“Non-Qualified Stock Option” or “NSO” shall mean an Option that is not intended to be an Incentive Stock Option.</w:t>
      </w:r>
    </w:p>
    <w:p>
      <w:pPr>
        <w:spacing w:after="0" w:line="126" w:lineRule="exact"/>
        <w:rPr>
          <w:rFonts w:ascii="Arial" w:cs="Arial" w:eastAsia="Arial" w:hAnsi="Arial"/>
          <w:sz w:val="18"/>
          <w:szCs w:val="18"/>
          <w:color w:val="auto"/>
        </w:rPr>
      </w:pPr>
    </w:p>
    <w:p>
      <w:pPr>
        <w:jc w:val="both"/>
        <w:ind w:left="346" w:right="20" w:hanging="346"/>
        <w:spacing w:after="0" w:line="253" w:lineRule="auto"/>
        <w:tabs>
          <w:tab w:leader="none" w:pos="346" w:val="left"/>
        </w:tabs>
        <w:numPr>
          <w:ilvl w:val="0"/>
          <w:numId w:val="94"/>
        </w:numPr>
        <w:rPr>
          <w:rFonts w:ascii="Arial" w:cs="Arial" w:eastAsia="Arial" w:hAnsi="Arial"/>
          <w:sz w:val="18"/>
          <w:szCs w:val="18"/>
          <w:color w:val="auto"/>
        </w:rPr>
      </w:pPr>
      <w:r>
        <w:rPr>
          <w:rFonts w:ascii="Arial" w:cs="Arial" w:eastAsia="Arial" w:hAnsi="Arial"/>
          <w:sz w:val="18"/>
          <w:szCs w:val="18"/>
          <w:color w:val="auto"/>
        </w:rPr>
        <w:t>“Option” or “Stock Option” shall mean the right, granted under Section 7(a) of the Plan, to purchase a number of shares of common stock at such exercise price, at such times and on such terms and conditions as are specified by the Committee. An Option may be granted as an ISO or an NSO.</w:t>
      </w:r>
    </w:p>
    <w:p>
      <w:pPr>
        <w:spacing w:after="0" w:line="128" w:lineRule="exact"/>
        <w:rPr>
          <w:rFonts w:ascii="Arial" w:cs="Arial" w:eastAsia="Arial" w:hAnsi="Arial"/>
          <w:sz w:val="18"/>
          <w:szCs w:val="18"/>
          <w:color w:val="auto"/>
        </w:rPr>
      </w:pPr>
    </w:p>
    <w:p>
      <w:pPr>
        <w:ind w:left="346" w:hanging="346"/>
        <w:spacing w:after="0"/>
        <w:tabs>
          <w:tab w:leader="none" w:pos="346" w:val="left"/>
        </w:tabs>
        <w:numPr>
          <w:ilvl w:val="0"/>
          <w:numId w:val="94"/>
        </w:numPr>
        <w:rPr>
          <w:rFonts w:ascii="Arial" w:cs="Arial" w:eastAsia="Arial" w:hAnsi="Arial"/>
          <w:sz w:val="18"/>
          <w:szCs w:val="18"/>
          <w:color w:val="auto"/>
        </w:rPr>
      </w:pPr>
      <w:r>
        <w:rPr>
          <w:rFonts w:ascii="Arial" w:cs="Arial" w:eastAsia="Arial" w:hAnsi="Arial"/>
          <w:sz w:val="18"/>
          <w:szCs w:val="18"/>
          <w:color w:val="auto"/>
        </w:rPr>
        <w:t>“Other Stock-Based Award” shall mean any Award granted under Section 7(d) of the Plan.</w:t>
      </w:r>
    </w:p>
    <w:p>
      <w:pPr>
        <w:spacing w:after="0" w:line="171" w:lineRule="exact"/>
        <w:rPr>
          <w:rFonts w:ascii="Arial" w:cs="Arial" w:eastAsia="Arial" w:hAnsi="Arial"/>
          <w:sz w:val="18"/>
          <w:szCs w:val="18"/>
          <w:color w:val="auto"/>
        </w:rPr>
      </w:pPr>
    </w:p>
    <w:p>
      <w:pPr>
        <w:ind w:left="346" w:hanging="346"/>
        <w:spacing w:after="0"/>
        <w:tabs>
          <w:tab w:leader="none" w:pos="346" w:val="left"/>
        </w:tabs>
        <w:numPr>
          <w:ilvl w:val="0"/>
          <w:numId w:val="94"/>
        </w:numPr>
        <w:rPr>
          <w:rFonts w:ascii="Arial" w:cs="Arial" w:eastAsia="Arial" w:hAnsi="Arial"/>
          <w:sz w:val="18"/>
          <w:szCs w:val="18"/>
          <w:color w:val="auto"/>
        </w:rPr>
      </w:pPr>
      <w:r>
        <w:rPr>
          <w:rFonts w:ascii="Arial" w:cs="Arial" w:eastAsia="Arial" w:hAnsi="Arial"/>
          <w:sz w:val="18"/>
          <w:szCs w:val="18"/>
          <w:color w:val="auto"/>
        </w:rPr>
        <w:t>“Participant” shall mean an Employee who is granted an Award under the Plan.</w:t>
      </w:r>
    </w:p>
    <w:p>
      <w:pPr>
        <w:spacing w:after="0" w:line="184" w:lineRule="exact"/>
        <w:rPr>
          <w:rFonts w:ascii="Arial" w:cs="Arial" w:eastAsia="Arial" w:hAnsi="Arial"/>
          <w:sz w:val="18"/>
          <w:szCs w:val="18"/>
          <w:color w:val="auto"/>
        </w:rPr>
      </w:pPr>
    </w:p>
    <w:p>
      <w:pPr>
        <w:ind w:left="346" w:hanging="346"/>
        <w:spacing w:after="0"/>
        <w:tabs>
          <w:tab w:leader="none" w:pos="346" w:val="left"/>
        </w:tabs>
        <w:numPr>
          <w:ilvl w:val="0"/>
          <w:numId w:val="94"/>
        </w:numPr>
        <w:rPr>
          <w:rFonts w:ascii="Arial" w:cs="Arial" w:eastAsia="Arial" w:hAnsi="Arial"/>
          <w:sz w:val="18"/>
          <w:szCs w:val="18"/>
          <w:color w:val="auto"/>
        </w:rPr>
      </w:pPr>
      <w:r>
        <w:rPr>
          <w:rFonts w:ascii="Arial" w:cs="Arial" w:eastAsia="Arial" w:hAnsi="Arial"/>
          <w:sz w:val="18"/>
          <w:szCs w:val="18"/>
          <w:color w:val="auto"/>
        </w:rPr>
        <w:t>“Performance Award” shall mean any Award granted hereunder that complies with Section 6(d) of the Plan.</w:t>
      </w:r>
    </w:p>
    <w:p>
      <w:pPr>
        <w:spacing w:after="0" w:line="171" w:lineRule="exact"/>
        <w:rPr>
          <w:rFonts w:ascii="Arial" w:cs="Arial" w:eastAsia="Arial" w:hAnsi="Arial"/>
          <w:sz w:val="18"/>
          <w:szCs w:val="18"/>
          <w:color w:val="auto"/>
        </w:rPr>
      </w:pPr>
    </w:p>
    <w:p>
      <w:pPr>
        <w:jc w:val="both"/>
        <w:ind w:left="346" w:hanging="346"/>
        <w:spacing w:after="0" w:line="253" w:lineRule="auto"/>
        <w:tabs>
          <w:tab w:leader="none" w:pos="346" w:val="left"/>
        </w:tabs>
        <w:numPr>
          <w:ilvl w:val="0"/>
          <w:numId w:val="94"/>
        </w:numPr>
        <w:rPr>
          <w:rFonts w:ascii="Arial" w:cs="Arial" w:eastAsia="Arial" w:hAnsi="Arial"/>
          <w:sz w:val="18"/>
          <w:szCs w:val="18"/>
          <w:color w:val="auto"/>
        </w:rPr>
      </w:pPr>
      <w:r>
        <w:rPr>
          <w:rFonts w:ascii="Arial" w:cs="Arial" w:eastAsia="Arial" w:hAnsi="Arial"/>
          <w:sz w:val="18"/>
          <w:szCs w:val="18"/>
          <w:color w:val="auto"/>
        </w:rPr>
        <w:t>“Performance Goals” means any Qualifying Performance Criteria or such other performance goals based on such corporate (including any subsidiary, division, department or unit), individual or other performance measure as the Committee may from time to time establish.</w:t>
      </w:r>
    </w:p>
    <w:p>
      <w:pPr>
        <w:spacing w:after="0" w:line="128" w:lineRule="exact"/>
        <w:rPr>
          <w:rFonts w:ascii="Arial" w:cs="Arial" w:eastAsia="Arial" w:hAnsi="Arial"/>
          <w:sz w:val="18"/>
          <w:szCs w:val="18"/>
          <w:color w:val="auto"/>
        </w:rPr>
      </w:pPr>
    </w:p>
    <w:p>
      <w:pPr>
        <w:ind w:left="346" w:right="20" w:hanging="346"/>
        <w:spacing w:after="0" w:line="271" w:lineRule="auto"/>
        <w:tabs>
          <w:tab w:leader="none" w:pos="346" w:val="left"/>
        </w:tabs>
        <w:numPr>
          <w:ilvl w:val="0"/>
          <w:numId w:val="94"/>
        </w:numPr>
        <w:rPr>
          <w:rFonts w:ascii="Arial" w:cs="Arial" w:eastAsia="Arial" w:hAnsi="Arial"/>
          <w:sz w:val="18"/>
          <w:szCs w:val="18"/>
          <w:color w:val="auto"/>
        </w:rPr>
      </w:pPr>
      <w:r>
        <w:rPr>
          <w:rFonts w:ascii="Arial" w:cs="Arial" w:eastAsia="Arial" w:hAnsi="Arial"/>
          <w:sz w:val="18"/>
          <w:szCs w:val="18"/>
          <w:color w:val="auto"/>
        </w:rPr>
        <w:t>“Person” shall mean any individual, corporation, partnership, association, joint-stock company, trust, unincorporated organization, or government or political subdivision thereof.</w:t>
      </w:r>
    </w:p>
    <w:p>
      <w:pPr>
        <w:spacing w:after="0" w:line="126" w:lineRule="exact"/>
        <w:rPr>
          <w:rFonts w:ascii="Arial" w:cs="Arial" w:eastAsia="Arial" w:hAnsi="Arial"/>
          <w:sz w:val="18"/>
          <w:szCs w:val="18"/>
          <w:color w:val="auto"/>
        </w:rPr>
      </w:pPr>
    </w:p>
    <w:p>
      <w:pPr>
        <w:jc w:val="both"/>
        <w:ind w:left="346" w:right="20" w:hanging="346"/>
        <w:spacing w:after="0" w:line="253" w:lineRule="auto"/>
        <w:tabs>
          <w:tab w:leader="none" w:pos="346"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“Prior Plan” shall mean the Pitney Bowes Stock Plan, as amended and restated as of January 1, 2002, the Pitney Bowes Inc. 2007 Stock Plan as amended and restated, the Pitney Bowes Inc. 2013 Stock Plan as amended and restated and the Pitney Bowes Inc. 2018 Stock Plan as amended and restated.</w:t>
      </w:r>
    </w:p>
    <w:p>
      <w:pPr>
        <w:spacing w:after="0" w:line="128" w:lineRule="exact"/>
        <w:rPr>
          <w:rFonts w:ascii="Arial" w:cs="Arial" w:eastAsia="Arial" w:hAnsi="Arial"/>
          <w:sz w:val="18"/>
          <w:szCs w:val="18"/>
          <w:color w:val="auto"/>
        </w:rPr>
      </w:pPr>
    </w:p>
    <w:p>
      <w:pPr>
        <w:jc w:val="both"/>
        <w:ind w:left="346" w:hanging="346"/>
        <w:spacing w:after="0" w:line="238" w:lineRule="auto"/>
        <w:tabs>
          <w:tab w:leader="none" w:pos="346" w:val="left"/>
        </w:tabs>
        <w:numPr>
          <w:ilvl w:val="0"/>
          <w:numId w:val="94"/>
        </w:numPr>
        <w:rPr>
          <w:rFonts w:ascii="Arial" w:cs="Arial" w:eastAsia="Arial" w:hAnsi="Arial"/>
          <w:sz w:val="18"/>
          <w:szCs w:val="18"/>
          <w:color w:val="auto"/>
        </w:rPr>
      </w:pPr>
      <w:r>
        <w:rPr>
          <w:rFonts w:ascii="Arial" w:cs="Arial" w:eastAsia="Arial" w:hAnsi="Arial"/>
          <w:sz w:val="18"/>
          <w:szCs w:val="18"/>
          <w:color w:val="auto"/>
        </w:rPr>
        <w:t>“Qualifying Performance Criteria” means one or more of the following performance criteria, either individually, alternatively or in any combination, applied to either the Company as a whole or to a business unit, subsidiary, division or department, either individually, alternatively or in any combination, and measured either annually or cumulatively over a period of years, on an absolute basis or relative to a pre-established target, to previous year’s results or to a designated comparison group, in each case established by the Committee: (i) achievement of cost control, (ii) earnings before interest and taxes (“EBIT”), (iii) earnings before interest, taxes, depreciation and amortization (“EBITDA”), (iv) earnings per share, (v) economic value added, (vi) free cash flow, (vii) gross profit, (viii) growth of book or market value of capital stock, (ix) income from continuing operations, (x) net income, (xi) operating income, (xii) operating profit, (xiii) organic revenue growth, (xiv) return on investment, (xv) return on operating assets, (xvi) return on stockholder equity, (xvii) revenue, (xviii) revenue growth (xix) stock price, (xx) total earnings, or (xxi) total stockholder return.</w:t>
      </w:r>
    </w:p>
    <w:p>
      <w:pPr>
        <w:spacing w:after="0" w:line="145" w:lineRule="exact"/>
        <w:rPr>
          <w:rFonts w:ascii="Arial" w:cs="Arial" w:eastAsia="Arial" w:hAnsi="Arial"/>
          <w:sz w:val="18"/>
          <w:szCs w:val="18"/>
          <w:color w:val="auto"/>
        </w:rPr>
      </w:pPr>
    </w:p>
    <w:p>
      <w:pPr>
        <w:jc w:val="both"/>
        <w:ind w:left="366"/>
        <w:spacing w:after="0" w:line="238" w:lineRule="auto"/>
        <w:rPr>
          <w:rFonts w:ascii="Arial" w:cs="Arial" w:eastAsia="Arial" w:hAnsi="Arial"/>
          <w:sz w:val="18"/>
          <w:szCs w:val="18"/>
          <w:color w:val="auto"/>
        </w:rPr>
      </w:pPr>
      <w:r>
        <w:rPr>
          <w:rFonts w:ascii="Arial" w:cs="Arial" w:eastAsia="Arial" w:hAnsi="Arial"/>
          <w:sz w:val="18"/>
          <w:szCs w:val="18"/>
          <w:color w:val="auto"/>
        </w:rPr>
        <w:t>The Committee (A) will appropriately adjust any evaluation of performance under a performance goal to eliminate the effects of charges for restructurings, discontinued operations, extraordinary items and all items of gain, loss or expense determined to be extraordinary or unusual in nature or related to the disposal of a segment or a business or related to a change in accounting principle all as determined in accordance with standards established by opinion No. 30 of the Accounting Principles Board (APB Opinion No. 30) or other applicable or successor accounting provisions, as well as the cumulative effect of accounting changes, in each case and as determined in accordance with generally accepted accounting principles or identified in the Company’s financial statements, including the notes thereto, and (B) may appropriately adjust any evaluation of performance under a performance goal to exclude any of the following events that occurs during a performance period: (i) asset write-downs, (ii) litigation, claims, judgments or settlements, (iii) the effect of changes in tax law or other such laws or provisions affecting reported results, (iv) accruals for reorganization and restructuring programs, and (v) accruals of any amounts for payment under the Plan or any other compensation arrangement maintained by the Company.</w:t>
      </w:r>
    </w:p>
    <w:p>
      <w:pPr>
        <w:spacing w:after="0" w:line="153" w:lineRule="exact"/>
        <w:rPr>
          <w:rFonts w:ascii="Arial" w:cs="Arial" w:eastAsia="Arial" w:hAnsi="Arial"/>
          <w:sz w:val="18"/>
          <w:szCs w:val="18"/>
          <w:color w:val="auto"/>
        </w:rPr>
      </w:pPr>
    </w:p>
    <w:p>
      <w:pPr>
        <w:jc w:val="both"/>
        <w:ind w:left="346" w:right="20" w:hanging="346"/>
        <w:spacing w:after="0" w:line="253" w:lineRule="auto"/>
        <w:tabs>
          <w:tab w:leader="none" w:pos="346"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“Released Securities” shall mean Shares issued or issuable under any Restricted Stock, Stock Unit or other Award as to which all conditions for the vesting and issuance of such Shares have expired, lapsed, or been waived.</w:t>
      </w:r>
    </w:p>
    <w:p>
      <w:pPr>
        <w:spacing w:after="0" w:line="128" w:lineRule="exact"/>
        <w:rPr>
          <w:sz w:val="20"/>
          <w:szCs w:val="20"/>
          <w:color w:val="auto"/>
        </w:rPr>
      </w:pPr>
    </w:p>
    <w:p>
      <w:pPr>
        <w:jc w:val="both"/>
        <w:ind w:left="346" w:right="20" w:hanging="346"/>
        <w:spacing w:after="0" w:line="253" w:lineRule="auto"/>
        <w:tabs>
          <w:tab w:leader="none" w:pos="346"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“Restricted Stock” shall mean any Share granted under Section 7(b) of the Plan where the grant, issuance, retention, vesting and/or transferability of which is subject during specified periods of time to such conditions (including continued employment or performance conditions) and terms as the Committee deems appropriate.</w:t>
      </w:r>
    </w:p>
    <w:p>
      <w:pPr>
        <w:spacing w:after="0" w:line="128" w:lineRule="exact"/>
        <w:rPr>
          <w:rFonts w:ascii="Arial" w:cs="Arial" w:eastAsia="Arial" w:hAnsi="Arial"/>
          <w:sz w:val="18"/>
          <w:szCs w:val="18"/>
          <w:color w:val="auto"/>
        </w:rPr>
      </w:pPr>
    </w:p>
    <w:p>
      <w:pPr>
        <w:jc w:val="both"/>
        <w:ind w:left="346" w:hanging="346"/>
        <w:spacing w:after="0" w:line="247" w:lineRule="auto"/>
        <w:tabs>
          <w:tab w:leader="none" w:pos="346"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“Retirement” shall mean a Participant who has terminated employment on or after: (i) attainment of age 55 with at least 10 years of service with the Company or Affiliate, or (ii) attainment of age 60 with at least 5 years of service with the Company or Affiliate. In certain jurisdictions outside the United States, as noted in the Award Agreement, “Retirement”</w:t>
      </w:r>
    </w:p>
    <w:p>
      <w:pPr>
        <w:spacing w:after="0" w:line="174"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128905</wp:posOffset>
            </wp:positionV>
            <wp:extent cx="699516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12" w:name="page113"/>
    <w:bookmarkEnd w:id="112"/>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ANNEX D: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jc w:val="both"/>
        <w:ind w:left="366"/>
        <w:spacing w:after="0" w:line="253" w:lineRule="auto"/>
        <w:rPr>
          <w:sz w:val="20"/>
          <w:szCs w:val="20"/>
          <w:color w:val="auto"/>
        </w:rPr>
      </w:pPr>
      <w:r>
        <w:rPr>
          <w:rFonts w:ascii="Arial" w:cs="Arial" w:eastAsia="Arial" w:hAnsi="Arial"/>
          <w:sz w:val="18"/>
          <w:szCs w:val="18"/>
          <w:color w:val="auto"/>
        </w:rPr>
        <w:t>shall mean eligibility to retire under the local pension plan or state retirement program with at least 10 years of service with the Company or Affiliate. In determining Retirement, the Committee may in its discretion use similar rules as used under the Company’s pension plans where available and helpful.</w:t>
      </w:r>
    </w:p>
    <w:p>
      <w:pPr>
        <w:spacing w:after="0" w:line="142" w:lineRule="exact"/>
        <w:rPr>
          <w:sz w:val="20"/>
          <w:szCs w:val="20"/>
          <w:color w:val="auto"/>
        </w:rPr>
      </w:pPr>
    </w:p>
    <w:p>
      <w:pPr>
        <w:ind w:left="346" w:right="20" w:hanging="346"/>
        <w:spacing w:after="0" w:line="271" w:lineRule="auto"/>
        <w:tabs>
          <w:tab w:leader="none" w:pos="346" w:val="left"/>
        </w:tabs>
        <w:numPr>
          <w:ilvl w:val="0"/>
          <w:numId w:val="96"/>
        </w:numPr>
        <w:rPr>
          <w:rFonts w:ascii="Arial" w:cs="Arial" w:eastAsia="Arial" w:hAnsi="Arial"/>
          <w:sz w:val="18"/>
          <w:szCs w:val="18"/>
          <w:color w:val="auto"/>
        </w:rPr>
      </w:pPr>
      <w:r>
        <w:rPr>
          <w:rFonts w:ascii="Arial" w:cs="Arial" w:eastAsia="Arial" w:hAnsi="Arial"/>
          <w:sz w:val="18"/>
          <w:szCs w:val="18"/>
          <w:color w:val="auto"/>
        </w:rPr>
        <w:t>“Rule 16b-3” shall mean Rule 16b-3 promulgated by the Securities and Exchange Commission under the Securities Exchange Act of 1934 as amended, or any successor rule and the regulation thereto.</w:t>
      </w:r>
    </w:p>
    <w:p>
      <w:pPr>
        <w:spacing w:after="0" w:line="113" w:lineRule="exact"/>
        <w:rPr>
          <w:rFonts w:ascii="Arial" w:cs="Arial" w:eastAsia="Arial" w:hAnsi="Arial"/>
          <w:sz w:val="18"/>
          <w:szCs w:val="18"/>
          <w:color w:val="auto"/>
        </w:rPr>
      </w:pPr>
    </w:p>
    <w:p>
      <w:pPr>
        <w:jc w:val="both"/>
        <w:ind w:left="346" w:hanging="346"/>
        <w:spacing w:after="0"/>
        <w:tabs>
          <w:tab w:leader="none" w:pos="346"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“Section 13G Institutional Investor” means any individual, entity or group who or that is entitled to file, and files, a statement on Schedule 13G (or any comparable or successor report) pursuant to Rule 13d-1(b)(1) under the Exchange Act, as in effect on the Effective Date, with respect to the Shares that are beneficially owned by such individual, entity or group; provided, however, that an individual, entity or group who or that was a Section 13G Institutional Investor shall no longer be a Section 13G Institutional Investor from and after the time that it first becomes subject to an obligation to file (regardless of the due date of such filing) a statement on Schedule 13D (or any comparable or successor report) pursuant to Rule 13d-1(a), Rule 13d-1(e), Rule 13d-1(f) or Rule 13d-1(g) under the Exchange Act, as in effect on the Effective Date, with respect to the Shares that are beneficially owned by such individual, entity or group, together with all Affiliates of such individual, entity or group.</w:t>
      </w:r>
    </w:p>
    <w:p>
      <w:pPr>
        <w:spacing w:after="0" w:line="337" w:lineRule="exact"/>
        <w:rPr>
          <w:rFonts w:ascii="Arial" w:cs="Arial" w:eastAsia="Arial" w:hAnsi="Arial"/>
          <w:sz w:val="18"/>
          <w:szCs w:val="18"/>
          <w:color w:val="auto"/>
        </w:rPr>
      </w:pPr>
    </w:p>
    <w:p>
      <w:pPr>
        <w:jc w:val="both"/>
        <w:ind w:left="346" w:right="20" w:hanging="346"/>
        <w:spacing w:after="0" w:line="253" w:lineRule="auto"/>
        <w:tabs>
          <w:tab w:leader="none" w:pos="346" w:val="left"/>
        </w:tabs>
        <w:numPr>
          <w:ilvl w:val="0"/>
          <w:numId w:val="96"/>
        </w:numPr>
        <w:rPr>
          <w:rFonts w:ascii="Arial" w:cs="Arial" w:eastAsia="Arial" w:hAnsi="Arial"/>
          <w:sz w:val="18"/>
          <w:szCs w:val="18"/>
          <w:color w:val="auto"/>
        </w:rPr>
      </w:pPr>
      <w:r>
        <w:rPr>
          <w:rFonts w:ascii="Arial" w:cs="Arial" w:eastAsia="Arial" w:hAnsi="Arial"/>
          <w:sz w:val="18"/>
          <w:szCs w:val="18"/>
          <w:color w:val="auto"/>
        </w:rPr>
        <w:t>“Share” or “Shares” shall mean share(s) of the common stock of the Company, $1 par value, and such other securities or property as may become the subject of Awards pursuant to the adjustment provisions of Section 4(c).</w:t>
      </w:r>
    </w:p>
    <w:p>
      <w:pPr>
        <w:spacing w:after="0" w:line="141" w:lineRule="exact"/>
        <w:rPr>
          <w:rFonts w:ascii="Arial" w:cs="Arial" w:eastAsia="Arial" w:hAnsi="Arial"/>
          <w:sz w:val="18"/>
          <w:szCs w:val="18"/>
          <w:color w:val="auto"/>
        </w:rPr>
      </w:pPr>
    </w:p>
    <w:p>
      <w:pPr>
        <w:jc w:val="both"/>
        <w:ind w:left="346" w:right="20" w:hanging="346"/>
        <w:spacing w:after="0" w:line="247" w:lineRule="auto"/>
        <w:tabs>
          <w:tab w:leader="none" w:pos="346" w:val="left"/>
        </w:tabs>
        <w:numPr>
          <w:ilvl w:val="0"/>
          <w:numId w:val="96"/>
        </w:numPr>
        <w:rPr>
          <w:rFonts w:ascii="Arial" w:cs="Arial" w:eastAsia="Arial" w:hAnsi="Arial"/>
          <w:sz w:val="18"/>
          <w:szCs w:val="18"/>
          <w:color w:val="auto"/>
        </w:rPr>
      </w:pPr>
      <w:r>
        <w:rPr>
          <w:rFonts w:ascii="Arial" w:cs="Arial" w:eastAsia="Arial" w:hAnsi="Arial"/>
          <w:sz w:val="18"/>
          <w:szCs w:val="18"/>
          <w:color w:val="auto"/>
        </w:rPr>
        <w:t>“Stock Appreciation Rights” or “SARs” shall mean a right granted under Section 7(a) of the Plan that entitles the Participant to receive, in cash or Shares or a combination thereof, as determined by the Committee, value equal to or otherwise based on the excess of (A) the Fair Market Value of a specified number of Shares at the time of exercise over (B) the exercise price of the right, as established pursuant to Section 7(a)(i).</w:t>
      </w:r>
    </w:p>
    <w:p>
      <w:pPr>
        <w:spacing w:after="0" w:line="133" w:lineRule="exact"/>
        <w:rPr>
          <w:rFonts w:ascii="Arial" w:cs="Arial" w:eastAsia="Arial" w:hAnsi="Arial"/>
          <w:sz w:val="18"/>
          <w:szCs w:val="18"/>
          <w:color w:val="auto"/>
        </w:rPr>
      </w:pPr>
    </w:p>
    <w:p>
      <w:pPr>
        <w:jc w:val="both"/>
        <w:ind w:left="346" w:hanging="346"/>
        <w:spacing w:after="0" w:line="244" w:lineRule="auto"/>
        <w:tabs>
          <w:tab w:leader="none" w:pos="346" w:val="left"/>
        </w:tabs>
        <w:numPr>
          <w:ilvl w:val="0"/>
          <w:numId w:val="96"/>
        </w:numPr>
        <w:rPr>
          <w:rFonts w:ascii="Arial" w:cs="Arial" w:eastAsia="Arial" w:hAnsi="Arial"/>
          <w:sz w:val="18"/>
          <w:szCs w:val="18"/>
          <w:color w:val="auto"/>
        </w:rPr>
      </w:pPr>
      <w:r>
        <w:rPr>
          <w:rFonts w:ascii="Arial" w:cs="Arial" w:eastAsia="Arial" w:hAnsi="Arial"/>
          <w:sz w:val="18"/>
          <w:szCs w:val="18"/>
          <w:color w:val="auto"/>
        </w:rPr>
        <w:t>“Stock Unit” means an award denominated in units of common stock under which the issuance of shares of common stock (or cash payment in lieu thereof) is subject to such conditions (including continued employment or performance conditions) and terms as the Committee deems appropriate. Stock Unit includes a restricted stock unit subject only to time-based vesting restrictions and a performance stock unit subject to the achievement of Performance Goals which may be in addition to any other vesting restrictions that may apply.</w:t>
      </w:r>
    </w:p>
    <w:p>
      <w:pPr>
        <w:spacing w:after="0" w:line="135" w:lineRule="exact"/>
        <w:rPr>
          <w:rFonts w:ascii="Arial" w:cs="Arial" w:eastAsia="Arial" w:hAnsi="Arial"/>
          <w:sz w:val="18"/>
          <w:szCs w:val="18"/>
          <w:color w:val="auto"/>
        </w:rPr>
      </w:pPr>
    </w:p>
    <w:p>
      <w:pPr>
        <w:jc w:val="both"/>
        <w:ind w:left="346" w:hanging="346"/>
        <w:spacing w:after="0" w:line="253" w:lineRule="auto"/>
        <w:tabs>
          <w:tab w:leader="none" w:pos="346"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“Substitute Award” shall mean an Award granted in assumption of, or in substitution or exchange for, an outstanding Award previously granted by a Company acquired by the Company or with which the Company combines.</w:t>
      </w:r>
    </w:p>
    <w:p>
      <w:pPr>
        <w:spacing w:after="0" w:line="141" w:lineRule="exact"/>
        <w:rPr>
          <w:rFonts w:ascii="Arial" w:cs="Arial" w:eastAsia="Arial" w:hAnsi="Arial"/>
          <w:sz w:val="18"/>
          <w:szCs w:val="18"/>
          <w:color w:val="auto"/>
        </w:rPr>
      </w:pPr>
    </w:p>
    <w:p>
      <w:pPr>
        <w:ind w:left="346" w:hanging="346"/>
        <w:spacing w:after="0"/>
        <w:tabs>
          <w:tab w:leader="none" w:pos="34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“Termination of Employment” on Account of a Change of Control shall mean as follows:</w:t>
      </w:r>
    </w:p>
    <w:p>
      <w:pPr>
        <w:spacing w:after="0" w:line="171" w:lineRule="exact"/>
        <w:rPr>
          <w:rFonts w:ascii="Arial" w:cs="Arial" w:eastAsia="Arial" w:hAnsi="Arial"/>
          <w:sz w:val="18"/>
          <w:szCs w:val="18"/>
          <w:color w:val="auto"/>
        </w:rPr>
      </w:pPr>
    </w:p>
    <w:p>
      <w:pPr>
        <w:jc w:val="both"/>
        <w:ind w:left="706" w:right="20" w:hanging="346"/>
        <w:spacing w:after="0"/>
        <w:tabs>
          <w:tab w:leader="none" w:pos="706" w:val="left"/>
        </w:tabs>
        <w:numPr>
          <w:ilvl w:val="1"/>
          <w:numId w:val="96"/>
        </w:numPr>
        <w:rPr>
          <w:rFonts w:ascii="Arial" w:cs="Arial" w:eastAsia="Arial" w:hAnsi="Arial"/>
          <w:sz w:val="18"/>
          <w:szCs w:val="18"/>
          <w:color w:val="auto"/>
        </w:rPr>
      </w:pPr>
      <w:r>
        <w:rPr>
          <w:rFonts w:ascii="Arial" w:cs="Arial" w:eastAsia="Arial" w:hAnsi="Arial"/>
          <w:sz w:val="18"/>
          <w:szCs w:val="18"/>
          <w:color w:val="auto"/>
        </w:rPr>
        <w:t>Upon or within two years after a Change of Control, either (A) a termination of a Participant’s employment by the Company other than as a result of (1) the willful and continued failure of the Participant to perform substantially the Participant’s duties with the Company or any of its affiliates (other than any such failure resulting from incapacity due to physical or mental illness) or (2) the willful engaging by the Participant in illegal conduct or gross misconduct which is materially and demonstrably injurious to the Company, or (B) a termination of employment by the Participant for any one of the following Good Reasons (each of which constituting a “Good Reason”), subject to Section 2(ii)(iii) below:</w:t>
      </w:r>
    </w:p>
    <w:p>
      <w:pPr>
        <w:spacing w:after="0" w:line="144" w:lineRule="exact"/>
        <w:rPr>
          <w:rFonts w:ascii="Arial" w:cs="Arial" w:eastAsia="Arial" w:hAnsi="Arial"/>
          <w:sz w:val="18"/>
          <w:szCs w:val="18"/>
          <w:color w:val="auto"/>
        </w:rPr>
      </w:pPr>
    </w:p>
    <w:p>
      <w:pPr>
        <w:jc w:val="both"/>
        <w:ind w:left="1066" w:right="20" w:hanging="346"/>
        <w:spacing w:after="0" w:line="242" w:lineRule="auto"/>
        <w:tabs>
          <w:tab w:leader="none" w:pos="1066"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assignment following a Change of Control to a Participant of any duties inconsistent in any respect with the Participant’s position, authority, duties and responsibilities as existed on the day immediately prior to the Change of Control, or any other action by the Company which results in a diminution in such position, authority, duties, or responsibilities, excluding for this purpose an isolated, insubstantial, and inadvertent action not taken in bad faith and which is remedied by the Company promptly after receipt of notice thereof given by the Participant;</w:t>
      </w:r>
    </w:p>
    <w:p>
      <w:pPr>
        <w:spacing w:after="0" w:line="151" w:lineRule="exact"/>
        <w:rPr>
          <w:rFonts w:ascii="Arial" w:cs="Arial" w:eastAsia="Arial" w:hAnsi="Arial"/>
          <w:sz w:val="18"/>
          <w:szCs w:val="18"/>
          <w:color w:val="auto"/>
        </w:rPr>
      </w:pPr>
    </w:p>
    <w:p>
      <w:pPr>
        <w:jc w:val="both"/>
        <w:ind w:left="1066" w:right="20" w:hanging="346"/>
        <w:spacing w:after="0" w:line="244" w:lineRule="auto"/>
        <w:tabs>
          <w:tab w:leader="none" w:pos="1066" w:val="left"/>
        </w:tabs>
        <w:numPr>
          <w:ilvl w:val="2"/>
          <w:numId w:val="96"/>
        </w:numPr>
        <w:rPr>
          <w:rFonts w:ascii="Arial" w:cs="Arial" w:eastAsia="Arial" w:hAnsi="Arial"/>
          <w:sz w:val="18"/>
          <w:szCs w:val="18"/>
          <w:color w:val="auto"/>
        </w:rPr>
      </w:pPr>
      <w:r>
        <w:rPr>
          <w:rFonts w:ascii="Arial" w:cs="Arial" w:eastAsia="Arial" w:hAnsi="Arial"/>
          <w:sz w:val="18"/>
          <w:szCs w:val="18"/>
          <w:color w:val="auto"/>
        </w:rPr>
        <w:t>Any failure by the Company following a Change of Control to continue to provide the Participant with annual salary, employee benefits, or other compensation equal to or greater than that to which such Participant was entitled immediately prior to the occurrence of the Change of Control, other than an isolated, insubstantial, and inadvertent failure not occurring in bad faith and which is remedied by the Company promptly after receipt of notice thereof given by the Participant;</w:t>
      </w:r>
    </w:p>
    <w:p>
      <w:pPr>
        <w:spacing w:after="0" w:line="176"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120650</wp:posOffset>
            </wp:positionV>
            <wp:extent cx="699516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13" w:name="page114"/>
    <w:bookmarkEnd w:id="113"/>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ANNEX D: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jc w:val="both"/>
        <w:ind w:left="1066" w:right="20" w:hanging="346"/>
        <w:spacing w:after="0" w:line="244" w:lineRule="auto"/>
        <w:tabs>
          <w:tab w:leader="none" w:pos="1066"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failure by the Company following a Change of Control to continue to provide the Participant with the opportunity to earn either cash-based annual incentives or stock-based long-term incentive compensation on a basis at least equal to that provided to the Participant prior to the occurrence of the Change of Control, taking into account the level of compensation that can be earned and the relative difficulty of any associated performance goals;</w:t>
      </w:r>
    </w:p>
    <w:p>
      <w:pPr>
        <w:spacing w:after="0" w:line="149" w:lineRule="exact"/>
        <w:rPr>
          <w:rFonts w:ascii="Arial" w:cs="Arial" w:eastAsia="Arial" w:hAnsi="Arial"/>
          <w:sz w:val="18"/>
          <w:szCs w:val="18"/>
          <w:color w:val="auto"/>
        </w:rPr>
      </w:pPr>
    </w:p>
    <w:p>
      <w:pPr>
        <w:jc w:val="both"/>
        <w:ind w:left="1066" w:right="20" w:hanging="346"/>
        <w:spacing w:after="0" w:line="244" w:lineRule="auto"/>
        <w:tabs>
          <w:tab w:leader="none" w:pos="1066"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Company’s requiring the Participant, after a Change of Control, to be based, at any office or location more than 35 miles farther from the Participant’s place of residence than the office or location at which the Participant is employed immediately prior to the occurrence of the Change of Control or the Company’s requiring the Participant to travel on Company business to a substantially greater extent than required immediately before the Change of Control;</w:t>
      </w:r>
    </w:p>
    <w:p>
      <w:pPr>
        <w:spacing w:after="0" w:line="135" w:lineRule="exact"/>
        <w:rPr>
          <w:rFonts w:ascii="Arial" w:cs="Arial" w:eastAsia="Arial" w:hAnsi="Arial"/>
          <w:sz w:val="18"/>
          <w:szCs w:val="18"/>
          <w:color w:val="auto"/>
        </w:rPr>
      </w:pPr>
    </w:p>
    <w:p>
      <w:pPr>
        <w:jc w:val="both"/>
        <w:ind w:left="1066" w:right="20" w:hanging="346"/>
        <w:spacing w:after="0" w:line="244" w:lineRule="auto"/>
        <w:tabs>
          <w:tab w:leader="none" w:pos="1066"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failure by the Company, after a Change of Control, to require any successor (whether direct or indirect, by purchase, merger, consolidation or otherwise) who acquired all or substantially all of the business and/or assets of the Company to expressly assume and agree to perform the Company’s obligations under the Plan in the same manner and to the same extent that the Company would be required to perform it if no such succession had taken place.</w:t>
      </w:r>
    </w:p>
    <w:p>
      <w:pPr>
        <w:spacing w:after="0" w:line="136" w:lineRule="exact"/>
        <w:rPr>
          <w:sz w:val="20"/>
          <w:szCs w:val="20"/>
          <w:color w:val="auto"/>
        </w:rPr>
      </w:pPr>
    </w:p>
    <w:p>
      <w:pPr>
        <w:ind w:left="726"/>
        <w:spacing w:after="0" w:line="271" w:lineRule="auto"/>
        <w:rPr>
          <w:sz w:val="20"/>
          <w:szCs w:val="20"/>
          <w:color w:val="auto"/>
        </w:rPr>
      </w:pPr>
      <w:r>
        <w:rPr>
          <w:rFonts w:ascii="Arial" w:cs="Arial" w:eastAsia="Arial" w:hAnsi="Arial"/>
          <w:sz w:val="18"/>
          <w:szCs w:val="18"/>
          <w:color w:val="auto"/>
        </w:rPr>
        <w:t>Any good faith determination made by a Participant that a Good Reason described in subparagraphs 1 through 5 has occurred shall be conclusive, subject to Section 2(ii)(iii) below.</w:t>
      </w:r>
    </w:p>
    <w:p>
      <w:pPr>
        <w:spacing w:after="0" w:line="127" w:lineRule="exact"/>
        <w:rPr>
          <w:sz w:val="20"/>
          <w:szCs w:val="20"/>
          <w:color w:val="auto"/>
        </w:rPr>
      </w:pPr>
    </w:p>
    <w:p>
      <w:pPr>
        <w:jc w:val="both"/>
        <w:ind w:left="346" w:hanging="346"/>
        <w:spacing w:after="0" w:line="239" w:lineRule="auto"/>
        <w:tabs>
          <w:tab w:leader="none" w:pos="346"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termination by the Company or by the Participant for reasons described above shall be communicated by a Notice of Termination to the other party. Any Notice of Termination shall be by written instrument which (A) indicates the specific termination provision above relied upon, (B) sets forth in reasonable detail the facts and circumstances claimed to provide a basis for termination of the Participant’s employment under the provision so indicated, and (C) if the Date of Termination is other than the date of receipt of such notice, specifies the Date of Termination (which date shall not be more than 15 days after the giving of such notice). The failure by any Participant to set forth in the Notice of Termination any fact or circumstance which contributes to a showing of entitlement to terminate under subparagraphs (1) through (5) above shall not be deemed to be a waiver of any right of such Participant or preclude such Participant from asserting such fact or circumstance in enforcing his rights.</w:t>
      </w:r>
    </w:p>
    <w:p>
      <w:pPr>
        <w:spacing w:after="0" w:line="139" w:lineRule="exact"/>
        <w:rPr>
          <w:rFonts w:ascii="Arial" w:cs="Arial" w:eastAsia="Arial" w:hAnsi="Arial"/>
          <w:sz w:val="18"/>
          <w:szCs w:val="18"/>
          <w:color w:val="auto"/>
        </w:rPr>
      </w:pPr>
    </w:p>
    <w:p>
      <w:pPr>
        <w:jc w:val="both"/>
        <w:ind w:left="346" w:hanging="346"/>
        <w:spacing w:after="0" w:line="242" w:lineRule="auto"/>
        <w:tabs>
          <w:tab w:leader="none" w:pos="346"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Notwithstanding the foregoing, a Termination of Employment for Good Reason shall not occur if, within 30 days after the date the Participant gives a Notice of Termination to the Company after a Change of Control, the Company corrects the action or failure to act that constitutes the grounds for termination for Good Reason and as set forth in the Participant’s Notice of Termination. If the Company does not correct the action or failure to act, the Participant must terminate his or her employment for Good Reason within 60 days after the end of the cure period, in order for the termination to be considered a Good Reason termination.</w:t>
      </w:r>
    </w:p>
    <w:p>
      <w:pPr>
        <w:spacing w:after="0" w:line="210"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72AF"/>
        </w:rPr>
        <w:t xml:space="preserve">Section 3. </w:t>
      </w:r>
      <w:r>
        <w:rPr>
          <w:rFonts w:ascii="Arial" w:cs="Arial" w:eastAsia="Arial" w:hAnsi="Arial"/>
          <w:sz w:val="22"/>
          <w:szCs w:val="22"/>
          <w:b w:val="1"/>
          <w:bCs w:val="1"/>
          <w:i w:val="1"/>
          <w:iCs w:val="1"/>
          <w:color w:val="0072AF"/>
        </w:rPr>
        <w:t>Administration.</w:t>
      </w:r>
    </w:p>
    <w:p>
      <w:pPr>
        <w:spacing w:after="0" w:line="189" w:lineRule="exact"/>
        <w:rPr>
          <w:sz w:val="20"/>
          <w:szCs w:val="20"/>
          <w:color w:val="auto"/>
        </w:rPr>
      </w:pPr>
    </w:p>
    <w:p>
      <w:pPr>
        <w:jc w:val="both"/>
        <w:ind w:left="346" w:hanging="346"/>
        <w:spacing w:after="0"/>
        <w:tabs>
          <w:tab w:leader="none" w:pos="346" w:val="left"/>
        </w:tabs>
        <w:numPr>
          <w:ilvl w:val="0"/>
          <w:numId w:val="99"/>
        </w:numPr>
        <w:rPr>
          <w:rFonts w:ascii="Arial" w:cs="Arial" w:eastAsia="Arial" w:hAnsi="Arial"/>
          <w:sz w:val="18"/>
          <w:szCs w:val="18"/>
          <w:color w:val="auto"/>
        </w:rPr>
      </w:pPr>
      <w:r>
        <w:rPr>
          <w:rFonts w:ascii="Arial" w:cs="Arial" w:eastAsia="Arial" w:hAnsi="Arial"/>
          <w:sz w:val="18"/>
          <w:szCs w:val="18"/>
          <w:i w:val="1"/>
          <w:iCs w:val="1"/>
          <w:u w:val="single" w:color="auto"/>
          <w:color w:val="auto"/>
        </w:rPr>
        <w:t>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shall be administered by the Committee. Any power of the Committee may also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by the Board of Directors, except to the extent that the grant or exercise of such authority would cause any Award or transaction to become subject to (or lose an exemption under) the short-swing profit recovery provisions of Section 16(b) of the Securities Exchange Act of 1934, as amended (“Section 16(b)”), unless the Board of Directors expressly determines not to obtain compliance with the provisions of Section 16(b). To the extent that any permitted action taken by the Board of Directors conflicts with action taken by the Committee, the Board of Directors’ action shall control. Subject to the terms of the Plan and applicable law, the Committee shall have full power and authority to:</w:t>
      </w:r>
    </w:p>
    <w:p>
      <w:pPr>
        <w:spacing w:after="0" w:line="139" w:lineRule="exact"/>
        <w:rPr>
          <w:rFonts w:ascii="Arial" w:cs="Arial" w:eastAsia="Arial" w:hAnsi="Arial"/>
          <w:sz w:val="18"/>
          <w:szCs w:val="18"/>
          <w:color w:val="auto"/>
        </w:rPr>
      </w:pPr>
    </w:p>
    <w:p>
      <w:pPr>
        <w:ind w:left="706" w:hanging="346"/>
        <w:spacing w:after="0"/>
        <w:tabs>
          <w:tab w:leader="none" w:pos="706"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designate Participants;</w:t>
      </w:r>
    </w:p>
    <w:p>
      <w:pPr>
        <w:spacing w:after="0" w:line="171" w:lineRule="exact"/>
        <w:rPr>
          <w:rFonts w:ascii="Arial" w:cs="Arial" w:eastAsia="Arial" w:hAnsi="Arial"/>
          <w:sz w:val="18"/>
          <w:szCs w:val="18"/>
          <w:color w:val="auto"/>
        </w:rPr>
      </w:pPr>
    </w:p>
    <w:p>
      <w:pPr>
        <w:ind w:left="706" w:hanging="346"/>
        <w:spacing w:after="0"/>
        <w:tabs>
          <w:tab w:leader="none" w:pos="706"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 under the Plan;</w:t>
      </w:r>
    </w:p>
    <w:p>
      <w:pPr>
        <w:spacing w:after="0" w:line="184" w:lineRule="exact"/>
        <w:rPr>
          <w:rFonts w:ascii="Arial" w:cs="Arial" w:eastAsia="Arial" w:hAnsi="Arial"/>
          <w:sz w:val="18"/>
          <w:szCs w:val="18"/>
          <w:color w:val="auto"/>
        </w:rPr>
      </w:pPr>
    </w:p>
    <w:p>
      <w:pPr>
        <w:ind w:left="706" w:right="20" w:hanging="346"/>
        <w:spacing w:after="0" w:line="271" w:lineRule="auto"/>
        <w:tabs>
          <w:tab w:leader="none" w:pos="706"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determine the number of Shares to be covered by (or with respect to which payments, rights, or other matters are to be calculated in connection with) Awards;</w:t>
      </w:r>
    </w:p>
    <w:p>
      <w:pPr>
        <w:spacing w:after="0" w:line="154"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120650</wp:posOffset>
            </wp:positionV>
            <wp:extent cx="699516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14" w:name="page115"/>
    <w:bookmarkEnd w:id="114"/>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ANNEX D: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jc w:val="both"/>
        <w:ind w:left="706" w:right="20" w:hanging="346"/>
        <w:spacing w:after="0" w:line="253" w:lineRule="auto"/>
        <w:tabs>
          <w:tab w:leader="none" w:pos="70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determine the terms and conditions of any Award and of Award Agreements, and verify the extent of satisfaction of any performance goals or other conditions applicable to the grant, issuance, exercisability, vesting and/or ability to retain any Award;</w:t>
      </w:r>
    </w:p>
    <w:p>
      <w:pPr>
        <w:spacing w:after="0" w:line="141" w:lineRule="exact"/>
        <w:rPr>
          <w:rFonts w:ascii="Arial" w:cs="Arial" w:eastAsia="Arial" w:hAnsi="Arial"/>
          <w:sz w:val="18"/>
          <w:szCs w:val="18"/>
          <w:color w:val="auto"/>
        </w:rPr>
      </w:pPr>
    </w:p>
    <w:p>
      <w:pPr>
        <w:jc w:val="both"/>
        <w:ind w:left="706" w:right="20" w:hanging="346"/>
        <w:spacing w:after="0" w:line="247" w:lineRule="auto"/>
        <w:tabs>
          <w:tab w:leader="none" w:pos="70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Awards may be settled or exercised in cash, Shares, other securities, other Awards, or other property, or to what extent, and under what circumstances Awards may be canceled, forfeited, or suspended, and the method or methods by which Awards may be settled, exercised, canceled, forfeited, or suspended;</w:t>
      </w:r>
    </w:p>
    <w:p>
      <w:pPr>
        <w:spacing w:after="0" w:line="133" w:lineRule="exact"/>
        <w:rPr>
          <w:rFonts w:ascii="Arial" w:cs="Arial" w:eastAsia="Arial" w:hAnsi="Arial"/>
          <w:sz w:val="18"/>
          <w:szCs w:val="18"/>
          <w:color w:val="auto"/>
        </w:rPr>
      </w:pPr>
    </w:p>
    <w:p>
      <w:pPr>
        <w:jc w:val="both"/>
        <w:ind w:left="706" w:right="20" w:hanging="346"/>
        <w:spacing w:after="0" w:line="253" w:lineRule="auto"/>
        <w:tabs>
          <w:tab w:leader="none" w:pos="70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cash, Shares, other securities, other Awards, other property, and other amounts payable with respect to an Award under the Plan shall be deferred either automatically or at the election of the holder thereof or of the Committee;</w:t>
      </w:r>
    </w:p>
    <w:p>
      <w:pPr>
        <w:spacing w:after="0" w:line="128" w:lineRule="exact"/>
        <w:rPr>
          <w:rFonts w:ascii="Arial" w:cs="Arial" w:eastAsia="Arial" w:hAnsi="Arial"/>
          <w:sz w:val="18"/>
          <w:szCs w:val="18"/>
          <w:color w:val="auto"/>
        </w:rPr>
      </w:pPr>
    </w:p>
    <w:p>
      <w:pPr>
        <w:ind w:left="706" w:right="20" w:hanging="346"/>
        <w:spacing w:after="0" w:line="271" w:lineRule="auto"/>
        <w:tabs>
          <w:tab w:leader="none" w:pos="70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interpret and administer the Plan and any instrument or agreement relating to the Plan, or any Award made under the Plan, including any Award Agreement;</w:t>
      </w:r>
    </w:p>
    <w:p>
      <w:pPr>
        <w:spacing w:after="0" w:line="126" w:lineRule="exact"/>
        <w:rPr>
          <w:rFonts w:ascii="Arial" w:cs="Arial" w:eastAsia="Arial" w:hAnsi="Arial"/>
          <w:sz w:val="18"/>
          <w:szCs w:val="18"/>
          <w:color w:val="auto"/>
        </w:rPr>
      </w:pPr>
    </w:p>
    <w:p>
      <w:pPr>
        <w:jc w:val="both"/>
        <w:ind w:left="706" w:right="20" w:hanging="346"/>
        <w:spacing w:after="0" w:line="253" w:lineRule="auto"/>
        <w:tabs>
          <w:tab w:leader="none" w:pos="70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correct any defect or error, supply any omission, or reconcile any inconsistency in the administration of the Plan or in any Award Agreement in the manner and to the extent it shall deem desirable to effectuate the purposes of the Plan and the related Award;</w:t>
      </w:r>
    </w:p>
    <w:p>
      <w:pPr>
        <w:spacing w:after="0" w:line="128" w:lineRule="exact"/>
        <w:rPr>
          <w:rFonts w:ascii="Arial" w:cs="Arial" w:eastAsia="Arial" w:hAnsi="Arial"/>
          <w:sz w:val="18"/>
          <w:szCs w:val="18"/>
          <w:color w:val="auto"/>
        </w:rPr>
      </w:pPr>
    </w:p>
    <w:p>
      <w:pPr>
        <w:ind w:left="706" w:right="20" w:hanging="346"/>
        <w:spacing w:after="0" w:line="271" w:lineRule="auto"/>
        <w:tabs>
          <w:tab w:leader="none" w:pos="70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establish, amend, suspend, rescind or reconcile such rules and regulations and appoint such agents as it shall deem appropriate for the proper administration of the Plan;</w:t>
      </w:r>
    </w:p>
    <w:p>
      <w:pPr>
        <w:spacing w:after="0" w:line="113" w:lineRule="exact"/>
        <w:rPr>
          <w:rFonts w:ascii="Arial" w:cs="Arial" w:eastAsia="Arial" w:hAnsi="Arial"/>
          <w:sz w:val="18"/>
          <w:szCs w:val="18"/>
          <w:color w:val="auto"/>
        </w:rPr>
      </w:pPr>
    </w:p>
    <w:p>
      <w:pPr>
        <w:jc w:val="both"/>
        <w:ind w:left="706" w:right="20" w:hanging="346"/>
        <w:spacing w:after="0" w:line="247" w:lineRule="auto"/>
        <w:tabs>
          <w:tab w:leader="none" w:pos="70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determine the extent to which adjustments are required as a result of a merger, acquisition, consolidation, Change of Control, reorganization, reclassification, combination of shares, stock split, reverse stock split, spinoff, dividend distribution of securities, property, cash or any other event or transaction affecting the number or kind of outstanding Shares or equity; and</w:t>
      </w:r>
    </w:p>
    <w:p>
      <w:pPr>
        <w:spacing w:after="0" w:line="146" w:lineRule="exact"/>
        <w:rPr>
          <w:rFonts w:ascii="Arial" w:cs="Arial" w:eastAsia="Arial" w:hAnsi="Arial"/>
          <w:sz w:val="18"/>
          <w:szCs w:val="18"/>
          <w:color w:val="auto"/>
        </w:rPr>
      </w:pPr>
    </w:p>
    <w:p>
      <w:pPr>
        <w:ind w:left="706" w:right="20" w:hanging="346"/>
        <w:spacing w:after="0" w:line="271" w:lineRule="auto"/>
        <w:tabs>
          <w:tab w:leader="none" w:pos="70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make any other determination and take any other action that the Committee deems necessary or desirable for the administration of the Plan.</w:t>
      </w:r>
    </w:p>
    <w:p>
      <w:pPr>
        <w:spacing w:after="0" w:line="113" w:lineRule="exact"/>
        <w:rPr>
          <w:rFonts w:ascii="Arial" w:cs="Arial" w:eastAsia="Arial" w:hAnsi="Arial"/>
          <w:sz w:val="18"/>
          <w:szCs w:val="18"/>
          <w:color w:val="auto"/>
        </w:rPr>
      </w:pPr>
    </w:p>
    <w:p>
      <w:pPr>
        <w:jc w:val="both"/>
        <w:ind w:left="346" w:right="20" w:hanging="346"/>
        <w:spacing w:after="0" w:line="244" w:lineRule="auto"/>
        <w:tabs>
          <w:tab w:leader="none" w:pos="346" w:val="left"/>
        </w:tabs>
        <w:numPr>
          <w:ilvl w:val="0"/>
          <w:numId w:val="101"/>
        </w:numPr>
        <w:rPr>
          <w:rFonts w:ascii="Arial" w:cs="Arial" w:eastAsia="Arial" w:hAnsi="Arial"/>
          <w:sz w:val="18"/>
          <w:szCs w:val="18"/>
          <w:color w:val="auto"/>
        </w:rPr>
      </w:pPr>
      <w:r>
        <w:rPr>
          <w:rFonts w:ascii="Arial" w:cs="Arial" w:eastAsia="Arial" w:hAnsi="Arial"/>
          <w:sz w:val="18"/>
          <w:szCs w:val="18"/>
          <w:i w:val="1"/>
          <w:iCs w:val="1"/>
          <w:u w:val="single" w:color="auto"/>
          <w:color w:val="auto"/>
        </w:rPr>
        <w:t>Committee Decisions.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otherwise expressly provided in the Plan, all designations, determinations,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interpretations, and other decisions under or with respect to the Plan, any Award, or any Award Agreement, shall be within the sole discretion of the Committee or the Board as the case may be, may be made at any time, and shall be final, conclusive, and binding upon all Persons, including the Company, any Affiliate, any Participant, any holder or beneficiary of any Award, and any Employee.</w:t>
      </w:r>
    </w:p>
    <w:p>
      <w:pPr>
        <w:spacing w:after="0" w:line="135" w:lineRule="exact"/>
        <w:rPr>
          <w:rFonts w:ascii="Arial" w:cs="Arial" w:eastAsia="Arial" w:hAnsi="Arial"/>
          <w:sz w:val="18"/>
          <w:szCs w:val="18"/>
          <w:color w:val="auto"/>
        </w:rPr>
      </w:pPr>
    </w:p>
    <w:p>
      <w:pPr>
        <w:jc w:val="both"/>
        <w:ind w:left="346" w:hanging="346"/>
        <w:spacing w:after="0" w:line="239" w:lineRule="auto"/>
        <w:tabs>
          <w:tab w:leader="none" w:pos="346" w:val="left"/>
        </w:tabs>
        <w:numPr>
          <w:ilvl w:val="0"/>
          <w:numId w:val="101"/>
        </w:numPr>
        <w:rPr>
          <w:rFonts w:ascii="Arial" w:cs="Arial" w:eastAsia="Arial" w:hAnsi="Arial"/>
          <w:sz w:val="18"/>
          <w:szCs w:val="18"/>
          <w:color w:val="auto"/>
        </w:rPr>
      </w:pPr>
      <w:r>
        <w:rPr>
          <w:rFonts w:ascii="Arial" w:cs="Arial" w:eastAsia="Arial" w:hAnsi="Arial"/>
          <w:sz w:val="18"/>
          <w:szCs w:val="18"/>
          <w:i w:val="1"/>
          <w:iCs w:val="1"/>
          <w:u w:val="single" w:color="auto"/>
          <w:color w:val="auto"/>
        </w:rPr>
        <w:t>Delegation.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or the Committee may, from time to time, authorize one or more officers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to perform any or all things that the Committee is authorized and empowered to do or perform under the Plan consistent with Delaware and other applicable law. For all purposes under this Plan, such officer or officers authorized by the Committee shall be treated as the Committee; provided, however, that the resolution so authorizing such officer or officers shall specify the total number of Awards (if any) such officer or officers may award pursuant to such delegated authority and any such Award shall be subject to the form of Award Agreement theretofore approved by the Committee. No such officer shall designate himself or herself or any direct report as a recipient of any Awards granted under authority delegated to such officer. In addition, the Board or the Committee may delegate any or all aspects of the day-to-day administration of the Plan to one or more officers or employees of the Company or any subsidiary, and/or to one or more agents.</w:t>
      </w:r>
    </w:p>
    <w:p>
      <w:pPr>
        <w:spacing w:after="0" w:line="211"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72AF"/>
        </w:rPr>
        <w:t xml:space="preserve">Section 4. </w:t>
      </w:r>
      <w:r>
        <w:rPr>
          <w:rFonts w:ascii="Arial" w:cs="Arial" w:eastAsia="Arial" w:hAnsi="Arial"/>
          <w:sz w:val="22"/>
          <w:szCs w:val="22"/>
          <w:b w:val="1"/>
          <w:bCs w:val="1"/>
          <w:i w:val="1"/>
          <w:iCs w:val="1"/>
          <w:color w:val="0072AF"/>
        </w:rPr>
        <w:t>Shares Available for Awards.</w:t>
      </w:r>
    </w:p>
    <w:p>
      <w:pPr>
        <w:spacing w:after="0" w:line="175" w:lineRule="exact"/>
        <w:rPr>
          <w:sz w:val="20"/>
          <w:szCs w:val="20"/>
          <w:color w:val="auto"/>
        </w:rPr>
      </w:pPr>
    </w:p>
    <w:p>
      <w:pPr>
        <w:jc w:val="both"/>
        <w:ind w:left="346" w:hanging="346"/>
        <w:spacing w:after="0"/>
        <w:tabs>
          <w:tab w:leader="none" w:pos="346" w:val="left"/>
        </w:tabs>
        <w:numPr>
          <w:ilvl w:val="0"/>
          <w:numId w:val="102"/>
        </w:numPr>
        <w:rPr>
          <w:rFonts w:ascii="Arial" w:cs="Arial" w:eastAsia="Arial" w:hAnsi="Arial"/>
          <w:sz w:val="18"/>
          <w:szCs w:val="18"/>
          <w:color w:val="auto"/>
        </w:rPr>
      </w:pPr>
      <w:r>
        <w:rPr>
          <w:rFonts w:ascii="Arial" w:cs="Arial" w:eastAsia="Arial" w:hAnsi="Arial"/>
          <w:sz w:val="18"/>
          <w:szCs w:val="18"/>
          <w:i w:val="1"/>
          <w:iCs w:val="1"/>
          <w:u w:val="single" w:color="auto"/>
          <w:color w:val="auto"/>
        </w:rPr>
        <w:t>Maximum Shares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The maximum number of Shares that may be issued to Participants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Awards under the Plan shall be 8,400,000 Shares plus (i) any Shares that remain available as of May 6, 2024 for future grant under the Pitney Bowes Inc. 2018 Stock Plan as amended and restated, and (ii) any Shares subject to outstanding awards under the Prior Plans as of May 6, 2024 (such outstanding awards the “Prior Plan Awards”) that on or after such date cease for any reason to be subject to such Awards (other than by reason of exercise or settlement of the Awards to the extent they are exercised for or settled in vested and non-forfeitable Shares) (collectively, the “Plan Maximum”), subject to adjustment as provided in Section 4(c) below. Any Shares issued under Full Value Awards shall be counted</w:t>
      </w:r>
    </w:p>
    <w:p>
      <w:pPr>
        <w:spacing w:after="0" w:line="180"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128905</wp:posOffset>
            </wp:positionV>
            <wp:extent cx="699516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15" w:name="page116"/>
    <w:bookmarkEnd w:id="115"/>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ANNEX D: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jc w:val="both"/>
        <w:ind w:left="366"/>
        <w:spacing w:after="0" w:line="239" w:lineRule="auto"/>
        <w:rPr>
          <w:sz w:val="20"/>
          <w:szCs w:val="20"/>
          <w:color w:val="auto"/>
        </w:rPr>
      </w:pPr>
      <w:r>
        <w:rPr>
          <w:rFonts w:ascii="Arial" w:cs="Arial" w:eastAsia="Arial" w:hAnsi="Arial"/>
          <w:sz w:val="18"/>
          <w:szCs w:val="18"/>
          <w:color w:val="auto"/>
        </w:rPr>
        <w:t>against the Plan Maximum as 2.0 Shares for every one Share issued under such Awards. Shares that are issued under Awards of Options or Stock Appreciation Rights shall be counted against the Plan Maximum as one Share for every one Share issued. Shares subject to Prior Plan Awards that are added back to the Plan Maximum pursuant to this Section 4(a) shall be added as one Share if such Shares were subject to options or stock appreciation rights, and as 2.0 Shares if such shares were subject to awards other than options or stock appreciation rights. Pursuant to any Awards, the Company may in its discretion issue treasury Shares, authorized but previously unissued Shares or Shares purchased in the open market or otherwise pursuant to Awards hereunder. For the purpose of accounting for Shares available for Awards under the Plan, the following shall apply:</w:t>
      </w:r>
    </w:p>
    <w:p>
      <w:pPr>
        <w:spacing w:after="0" w:line="156" w:lineRule="exact"/>
        <w:rPr>
          <w:sz w:val="20"/>
          <w:szCs w:val="20"/>
          <w:color w:val="auto"/>
        </w:rPr>
      </w:pPr>
    </w:p>
    <w:p>
      <w:pPr>
        <w:jc w:val="both"/>
        <w:ind w:left="706" w:right="20" w:hanging="346"/>
        <w:spacing w:after="0" w:line="247" w:lineRule="auto"/>
        <w:tabs>
          <w:tab w:leader="none" w:pos="70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Only Shares relating to Awards actually issued or granted hereunder shall be counted against the Plan Maximum. Shares corresponding to Awards that by their terms expired, or that are forfeited, canceled or surrendered to the Company without consideration paid therefore and Shares subject to Awards, that are settled in cash shall not be counted against the Plan Maximum.</w:t>
      </w:r>
    </w:p>
    <w:p>
      <w:pPr>
        <w:spacing w:after="0" w:line="133" w:lineRule="exact"/>
        <w:rPr>
          <w:rFonts w:ascii="Arial" w:cs="Arial" w:eastAsia="Arial" w:hAnsi="Arial"/>
          <w:sz w:val="18"/>
          <w:szCs w:val="18"/>
          <w:color w:val="auto"/>
        </w:rPr>
      </w:pPr>
    </w:p>
    <w:p>
      <w:pPr>
        <w:jc w:val="both"/>
        <w:ind w:left="706" w:right="20" w:hanging="346"/>
        <w:spacing w:after="0" w:line="253" w:lineRule="auto"/>
        <w:tabs>
          <w:tab w:leader="none" w:pos="70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Shares that are forfeited by a Participant after issuance, or that are reacquired by the Company after issuance without consideration paid therefore, shall be deemed to have never been issued under the Plan and accordingly shall not be counted against the Plan Maximum.</w:t>
      </w:r>
    </w:p>
    <w:p>
      <w:pPr>
        <w:spacing w:after="0" w:line="128" w:lineRule="exact"/>
        <w:rPr>
          <w:rFonts w:ascii="Arial" w:cs="Arial" w:eastAsia="Arial" w:hAnsi="Arial"/>
          <w:sz w:val="18"/>
          <w:szCs w:val="18"/>
          <w:color w:val="auto"/>
        </w:rPr>
      </w:pPr>
    </w:p>
    <w:p>
      <w:pPr>
        <w:ind w:left="706" w:right="20" w:hanging="346"/>
        <w:spacing w:after="0" w:line="271" w:lineRule="auto"/>
        <w:tabs>
          <w:tab w:leader="none" w:pos="70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Dividend Equivalent Shares shall be counted against the Plan Maximum, and clauses (i) and (ii) of this Section shall not apply to such Awards.</w:t>
      </w:r>
    </w:p>
    <w:p>
      <w:pPr>
        <w:spacing w:after="0" w:line="126" w:lineRule="exact"/>
        <w:rPr>
          <w:rFonts w:ascii="Arial" w:cs="Arial" w:eastAsia="Arial" w:hAnsi="Arial"/>
          <w:sz w:val="18"/>
          <w:szCs w:val="18"/>
          <w:color w:val="auto"/>
        </w:rPr>
      </w:pPr>
    </w:p>
    <w:p>
      <w:pPr>
        <w:jc w:val="both"/>
        <w:ind w:left="706" w:right="20" w:hanging="346"/>
        <w:spacing w:after="0" w:line="242" w:lineRule="auto"/>
        <w:tabs>
          <w:tab w:leader="none" w:pos="70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Notwithstanding anything herein to the contrary, Shares subject to an Award under the Plan may not again be made available for issuance under the Plan if such Shares are: (A) Shares that were subject to an Option or a stock-settled Stock Appreciation Right and were not issued upon the net settlement or net exercise of such Option or Stock Appreciation Right, (B) Shares delivered to or withheld by the Company to pay the exercise price of an Option or the withholding taxes related to an Award, or (C) Shares repurchased on the open market with the proceeds of an Option exercise.</w:t>
      </w:r>
    </w:p>
    <w:p>
      <w:pPr>
        <w:spacing w:after="0" w:line="138" w:lineRule="exact"/>
        <w:rPr>
          <w:rFonts w:ascii="Arial" w:cs="Arial" w:eastAsia="Arial" w:hAnsi="Arial"/>
          <w:sz w:val="18"/>
          <w:szCs w:val="18"/>
          <w:color w:val="auto"/>
        </w:rPr>
      </w:pPr>
    </w:p>
    <w:p>
      <w:pPr>
        <w:jc w:val="both"/>
        <w:ind w:left="346" w:hanging="346"/>
        <w:spacing w:after="0" w:line="253" w:lineRule="auto"/>
        <w:tabs>
          <w:tab w:leader="none" w:pos="346" w:val="left"/>
        </w:tabs>
        <w:numPr>
          <w:ilvl w:val="0"/>
          <w:numId w:val="104"/>
        </w:numPr>
        <w:rPr>
          <w:rFonts w:ascii="Arial" w:cs="Arial" w:eastAsia="Arial" w:hAnsi="Arial"/>
          <w:sz w:val="18"/>
          <w:szCs w:val="18"/>
          <w:color w:val="auto"/>
        </w:rPr>
      </w:pPr>
      <w:r>
        <w:rPr>
          <w:rFonts w:ascii="Arial" w:cs="Arial" w:eastAsia="Arial" w:hAnsi="Arial"/>
          <w:sz w:val="18"/>
          <w:szCs w:val="18"/>
          <w:i w:val="1"/>
          <w:iCs w:val="1"/>
          <w:u w:val="single" w:color="auto"/>
          <w:color w:val="auto"/>
        </w:rPr>
        <w:t>Code Limitation.</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adjustment as provided in Section 4(c) below, the maximum number of Shares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ISOs may be granted under the Plan shall not exceed the Plan Maximum as defined in Section 4(a) above.</w:t>
      </w:r>
    </w:p>
    <w:p>
      <w:pPr>
        <w:spacing w:after="0" w:line="128" w:lineRule="exact"/>
        <w:rPr>
          <w:rFonts w:ascii="Arial" w:cs="Arial" w:eastAsia="Arial" w:hAnsi="Arial"/>
          <w:sz w:val="18"/>
          <w:szCs w:val="18"/>
          <w:color w:val="auto"/>
        </w:rPr>
      </w:pPr>
    </w:p>
    <w:p>
      <w:pPr>
        <w:jc w:val="both"/>
        <w:ind w:left="346" w:hanging="346"/>
        <w:spacing w:after="0" w:line="237" w:lineRule="auto"/>
        <w:tabs>
          <w:tab w:leader="none" w:pos="346" w:val="left"/>
        </w:tabs>
        <w:numPr>
          <w:ilvl w:val="0"/>
          <w:numId w:val="104"/>
        </w:numPr>
        <w:rPr>
          <w:rFonts w:ascii="Arial" w:cs="Arial" w:eastAsia="Arial" w:hAnsi="Arial"/>
          <w:sz w:val="18"/>
          <w:szCs w:val="18"/>
          <w:color w:val="auto"/>
        </w:rPr>
      </w:pPr>
      <w:r>
        <w:rPr>
          <w:rFonts w:ascii="Arial" w:cs="Arial" w:eastAsia="Arial" w:hAnsi="Arial"/>
          <w:sz w:val="18"/>
          <w:szCs w:val="18"/>
          <w:i w:val="1"/>
          <w:iCs w:val="1"/>
          <w:u w:val="single" w:color="auto"/>
          <w:color w:val="auto"/>
        </w:rPr>
        <w:t>Adjustments to Avoid Dilution.</w:t>
      </w:r>
      <w:r>
        <w:rPr>
          <w:rFonts w:ascii="Arial" w:cs="Arial" w:eastAsia="Arial" w:hAnsi="Arial"/>
          <w:sz w:val="18"/>
          <w:szCs w:val="18"/>
          <w:i w:val="1"/>
          <w:iCs w:val="1"/>
          <w:color w:val="auto"/>
        </w:rPr>
        <w:t xml:space="preserve"> </w:t>
      </w:r>
      <w:r>
        <w:rPr>
          <w:rFonts w:ascii="Arial" w:cs="Arial" w:eastAsia="Arial" w:hAnsi="Arial"/>
          <w:sz w:val="18"/>
          <w:szCs w:val="18"/>
          <w:color w:val="auto"/>
        </w:rPr>
        <w:t>Notwithstanding paragraphs (a) and (b) above, in the event of a stock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extraordinary cash dividend, split-up or combination of Shares, merger, consolidation, reorganization, recapitalization, spin-off or other change in the corporate structure or capitalization affecting the outstanding common stock of the Company, the Committee shall make equitable adjustments to (i) the number or kind of Shares subject to the Plan Maximum that remain subject to outstanding Awards or available for issuance under the Plan, subject to the Plan Maximum as adjusted pursuant to Section 4, (ii) the number and type of Shares subject to the limitations set forth in Section 4(b), (iii) the number and type of Shares subject to outstanding Awards, and (iv) the grant, purchase, or exercise price with respect to any Award. Such adjustment may include provision for cash payment to the holder of an outstanding Award. Any adjustment to the limitations set forth in Section 4(b) shall be made in such manner as to preserve the ability to grant ISOs and Awards. Also, any other such adjustment (i) may be designed to comply with applicable provisions of the Code, including without limitation Section 409A, (ii) may be designed to treat the Shares available under the Plan and subject to Awards as if they were all outstanding on the record date for such event or transaction, or (iii) may be designed to increase the number of such Shares available under the Plan and subject to Awards to reflect a deemed reinvestment in Shares of the amount distributed to the Company’s security holders in connection with such event or transaction. The determination of the Committee as to the adjustments or payments, if any, to be made shall be conclusive.</w:t>
      </w:r>
    </w:p>
    <w:p>
      <w:pPr>
        <w:spacing w:after="0" w:line="156" w:lineRule="exact"/>
        <w:rPr>
          <w:rFonts w:ascii="Arial" w:cs="Arial" w:eastAsia="Arial" w:hAnsi="Arial"/>
          <w:sz w:val="18"/>
          <w:szCs w:val="18"/>
          <w:color w:val="auto"/>
        </w:rPr>
      </w:pPr>
    </w:p>
    <w:p>
      <w:pPr>
        <w:jc w:val="both"/>
        <w:ind w:left="346" w:hanging="346"/>
        <w:spacing w:after="0" w:line="238" w:lineRule="auto"/>
        <w:tabs>
          <w:tab w:leader="none" w:pos="346" w:val="left"/>
        </w:tabs>
        <w:numPr>
          <w:ilvl w:val="0"/>
          <w:numId w:val="104"/>
        </w:numPr>
        <w:rPr>
          <w:rFonts w:ascii="Arial" w:cs="Arial" w:eastAsia="Arial" w:hAnsi="Arial"/>
          <w:sz w:val="18"/>
          <w:szCs w:val="18"/>
          <w:color w:val="auto"/>
        </w:rPr>
      </w:pPr>
      <w:r>
        <w:rPr>
          <w:rFonts w:ascii="Arial" w:cs="Arial" w:eastAsia="Arial" w:hAnsi="Arial"/>
          <w:sz w:val="18"/>
          <w:szCs w:val="18"/>
          <w:i w:val="1"/>
          <w:iCs w:val="1"/>
          <w:u w:val="single" w:color="auto"/>
          <w:color w:val="auto"/>
        </w:rPr>
        <w:t>Substitute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Substitute Awards shall not reduce the shares of common stock authorized for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or authorized for grant to a Participant in any calendar year. Additionally, in the event that a company acquired by the Company or any subsidiary of the Company (“Subsidiary”), or with which the Company or any Subsidiary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issuance under the Plan; provided that Awards using such available shares shall not be made after the date awards or grants could have been made under the terms of the pre-existing plan, absent the acquisition or</w:t>
      </w:r>
    </w:p>
    <w:p>
      <w:pPr>
        <w:spacing w:after="0" w:line="183"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120650</wp:posOffset>
            </wp:positionV>
            <wp:extent cx="699516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16" w:name="page117"/>
    <w:bookmarkEnd w:id="116"/>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ANNEX D: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ind w:left="366" w:right="20"/>
        <w:spacing w:after="0" w:line="271" w:lineRule="auto"/>
        <w:rPr>
          <w:sz w:val="20"/>
          <w:szCs w:val="20"/>
          <w:color w:val="auto"/>
        </w:rPr>
      </w:pPr>
      <w:r>
        <w:rPr>
          <w:rFonts w:ascii="Arial" w:cs="Arial" w:eastAsia="Arial" w:hAnsi="Arial"/>
          <w:sz w:val="18"/>
          <w:szCs w:val="18"/>
          <w:color w:val="auto"/>
        </w:rPr>
        <w:t>combination, and shall only be made to individuals who were not employees of the Company or Subsidiary before such acquisition or combination.</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72AF"/>
        </w:rPr>
        <w:t xml:space="preserve">Section 5. </w:t>
      </w:r>
      <w:r>
        <w:rPr>
          <w:rFonts w:ascii="Arial" w:cs="Arial" w:eastAsia="Arial" w:hAnsi="Arial"/>
          <w:sz w:val="22"/>
          <w:szCs w:val="22"/>
          <w:b w:val="1"/>
          <w:bCs w:val="1"/>
          <w:i w:val="1"/>
          <w:iCs w:val="1"/>
          <w:color w:val="0072AF"/>
        </w:rPr>
        <w:t>Eligibility.</w:t>
      </w:r>
    </w:p>
    <w:p>
      <w:pPr>
        <w:spacing w:after="0" w:line="175" w:lineRule="exact"/>
        <w:rPr>
          <w:sz w:val="20"/>
          <w:szCs w:val="20"/>
          <w:color w:val="auto"/>
        </w:rPr>
      </w:pPr>
    </w:p>
    <w:p>
      <w:pPr>
        <w:ind w:left="6" w:right="20"/>
        <w:spacing w:after="0" w:line="271" w:lineRule="auto"/>
        <w:rPr>
          <w:sz w:val="20"/>
          <w:szCs w:val="20"/>
          <w:color w:val="auto"/>
        </w:rPr>
      </w:pPr>
      <w:r>
        <w:rPr>
          <w:rFonts w:ascii="Arial" w:cs="Arial" w:eastAsia="Arial" w:hAnsi="Arial"/>
          <w:sz w:val="18"/>
          <w:szCs w:val="18"/>
          <w:color w:val="auto"/>
        </w:rPr>
        <w:t>Employees Eligible. An Employee of the Company or of any Affiliate shall be eligible to be a Participant as designated by the Committee.</w:t>
      </w:r>
    </w:p>
    <w:p>
      <w:pPr>
        <w:spacing w:after="0" w:line="184"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72AF"/>
        </w:rPr>
        <w:t xml:space="preserve">Section 6. </w:t>
      </w:r>
      <w:r>
        <w:rPr>
          <w:rFonts w:ascii="Arial" w:cs="Arial" w:eastAsia="Arial" w:hAnsi="Arial"/>
          <w:sz w:val="22"/>
          <w:szCs w:val="22"/>
          <w:b w:val="1"/>
          <w:bCs w:val="1"/>
          <w:i w:val="1"/>
          <w:iCs w:val="1"/>
          <w:color w:val="0072AF"/>
        </w:rPr>
        <w:t>Awards.</w:t>
      </w:r>
    </w:p>
    <w:p>
      <w:pPr>
        <w:spacing w:after="0" w:line="189" w:lineRule="exact"/>
        <w:rPr>
          <w:sz w:val="20"/>
          <w:szCs w:val="20"/>
          <w:color w:val="auto"/>
        </w:rPr>
      </w:pPr>
    </w:p>
    <w:p>
      <w:pPr>
        <w:jc w:val="both"/>
        <w:ind w:left="346" w:hanging="346"/>
        <w:spacing w:after="0" w:line="237" w:lineRule="auto"/>
        <w:tabs>
          <w:tab w:leader="none" w:pos="346" w:val="left"/>
        </w:tabs>
        <w:numPr>
          <w:ilvl w:val="0"/>
          <w:numId w:val="105"/>
        </w:numPr>
        <w:rPr>
          <w:rFonts w:ascii="Arial" w:cs="Arial" w:eastAsia="Arial" w:hAnsi="Arial"/>
          <w:sz w:val="18"/>
          <w:szCs w:val="18"/>
          <w:color w:val="auto"/>
        </w:rPr>
      </w:pPr>
      <w:r>
        <w:rPr>
          <w:rFonts w:ascii="Arial" w:cs="Arial" w:eastAsia="Arial" w:hAnsi="Arial"/>
          <w:sz w:val="18"/>
          <w:szCs w:val="18"/>
          <w:i w:val="1"/>
          <w:iCs w:val="1"/>
          <w:u w:val="single" w:color="auto"/>
          <w:color w:val="auto"/>
        </w:rPr>
        <w:t>Terms Set Forth in Award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Awards may be granted at any time and from time to time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the Plan to an eligible Employee designated to be a Participant in the Plan as determined by the Committee. Awards may be granted for no cash consideration, or for such minimal cash consideration as the Committee may specify, or as may be required by applicable law. Awards may, in the discretion of the Committee, be granted either alone or in addition to, in tandem with, or, subject to Section 4, in substitution for any other Award or any award granted under any other plan of the Company or any Affiliate. The terms and conditions of each Award shall be set forth in an Award Agreement in a form approved by the Committee for such Award, which Award Agreement may contain such terms and conditions as specified from time to time by the Committee, provided such terms and conditions do not conflict with the Plan. The Award Agreement for any Award (other than Restricted Stock awards) shall include the time or times at or within which and the consideration for which any shares of common stock may be acquired from the Company. The terms of Awards may vary among Participants, and the Plan does not impose upon the Committee any requirement to make Awards subject to uniform terms. The Participant shall be deemed to accept the Awards and the terms of the Awards unless the Participant affirmatively waives acceptance of the Award. If the Participant does not agree to all terms of the Award, the Award is deemed null and void.</w:t>
      </w:r>
    </w:p>
    <w:p>
      <w:pPr>
        <w:spacing w:after="0" w:line="147" w:lineRule="exact"/>
        <w:rPr>
          <w:rFonts w:ascii="Arial" w:cs="Arial" w:eastAsia="Arial" w:hAnsi="Arial"/>
          <w:sz w:val="18"/>
          <w:szCs w:val="18"/>
          <w:color w:val="auto"/>
        </w:rPr>
      </w:pPr>
    </w:p>
    <w:p>
      <w:pPr>
        <w:jc w:val="both"/>
        <w:ind w:left="346" w:hanging="346"/>
        <w:spacing w:after="0" w:line="247" w:lineRule="auto"/>
        <w:tabs>
          <w:tab w:leader="none" w:pos="346" w:val="left"/>
        </w:tabs>
        <w:numPr>
          <w:ilvl w:val="0"/>
          <w:numId w:val="105"/>
        </w:numPr>
        <w:rPr>
          <w:rFonts w:ascii="Arial" w:cs="Arial" w:eastAsia="Arial" w:hAnsi="Arial"/>
          <w:sz w:val="18"/>
          <w:szCs w:val="18"/>
          <w:color w:val="auto"/>
        </w:rPr>
      </w:pPr>
      <w:r>
        <w:rPr>
          <w:rFonts w:ascii="Arial" w:cs="Arial" w:eastAsia="Arial" w:hAnsi="Arial"/>
          <w:sz w:val="18"/>
          <w:szCs w:val="18"/>
          <w:i w:val="1"/>
          <w:iCs w:val="1"/>
          <w:u w:val="single" w:color="auto"/>
          <w:color w:val="auto"/>
        </w:rPr>
        <w:t>Separation from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express provisions of the Plan, the Committee shall specify at or after</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grant of an Award the provisions governing the effect(s) upon an Award of a Participant’s separation from service not on account of a Change of Control. Termination from Employment on account of a Change of Control is defined in Section 2.</w:t>
      </w:r>
    </w:p>
    <w:p>
      <w:pPr>
        <w:spacing w:after="0" w:line="133" w:lineRule="exact"/>
        <w:rPr>
          <w:rFonts w:ascii="Arial" w:cs="Arial" w:eastAsia="Arial" w:hAnsi="Arial"/>
          <w:sz w:val="18"/>
          <w:szCs w:val="18"/>
          <w:color w:val="auto"/>
        </w:rPr>
      </w:pPr>
    </w:p>
    <w:p>
      <w:pPr>
        <w:jc w:val="both"/>
        <w:ind w:left="346" w:right="20" w:hanging="346"/>
        <w:spacing w:after="0" w:line="247" w:lineRule="auto"/>
        <w:tabs>
          <w:tab w:leader="none" w:pos="346" w:val="left"/>
        </w:tabs>
        <w:numPr>
          <w:ilvl w:val="0"/>
          <w:numId w:val="105"/>
        </w:numPr>
        <w:rPr>
          <w:rFonts w:ascii="Arial" w:cs="Arial" w:eastAsia="Arial" w:hAnsi="Arial"/>
          <w:sz w:val="18"/>
          <w:szCs w:val="18"/>
          <w:color w:val="auto"/>
        </w:rPr>
      </w:pPr>
      <w:r>
        <w:rPr>
          <w:rFonts w:ascii="Arial" w:cs="Arial" w:eastAsia="Arial" w:hAnsi="Arial"/>
          <w:sz w:val="18"/>
          <w:szCs w:val="18"/>
          <w:i w:val="1"/>
          <w:iCs w:val="1"/>
          <w:u w:val="single" w:color="auto"/>
          <w:color w:val="auto"/>
        </w:rPr>
        <w:t>Rights of a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 Participant shall have no rights as a stockholder with respect to shares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covered by an Award (including voting rights) until the date the Participant becomes the holder of record of such shares of common stock. No adjustment shall be made for dividends or other rights for which the record date is prior to such date, except as provided in Section 8 or as the Committee otherwise provides.</w:t>
      </w:r>
    </w:p>
    <w:p>
      <w:pPr>
        <w:spacing w:after="0" w:line="146" w:lineRule="exact"/>
        <w:rPr>
          <w:rFonts w:ascii="Arial" w:cs="Arial" w:eastAsia="Arial" w:hAnsi="Arial"/>
          <w:sz w:val="18"/>
          <w:szCs w:val="18"/>
          <w:color w:val="auto"/>
        </w:rPr>
      </w:pPr>
    </w:p>
    <w:p>
      <w:pPr>
        <w:jc w:val="both"/>
        <w:ind w:left="346" w:hanging="346"/>
        <w:spacing w:after="0"/>
        <w:tabs>
          <w:tab w:leader="none" w:pos="346" w:val="left"/>
        </w:tabs>
        <w:numPr>
          <w:ilvl w:val="0"/>
          <w:numId w:val="105"/>
        </w:numPr>
        <w:rPr>
          <w:rFonts w:ascii="Arial" w:cs="Arial" w:eastAsia="Arial" w:hAnsi="Arial"/>
          <w:sz w:val="18"/>
          <w:szCs w:val="18"/>
          <w:color w:val="auto"/>
        </w:rPr>
      </w:pPr>
      <w:r>
        <w:rPr>
          <w:rFonts w:ascii="Arial" w:cs="Arial" w:eastAsia="Arial" w:hAnsi="Arial"/>
          <w:sz w:val="18"/>
          <w:szCs w:val="18"/>
          <w:i w:val="1"/>
          <w:iCs w:val="1"/>
          <w:u w:val="single" w:color="auto"/>
          <w:color w:val="auto"/>
        </w:rPr>
        <w:t>Performance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other terms of this Plan, the Committee may condition the grant, retention,</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payment, release, vesting or exercisability of any Award, in whole or in part, upon the achievement of such performance criteria during a specified performance period(s). The performance criteria may include Qualifying Performance Criteria or other standards of financial performance and/or personal performance. The Committee shall determine in a timely manner after the performance period ends whether all or part of the conditions to payment of a Performance Award have been fulfilled and, if so, the amount, if any, of the payment to which the Participant is entitled.</w:t>
      </w:r>
    </w:p>
    <w:p>
      <w:pPr>
        <w:spacing w:after="0" w:line="144" w:lineRule="exact"/>
        <w:rPr>
          <w:rFonts w:ascii="Arial" w:cs="Arial" w:eastAsia="Arial" w:hAnsi="Arial"/>
          <w:sz w:val="18"/>
          <w:szCs w:val="18"/>
          <w:color w:val="auto"/>
        </w:rPr>
      </w:pPr>
    </w:p>
    <w:p>
      <w:pPr>
        <w:jc w:val="both"/>
        <w:ind w:left="346" w:hanging="346"/>
        <w:spacing w:after="0" w:line="238" w:lineRule="auto"/>
        <w:tabs>
          <w:tab w:leader="none" w:pos="346" w:val="left"/>
        </w:tabs>
        <w:numPr>
          <w:ilvl w:val="0"/>
          <w:numId w:val="105"/>
        </w:numPr>
        <w:rPr>
          <w:rFonts w:ascii="Arial" w:cs="Arial" w:eastAsia="Arial" w:hAnsi="Arial"/>
          <w:sz w:val="18"/>
          <w:szCs w:val="18"/>
          <w:color w:val="auto"/>
        </w:rPr>
      </w:pPr>
      <w:r>
        <w:rPr>
          <w:rFonts w:ascii="Arial" w:cs="Arial" w:eastAsia="Arial" w:hAnsi="Arial"/>
          <w:sz w:val="18"/>
          <w:szCs w:val="18"/>
          <w:i w:val="1"/>
          <w:iCs w:val="1"/>
          <w:u w:val="single" w:color="auto"/>
          <w:color w:val="auto"/>
        </w:rPr>
        <w:t>Forms of Payment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of the Plan and of any applicable Award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or transfers to be made by the Company or an Affiliate upon the grant, exercise, or payment of an Award may be made in such form or forms as the Committee shall determine, including, without limitation, cash, Shares, other securities, other Awards, or other property, or any combination thereof, and may be made in a single payment or transfer, in installments, or on a deferred basis, in each case in accordance with rules and procedures established by the Committee. Such rules and procedures may include, without limitation, provisions for the payment or crediting of reasonable interest on installment or deferred payments or the grant or crediting of Dividend Equivalents in respect of installment or deferred payments. Notwithstanding the foregoing, unless the Committee expressly provides otherwise, with specific reference to this provision, the payment terms for any Award shall be implemented in a manner consistent with the requirements of Section 409A of the Code, to the extent applicable.</w:t>
      </w:r>
    </w:p>
    <w:p>
      <w:pPr>
        <w:spacing w:after="0" w:line="145" w:lineRule="exact"/>
        <w:rPr>
          <w:rFonts w:ascii="Arial" w:cs="Arial" w:eastAsia="Arial" w:hAnsi="Arial"/>
          <w:sz w:val="18"/>
          <w:szCs w:val="18"/>
          <w:color w:val="auto"/>
        </w:rPr>
      </w:pPr>
    </w:p>
    <w:p>
      <w:pPr>
        <w:jc w:val="both"/>
        <w:ind w:left="346" w:right="20" w:hanging="346"/>
        <w:spacing w:after="0" w:line="244" w:lineRule="auto"/>
        <w:tabs>
          <w:tab w:leader="none" w:pos="346" w:val="left"/>
        </w:tabs>
        <w:numPr>
          <w:ilvl w:val="0"/>
          <w:numId w:val="105"/>
        </w:numPr>
        <w:rPr>
          <w:rFonts w:ascii="Arial" w:cs="Arial" w:eastAsia="Arial" w:hAnsi="Arial"/>
          <w:sz w:val="18"/>
          <w:szCs w:val="18"/>
          <w:color w:val="auto"/>
        </w:rPr>
      </w:pPr>
      <w:r>
        <w:rPr>
          <w:rFonts w:ascii="Arial" w:cs="Arial" w:eastAsia="Arial" w:hAnsi="Arial"/>
          <w:sz w:val="18"/>
          <w:szCs w:val="18"/>
          <w:i w:val="1"/>
          <w:iCs w:val="1"/>
          <w:u w:val="single" w:color="auto"/>
          <w:color w:val="auto"/>
        </w:rPr>
        <w:t>Share Certificates.</w:t>
      </w:r>
      <w:r>
        <w:rPr>
          <w:rFonts w:ascii="Arial" w:cs="Arial" w:eastAsia="Arial" w:hAnsi="Arial"/>
          <w:sz w:val="18"/>
          <w:szCs w:val="18"/>
          <w:i w:val="1"/>
          <w:iCs w:val="1"/>
          <w:color w:val="auto"/>
        </w:rPr>
        <w:t xml:space="preserve"> </w:t>
      </w:r>
      <w:r>
        <w:rPr>
          <w:rFonts w:ascii="Arial" w:cs="Arial" w:eastAsia="Arial" w:hAnsi="Arial"/>
          <w:sz w:val="18"/>
          <w:szCs w:val="18"/>
          <w:color w:val="auto"/>
        </w:rPr>
        <w:t>All certificates for Shares or other securities delivered under the Plan pursuant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Award or the exercise thereof shall be subject to such stop transfer orders and other restrictions as the Committee may deem advisable under the Plan or the rules, regulations, and other requirements of the Securities and Exchange Commission, any stock exchange upon which such Shares or other securities are then listed, and any applicable Federal or state</w:t>
      </w:r>
    </w:p>
    <w:p>
      <w:pPr>
        <w:spacing w:after="0" w:line="176"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128905</wp:posOffset>
            </wp:positionV>
            <wp:extent cx="699516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17" w:name="page118"/>
    <w:bookmarkEnd w:id="117"/>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ANNEX D: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jc w:val="both"/>
        <w:ind w:left="366"/>
        <w:spacing w:after="0"/>
        <w:rPr>
          <w:sz w:val="20"/>
          <w:szCs w:val="20"/>
          <w:color w:val="auto"/>
        </w:rPr>
      </w:pPr>
      <w:r>
        <w:rPr>
          <w:rFonts w:ascii="Arial" w:cs="Arial" w:eastAsia="Arial" w:hAnsi="Arial"/>
          <w:sz w:val="18"/>
          <w:szCs w:val="18"/>
          <w:color w:val="auto"/>
        </w:rPr>
        <w:t>securities laws, and the Committee may cause a legend or legends to be placed on any such certificates to make appropriate reference to such restrictions. Unrestricted certificates representing Shares, evidenced in such manner as the Committee shall deem appropriate, which may include recording Shares on the stock records of the Company or by crediting Shares in an account established on the Participant’s behalf with a brokerage firm or other custodian, in each case as determined by the Company, shall be delivered to the holder of Restricted Stock, Stock Units or any other relevant Award after such restricted Shares shall become Released Securities, subject to any delay in order to provide the Company such time as it determined appropriate to address tax withholding and other administrative matters.</w:t>
      </w:r>
    </w:p>
    <w:p>
      <w:pPr>
        <w:spacing w:after="0" w:line="153" w:lineRule="exact"/>
        <w:rPr>
          <w:sz w:val="20"/>
          <w:szCs w:val="20"/>
          <w:color w:val="auto"/>
        </w:rPr>
      </w:pPr>
    </w:p>
    <w:p>
      <w:pPr>
        <w:ind w:left="346" w:right="20" w:hanging="346"/>
        <w:spacing w:after="0" w:line="271" w:lineRule="auto"/>
        <w:tabs>
          <w:tab w:leader="none" w:pos="346" w:val="left"/>
        </w:tabs>
        <w:numPr>
          <w:ilvl w:val="0"/>
          <w:numId w:val="106"/>
        </w:numPr>
        <w:rPr>
          <w:rFonts w:ascii="Arial" w:cs="Arial" w:eastAsia="Arial" w:hAnsi="Arial"/>
          <w:sz w:val="18"/>
          <w:szCs w:val="18"/>
          <w:color w:val="auto"/>
        </w:rPr>
      </w:pPr>
      <w:r>
        <w:rPr>
          <w:rFonts w:ascii="Arial" w:cs="Arial" w:eastAsia="Arial" w:hAnsi="Arial"/>
          <w:sz w:val="18"/>
          <w:szCs w:val="18"/>
          <w:i w:val="1"/>
          <w:iCs w:val="1"/>
          <w:u w:val="single" w:color="auto"/>
          <w:color w:val="auto"/>
        </w:rPr>
        <w:t>Limits on Transfer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Awards made under this Plan shall be subject to the following limitations on</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transferability:</w:t>
      </w:r>
    </w:p>
    <w:p>
      <w:pPr>
        <w:spacing w:after="0" w:line="113" w:lineRule="exact"/>
        <w:rPr>
          <w:rFonts w:ascii="Arial" w:cs="Arial" w:eastAsia="Arial" w:hAnsi="Arial"/>
          <w:sz w:val="18"/>
          <w:szCs w:val="18"/>
          <w:color w:val="auto"/>
        </w:rPr>
      </w:pPr>
    </w:p>
    <w:p>
      <w:pPr>
        <w:jc w:val="both"/>
        <w:ind w:left="706" w:right="20" w:hanging="346"/>
        <w:spacing w:after="0" w:line="238" w:lineRule="auto"/>
        <w:tabs>
          <w:tab w:leader="none" w:pos="706" w:val="left"/>
        </w:tabs>
        <w:numPr>
          <w:ilvl w:val="1"/>
          <w:numId w:val="106"/>
        </w:numPr>
        <w:rPr>
          <w:rFonts w:ascii="Arial" w:cs="Arial" w:eastAsia="Arial" w:hAnsi="Arial"/>
          <w:sz w:val="18"/>
          <w:szCs w:val="18"/>
          <w:color w:val="auto"/>
        </w:rPr>
      </w:pPr>
      <w:r>
        <w:rPr>
          <w:rFonts w:ascii="Arial" w:cs="Arial" w:eastAsia="Arial" w:hAnsi="Arial"/>
          <w:sz w:val="18"/>
          <w:szCs w:val="18"/>
          <w:color w:val="auto"/>
        </w:rPr>
        <w:t>Unless determined otherwise by the Committee, no Award and no right under any such Award shall be assignable, alienable, pledgeable, attachable, encumberable, saleable, or transferable by a Participant other than by will or by the laws of descent and distribution (or, in the case of Awards that are forfeited or canceled, to the Company). No Award and no right under any such Award shall be the subject of short term speculative trading in Company securities, including hedging, short sales, “put” or “call” options, swaps, collars or any other derivative transactions. No Award and no right under any such Award can be transferred for value or consideration. Any purported assignment, sale or transfer thereof shall be void and unenforceable against the Company or Affiliate. If the Committee so indicates in writing to a Participant, he or she may designate one or more beneficiaries who may exercise the rights of the Participant and receive any property distributable with respect to any Award upon the death of the Participant. Each Award, and each right under any Award, shall be exercisable, during the Participant’s lifetime only by the Participant or, if permissible under applicable law, by the Participant’s guardian or legal representative.</w:t>
      </w:r>
    </w:p>
    <w:p>
      <w:pPr>
        <w:spacing w:after="0" w:line="142" w:lineRule="exact"/>
        <w:rPr>
          <w:rFonts w:ascii="Arial" w:cs="Arial" w:eastAsia="Arial" w:hAnsi="Arial"/>
          <w:sz w:val="18"/>
          <w:szCs w:val="18"/>
          <w:color w:val="auto"/>
        </w:rPr>
      </w:pPr>
    </w:p>
    <w:p>
      <w:pPr>
        <w:ind w:left="706" w:hanging="346"/>
        <w:spacing w:after="0"/>
        <w:tabs>
          <w:tab w:leader="none" w:pos="706"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Exceptions:</w:t>
      </w:r>
    </w:p>
    <w:p>
      <w:pPr>
        <w:spacing w:after="0" w:line="184" w:lineRule="exact"/>
        <w:rPr>
          <w:rFonts w:ascii="Arial" w:cs="Arial" w:eastAsia="Arial" w:hAnsi="Arial"/>
          <w:sz w:val="18"/>
          <w:szCs w:val="18"/>
          <w:color w:val="auto"/>
        </w:rPr>
      </w:pPr>
    </w:p>
    <w:p>
      <w:pPr>
        <w:jc w:val="both"/>
        <w:ind w:left="1066" w:right="20" w:hanging="346"/>
        <w:spacing w:after="0" w:line="247" w:lineRule="auto"/>
        <w:tabs>
          <w:tab w:leader="none" w:pos="1066" w:val="left"/>
        </w:tabs>
        <w:numPr>
          <w:ilvl w:val="2"/>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Gift Transfers. </w:t>
      </w:r>
      <w:r>
        <w:rPr>
          <w:rFonts w:ascii="Arial" w:cs="Arial" w:eastAsia="Arial" w:hAnsi="Arial"/>
          <w:sz w:val="18"/>
          <w:szCs w:val="18"/>
          <w:color w:val="auto"/>
        </w:rPr>
        <w:t>Notwithstanding Section 6(g)(i) above, the Committee may permit,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establishment of appropriate administrative procedures, a Participant to transfer by gift an unexercised Stock Option or SAR and/or other unvested or unearned Awards, provided that all of the following conditions are met:</w:t>
      </w:r>
    </w:p>
    <w:p>
      <w:pPr>
        <w:spacing w:after="0" w:line="133" w:lineRule="exact"/>
        <w:rPr>
          <w:rFonts w:ascii="Arial" w:cs="Arial" w:eastAsia="Arial" w:hAnsi="Arial"/>
          <w:sz w:val="18"/>
          <w:szCs w:val="18"/>
          <w:color w:val="auto"/>
        </w:rPr>
      </w:pPr>
    </w:p>
    <w:p>
      <w:pPr>
        <w:ind w:left="1426" w:hanging="346"/>
        <w:spacing w:after="0"/>
        <w:tabs>
          <w:tab w:leader="none" w:pos="1426" w:val="left"/>
        </w:tabs>
        <w:numPr>
          <w:ilvl w:val="3"/>
          <w:numId w:val="106"/>
        </w:numPr>
        <w:rPr>
          <w:rFonts w:ascii="Arial" w:cs="Arial" w:eastAsia="Arial" w:hAnsi="Arial"/>
          <w:sz w:val="18"/>
          <w:szCs w:val="18"/>
          <w:color w:val="auto"/>
        </w:rPr>
      </w:pPr>
      <w:r>
        <w:rPr>
          <w:rFonts w:ascii="Arial" w:cs="Arial" w:eastAsia="Arial" w:hAnsi="Arial"/>
          <w:sz w:val="18"/>
          <w:szCs w:val="18"/>
          <w:color w:val="auto"/>
        </w:rPr>
        <w:t>The donees of the gift transfer are limited to Family Members and Family Entities.</w:t>
      </w:r>
    </w:p>
    <w:p>
      <w:pPr>
        <w:spacing w:after="0" w:line="171" w:lineRule="exact"/>
        <w:rPr>
          <w:rFonts w:ascii="Arial" w:cs="Arial" w:eastAsia="Arial" w:hAnsi="Arial"/>
          <w:sz w:val="18"/>
          <w:szCs w:val="18"/>
          <w:color w:val="auto"/>
        </w:rPr>
      </w:pPr>
    </w:p>
    <w:p>
      <w:pPr>
        <w:ind w:left="1426" w:right="520" w:hanging="346"/>
        <w:spacing w:after="0" w:line="271" w:lineRule="auto"/>
        <w:tabs>
          <w:tab w:leader="none" w:pos="1426" w:val="left"/>
        </w:tabs>
        <w:numPr>
          <w:ilvl w:val="3"/>
          <w:numId w:val="106"/>
        </w:numPr>
        <w:rPr>
          <w:rFonts w:ascii="Arial" w:cs="Arial" w:eastAsia="Arial" w:hAnsi="Arial"/>
          <w:sz w:val="18"/>
          <w:szCs w:val="18"/>
          <w:color w:val="auto"/>
        </w:rPr>
      </w:pPr>
      <w:r>
        <w:rPr>
          <w:rFonts w:ascii="Arial" w:cs="Arial" w:eastAsia="Arial" w:hAnsi="Arial"/>
          <w:sz w:val="18"/>
          <w:szCs w:val="18"/>
          <w:color w:val="auto"/>
        </w:rPr>
        <w:t>The Award is not further transferable by gift or otherwise by such Family Member or Family Entity.</w:t>
      </w:r>
    </w:p>
    <w:p>
      <w:pPr>
        <w:spacing w:after="0" w:line="126" w:lineRule="exact"/>
        <w:rPr>
          <w:rFonts w:ascii="Arial" w:cs="Arial" w:eastAsia="Arial" w:hAnsi="Arial"/>
          <w:sz w:val="18"/>
          <w:szCs w:val="18"/>
          <w:color w:val="auto"/>
        </w:rPr>
      </w:pPr>
    </w:p>
    <w:p>
      <w:pPr>
        <w:ind w:left="1426" w:hanging="346"/>
        <w:spacing w:after="0" w:line="271" w:lineRule="auto"/>
        <w:tabs>
          <w:tab w:leader="none" w:pos="1426" w:val="left"/>
        </w:tabs>
        <w:numPr>
          <w:ilvl w:val="3"/>
          <w:numId w:val="106"/>
        </w:numPr>
        <w:rPr>
          <w:rFonts w:ascii="Arial" w:cs="Arial" w:eastAsia="Arial" w:hAnsi="Arial"/>
          <w:sz w:val="18"/>
          <w:szCs w:val="18"/>
          <w:color w:val="auto"/>
        </w:rPr>
      </w:pPr>
      <w:r>
        <w:rPr>
          <w:rFonts w:ascii="Arial" w:cs="Arial" w:eastAsia="Arial" w:hAnsi="Arial"/>
          <w:sz w:val="18"/>
          <w:szCs w:val="18"/>
          <w:color w:val="auto"/>
        </w:rPr>
        <w:t>All rights appurtenant to the Award, including any exercise rights, are irrevocably and unconditionally assigned to the donee.</w:t>
      </w:r>
    </w:p>
    <w:p>
      <w:pPr>
        <w:spacing w:after="0" w:line="113" w:lineRule="exact"/>
        <w:rPr>
          <w:rFonts w:ascii="Arial" w:cs="Arial" w:eastAsia="Arial" w:hAnsi="Arial"/>
          <w:sz w:val="18"/>
          <w:szCs w:val="18"/>
          <w:color w:val="auto"/>
        </w:rPr>
      </w:pPr>
    </w:p>
    <w:p>
      <w:pPr>
        <w:ind w:left="1426" w:right="20" w:hanging="346"/>
        <w:spacing w:after="0" w:line="271" w:lineRule="auto"/>
        <w:tabs>
          <w:tab w:leader="none" w:pos="1426" w:val="left"/>
        </w:tabs>
        <w:numPr>
          <w:ilvl w:val="3"/>
          <w:numId w:val="106"/>
        </w:numPr>
        <w:rPr>
          <w:rFonts w:ascii="Arial" w:cs="Arial" w:eastAsia="Arial" w:hAnsi="Arial"/>
          <w:sz w:val="18"/>
          <w:szCs w:val="18"/>
          <w:color w:val="auto"/>
        </w:rPr>
      </w:pPr>
      <w:r>
        <w:rPr>
          <w:rFonts w:ascii="Arial" w:cs="Arial" w:eastAsia="Arial" w:hAnsi="Arial"/>
          <w:sz w:val="18"/>
          <w:szCs w:val="18"/>
          <w:color w:val="auto"/>
        </w:rPr>
        <w:t>Transfers under this Section 6(g) must meet all of the requirements under applicable provisions of the Code to be considered “gift” transfers.</w:t>
      </w:r>
    </w:p>
    <w:p>
      <w:pPr>
        <w:spacing w:after="0" w:line="113" w:lineRule="exact"/>
        <w:rPr>
          <w:rFonts w:ascii="Arial" w:cs="Arial" w:eastAsia="Arial" w:hAnsi="Arial"/>
          <w:sz w:val="18"/>
          <w:szCs w:val="18"/>
          <w:color w:val="auto"/>
        </w:rPr>
      </w:pPr>
    </w:p>
    <w:p>
      <w:pPr>
        <w:jc w:val="both"/>
        <w:ind w:left="1426" w:hanging="346"/>
        <w:spacing w:after="0" w:line="253" w:lineRule="auto"/>
        <w:tabs>
          <w:tab w:leader="none" w:pos="1426" w:val="left"/>
        </w:tabs>
        <w:numPr>
          <w:ilvl w:val="3"/>
          <w:numId w:val="106"/>
        </w:numPr>
        <w:rPr>
          <w:rFonts w:ascii="Arial" w:cs="Arial" w:eastAsia="Arial" w:hAnsi="Arial"/>
          <w:sz w:val="18"/>
          <w:szCs w:val="18"/>
          <w:color w:val="auto"/>
        </w:rPr>
      </w:pPr>
      <w:r>
        <w:rPr>
          <w:rFonts w:ascii="Arial" w:cs="Arial" w:eastAsia="Arial" w:hAnsi="Arial"/>
          <w:sz w:val="18"/>
          <w:szCs w:val="18"/>
          <w:color w:val="auto"/>
        </w:rPr>
        <w:t>The donor and the donee have executed such form of agreement as the Committee may require pursuant to which each agree to be subject to such terms and conditions with respect to the transferred Award as the Committee may specify.</w:t>
      </w:r>
    </w:p>
    <w:p>
      <w:pPr>
        <w:spacing w:after="0" w:line="141" w:lineRule="exact"/>
        <w:rPr>
          <w:rFonts w:ascii="Arial" w:cs="Arial" w:eastAsia="Arial" w:hAnsi="Arial"/>
          <w:sz w:val="18"/>
          <w:szCs w:val="18"/>
          <w:color w:val="auto"/>
        </w:rPr>
      </w:pPr>
    </w:p>
    <w:p>
      <w:pPr>
        <w:ind w:left="1426" w:hanging="346"/>
        <w:spacing w:after="0" w:line="271" w:lineRule="auto"/>
        <w:tabs>
          <w:tab w:leader="none" w:pos="1426" w:val="left"/>
        </w:tabs>
        <w:numPr>
          <w:ilvl w:val="3"/>
          <w:numId w:val="106"/>
        </w:numPr>
        <w:rPr>
          <w:rFonts w:ascii="Arial" w:cs="Arial" w:eastAsia="Arial" w:hAnsi="Arial"/>
          <w:sz w:val="18"/>
          <w:szCs w:val="18"/>
          <w:color w:val="auto"/>
        </w:rPr>
      </w:pPr>
      <w:r>
        <w:rPr>
          <w:rFonts w:ascii="Arial" w:cs="Arial" w:eastAsia="Arial" w:hAnsi="Arial"/>
          <w:sz w:val="18"/>
          <w:szCs w:val="18"/>
          <w:color w:val="auto"/>
        </w:rPr>
        <w:t>The Employee has met any stock holding requirement imposed on such Employee by the Company, unless the requirement is waived by the Company.</w:t>
      </w:r>
    </w:p>
    <w:p>
      <w:pPr>
        <w:spacing w:after="0" w:line="113" w:lineRule="exact"/>
        <w:rPr>
          <w:rFonts w:ascii="Arial" w:cs="Arial" w:eastAsia="Arial" w:hAnsi="Arial"/>
          <w:sz w:val="18"/>
          <w:szCs w:val="18"/>
          <w:color w:val="auto"/>
        </w:rPr>
      </w:pPr>
    </w:p>
    <w:p>
      <w:pPr>
        <w:jc w:val="both"/>
        <w:ind w:left="1426" w:hanging="346"/>
        <w:spacing w:after="0" w:line="242" w:lineRule="auto"/>
        <w:tabs>
          <w:tab w:leader="none" w:pos="1426" w:val="left"/>
        </w:tabs>
        <w:numPr>
          <w:ilvl w:val="3"/>
          <w:numId w:val="106"/>
        </w:numPr>
        <w:rPr>
          <w:rFonts w:ascii="Arial" w:cs="Arial" w:eastAsia="Arial" w:hAnsi="Arial"/>
          <w:sz w:val="18"/>
          <w:szCs w:val="18"/>
          <w:color w:val="auto"/>
        </w:rPr>
      </w:pPr>
      <w:r>
        <w:rPr>
          <w:rFonts w:ascii="Arial" w:cs="Arial" w:eastAsia="Arial" w:hAnsi="Arial"/>
          <w:sz w:val="18"/>
          <w:szCs w:val="18"/>
          <w:color w:val="auto"/>
        </w:rPr>
        <w:t>Except to the extent specified otherwise in the agreement all vesting, exercisability and forfeiture provisions that are conditioned on the Participant’s continued employment or service shall continue to be determined with reference to the Participant’s employment or service (and not to the status of the transferee) after any transfer of an Award pursuant to this Section 6(g), and the responsibility to pay any taxes in connection with an Award shall remain with the Participant, notwithstanding any transfer other than by will or intestate succession.</w:t>
      </w:r>
    </w:p>
    <w:p>
      <w:pPr>
        <w:spacing w:after="0" w:line="179"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120650</wp:posOffset>
            </wp:positionV>
            <wp:extent cx="699516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18" w:name="page119"/>
    <w:bookmarkEnd w:id="118"/>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ANNEX D: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ind w:left="1426" w:hanging="346"/>
        <w:spacing w:after="0"/>
        <w:tabs>
          <w:tab w:leader="none" w:pos="1426" w:val="left"/>
        </w:tabs>
        <w:numPr>
          <w:ilvl w:val="2"/>
          <w:numId w:val="107"/>
        </w:numPr>
        <w:rPr>
          <w:rFonts w:ascii="Arial" w:cs="Arial" w:eastAsia="Arial" w:hAnsi="Arial"/>
          <w:sz w:val="18"/>
          <w:szCs w:val="18"/>
          <w:color w:val="auto"/>
        </w:rPr>
      </w:pPr>
      <w:r>
        <w:rPr>
          <w:rFonts w:ascii="Arial" w:cs="Arial" w:eastAsia="Arial" w:hAnsi="Arial"/>
          <w:sz w:val="18"/>
          <w:szCs w:val="18"/>
          <w:color w:val="auto"/>
        </w:rPr>
        <w:t>For purposes of the Plan, the following definitions shall apply:</w:t>
      </w:r>
    </w:p>
    <w:p>
      <w:pPr>
        <w:spacing w:after="0" w:line="184" w:lineRule="exact"/>
        <w:rPr>
          <w:rFonts w:ascii="Arial" w:cs="Arial" w:eastAsia="Arial" w:hAnsi="Arial"/>
          <w:sz w:val="18"/>
          <w:szCs w:val="18"/>
          <w:color w:val="auto"/>
        </w:rPr>
      </w:pPr>
    </w:p>
    <w:p>
      <w:pPr>
        <w:jc w:val="both"/>
        <w:ind w:left="1786" w:right="20" w:hanging="346"/>
        <w:spacing w:after="0" w:line="247" w:lineRule="auto"/>
        <w:tabs>
          <w:tab w:leader="none" w:pos="1786" w:val="left"/>
        </w:tabs>
        <w:numPr>
          <w:ilvl w:val="3"/>
          <w:numId w:val="107"/>
        </w:numPr>
        <w:rPr>
          <w:rFonts w:ascii="Arial" w:cs="Arial" w:eastAsia="Arial" w:hAnsi="Arial"/>
          <w:sz w:val="18"/>
          <w:szCs w:val="18"/>
          <w:color w:val="auto"/>
        </w:rPr>
      </w:pPr>
      <w:r>
        <w:rPr>
          <w:rFonts w:ascii="Arial" w:cs="Arial" w:eastAsia="Arial" w:hAnsi="Arial"/>
          <w:sz w:val="18"/>
          <w:szCs w:val="18"/>
          <w:color w:val="auto"/>
        </w:rPr>
        <w:t>Family Member means the Participant’s natural or adopted child, stepchild, grandchild, parent, stepparent, grandparent, spouse, former spouse, domestic partner, sibling, mother-in-law, father-in-law, son-in-law, daughter-in-law, brother-in-law, sister-in-law, nephew, niece and any person sharing the Participant’s household (other than a tenant or employee); and</w:t>
      </w:r>
    </w:p>
    <w:p>
      <w:pPr>
        <w:spacing w:after="0" w:line="133" w:lineRule="exact"/>
        <w:rPr>
          <w:rFonts w:ascii="Arial" w:cs="Arial" w:eastAsia="Arial" w:hAnsi="Arial"/>
          <w:sz w:val="18"/>
          <w:szCs w:val="18"/>
          <w:color w:val="auto"/>
        </w:rPr>
      </w:pPr>
    </w:p>
    <w:p>
      <w:pPr>
        <w:jc w:val="both"/>
        <w:ind w:left="1786" w:right="20" w:hanging="346"/>
        <w:spacing w:after="0" w:line="253" w:lineRule="auto"/>
        <w:tabs>
          <w:tab w:leader="none" w:pos="1786" w:val="left"/>
        </w:tabs>
        <w:numPr>
          <w:ilvl w:val="3"/>
          <w:numId w:val="107"/>
        </w:numPr>
        <w:rPr>
          <w:rFonts w:ascii="Arial" w:cs="Arial" w:eastAsia="Arial" w:hAnsi="Arial"/>
          <w:sz w:val="18"/>
          <w:szCs w:val="18"/>
          <w:color w:val="auto"/>
        </w:rPr>
      </w:pPr>
      <w:r>
        <w:rPr>
          <w:rFonts w:ascii="Arial" w:cs="Arial" w:eastAsia="Arial" w:hAnsi="Arial"/>
          <w:sz w:val="18"/>
          <w:szCs w:val="18"/>
          <w:color w:val="auto"/>
        </w:rPr>
        <w:t>Family Entity means any trust in which the Participant has more than a 50% beneficial interest and any entity in which the Participant and/or a Family Member owns more than 50% of the voting interests.</w:t>
      </w:r>
    </w:p>
    <w:p>
      <w:pPr>
        <w:spacing w:after="0" w:line="128" w:lineRule="exact"/>
        <w:rPr>
          <w:rFonts w:ascii="Arial" w:cs="Arial" w:eastAsia="Arial" w:hAnsi="Arial"/>
          <w:sz w:val="18"/>
          <w:szCs w:val="18"/>
          <w:color w:val="auto"/>
        </w:rPr>
      </w:pPr>
    </w:p>
    <w:p>
      <w:pPr>
        <w:jc w:val="both"/>
        <w:ind w:left="1066" w:right="20" w:hanging="346"/>
        <w:spacing w:after="0" w:line="253" w:lineRule="auto"/>
        <w:tabs>
          <w:tab w:leader="none" w:pos="1066"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Estate Transfers. In the case of death, Awards made hereunder may be transferred to the executor or personal representative of the Participant’s estate or the Participant’s heirs by will or the laws of descent and distribution.</w:t>
      </w:r>
    </w:p>
    <w:p>
      <w:pPr>
        <w:spacing w:after="0" w:line="141" w:lineRule="exact"/>
        <w:rPr>
          <w:rFonts w:ascii="Arial" w:cs="Arial" w:eastAsia="Arial" w:hAnsi="Arial"/>
          <w:sz w:val="18"/>
          <w:szCs w:val="18"/>
          <w:color w:val="auto"/>
        </w:rPr>
      </w:pPr>
    </w:p>
    <w:p>
      <w:pPr>
        <w:jc w:val="both"/>
        <w:ind w:left="346" w:right="20" w:hanging="346"/>
        <w:spacing w:after="0" w:line="244" w:lineRule="auto"/>
        <w:tabs>
          <w:tab w:leader="none" w:pos="346" w:val="left"/>
        </w:tabs>
        <w:numPr>
          <w:ilvl w:val="0"/>
          <w:numId w:val="109"/>
        </w:numPr>
        <w:rPr>
          <w:rFonts w:ascii="Arial" w:cs="Arial" w:eastAsia="Arial" w:hAnsi="Arial"/>
          <w:sz w:val="18"/>
          <w:szCs w:val="18"/>
          <w:color w:val="auto"/>
        </w:rPr>
      </w:pPr>
      <w:r>
        <w:rPr>
          <w:rFonts w:ascii="Arial" w:cs="Arial" w:eastAsia="Arial" w:hAnsi="Arial"/>
          <w:sz w:val="18"/>
          <w:szCs w:val="18"/>
          <w:i w:val="1"/>
          <w:iCs w:val="1"/>
          <w:u w:val="single" w:color="auto"/>
          <w:color w:val="auto"/>
        </w:rPr>
        <w:t>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Any Shares granted under the Plan may be evidenced in such manner, as the Committee may</w:t>
      </w:r>
      <w:r>
        <w:rPr>
          <w:rFonts w:ascii="Arial" w:cs="Arial" w:eastAsia="Arial" w:hAnsi="Arial"/>
          <w:sz w:val="18"/>
          <w:szCs w:val="18"/>
          <w:i w:val="1"/>
          <w:iCs w:val="1"/>
          <w:color w:val="auto"/>
        </w:rPr>
        <w:t xml:space="preserve"> </w:t>
      </w:r>
      <w:r>
        <w:rPr>
          <w:rFonts w:ascii="Arial" w:cs="Arial" w:eastAsia="Arial" w:hAnsi="Arial"/>
          <w:sz w:val="18"/>
          <w:szCs w:val="18"/>
          <w:color w:val="auto"/>
        </w:rPr>
        <w:t>deem appropriate, including without limitation, book-entry registration or issuance of a stock certificate or certificates. In the event any stock certificate is issued in respect of Stock granted under the Plan, such certificate shall be registered in the name of the Participant and shall bear an appropriate legend referring to the terms, conditions, and restrictions applicable to such Shares.</w:t>
      </w:r>
    </w:p>
    <w:p>
      <w:pPr>
        <w:spacing w:after="0" w:line="20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72AF"/>
        </w:rPr>
        <w:t xml:space="preserve">Section 7. </w:t>
      </w:r>
      <w:r>
        <w:rPr>
          <w:rFonts w:ascii="Arial" w:cs="Arial" w:eastAsia="Arial" w:hAnsi="Arial"/>
          <w:sz w:val="22"/>
          <w:szCs w:val="22"/>
          <w:b w:val="1"/>
          <w:bCs w:val="1"/>
          <w:i w:val="1"/>
          <w:iCs w:val="1"/>
          <w:color w:val="0072AF"/>
        </w:rPr>
        <w:t>Type of Awards.</w:t>
      </w:r>
    </w:p>
    <w:p>
      <w:pPr>
        <w:spacing w:after="0" w:line="175" w:lineRule="exact"/>
        <w:rPr>
          <w:sz w:val="20"/>
          <w:szCs w:val="20"/>
          <w:color w:val="auto"/>
        </w:rPr>
      </w:pPr>
    </w:p>
    <w:p>
      <w:pPr>
        <w:jc w:val="both"/>
        <w:ind w:left="346" w:hanging="346"/>
        <w:spacing w:after="0" w:line="253" w:lineRule="auto"/>
        <w:tabs>
          <w:tab w:leader="none" w:pos="346" w:val="left"/>
        </w:tabs>
        <w:numPr>
          <w:ilvl w:val="0"/>
          <w:numId w:val="110"/>
        </w:numPr>
        <w:rPr>
          <w:rFonts w:ascii="Arial" w:cs="Arial" w:eastAsia="Arial" w:hAnsi="Arial"/>
          <w:sz w:val="18"/>
          <w:szCs w:val="18"/>
          <w:color w:val="auto"/>
        </w:rPr>
      </w:pPr>
      <w:r>
        <w:rPr>
          <w:rFonts w:ascii="Arial" w:cs="Arial" w:eastAsia="Arial" w:hAnsi="Arial"/>
          <w:sz w:val="18"/>
          <w:szCs w:val="18"/>
          <w:i w:val="1"/>
          <w:iCs w:val="1"/>
          <w:u w:val="single" w:color="auto"/>
          <w:color w:val="auto"/>
        </w:rPr>
        <w:t>Options and Stock Appreciation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is hereby authorized to grant Options and Stock</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Rights to Participants with the following terms and conditions and with such additional terms and conditions, not inconsistent with the provisions of the Plan, as the Committee shall determine:</w:t>
      </w:r>
    </w:p>
    <w:p>
      <w:pPr>
        <w:spacing w:after="0" w:line="141" w:lineRule="exact"/>
        <w:rPr>
          <w:rFonts w:ascii="Arial" w:cs="Arial" w:eastAsia="Arial" w:hAnsi="Arial"/>
          <w:sz w:val="18"/>
          <w:szCs w:val="18"/>
          <w:color w:val="auto"/>
        </w:rPr>
      </w:pPr>
    </w:p>
    <w:p>
      <w:pPr>
        <w:jc w:val="both"/>
        <w:ind w:left="706" w:right="20" w:hanging="346"/>
        <w:spacing w:after="0" w:line="247" w:lineRule="auto"/>
        <w:tabs>
          <w:tab w:leader="none" w:pos="706" w:val="left"/>
        </w:tabs>
        <w:numPr>
          <w:ilvl w:val="1"/>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exercise price per Share under an Option shall be determined by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however, that except in the case of Substitute Awards, no Option or Stock Appreciation Right granted hereunder may have an exercise price of less than 100% of Fair Market Value of a Share on the date of grant.</w:t>
      </w:r>
    </w:p>
    <w:p>
      <w:pPr>
        <w:spacing w:after="0" w:line="133" w:lineRule="exact"/>
        <w:rPr>
          <w:rFonts w:ascii="Arial" w:cs="Arial" w:eastAsia="Arial" w:hAnsi="Arial"/>
          <w:sz w:val="18"/>
          <w:szCs w:val="18"/>
          <w:color w:val="auto"/>
        </w:rPr>
      </w:pPr>
    </w:p>
    <w:p>
      <w:pPr>
        <w:jc w:val="both"/>
        <w:ind w:left="706" w:right="20" w:hanging="346"/>
        <w:spacing w:after="0" w:line="239" w:lineRule="auto"/>
        <w:tabs>
          <w:tab w:leader="none" w:pos="706" w:val="left"/>
        </w:tabs>
        <w:numPr>
          <w:ilvl w:val="1"/>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Times and Method of Exercise. </w:t>
      </w:r>
      <w:r>
        <w:rPr>
          <w:rFonts w:ascii="Arial" w:cs="Arial" w:eastAsia="Arial" w:hAnsi="Arial"/>
          <w:sz w:val="18"/>
          <w:szCs w:val="18"/>
          <w:color w:val="auto"/>
        </w:rPr>
        <w:t>The Committee shall determine the time or times at which an Option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Stock Appreciation Right may be exercised in whole or in part; in no event, however, shall the period for exercising an Option or a Stock Appreciation Right extend more than 10 years from the date of grant. The Committee shall also determine the method or methods by which Options and/or Stock Appreciation Rights may be exercised, and the form or forms (including without limitation, cash, Shares previously acquired and Shares otherwise issuable under the Option, other Awards, or other property, or any combination thereof, having a Fair Market Value on the exercise date equal to the relevant exercise price) in which payment of the exercise price of an Option may be made or deemed to have been made. The Committee may also allow cash and cashless exercise of an Option through a registered broker.</w:t>
      </w:r>
    </w:p>
    <w:p>
      <w:pPr>
        <w:spacing w:after="0" w:line="142" w:lineRule="exact"/>
        <w:rPr>
          <w:rFonts w:ascii="Arial" w:cs="Arial" w:eastAsia="Arial" w:hAnsi="Arial"/>
          <w:sz w:val="18"/>
          <w:szCs w:val="18"/>
          <w:color w:val="auto"/>
        </w:rPr>
      </w:pPr>
    </w:p>
    <w:p>
      <w:pPr>
        <w:jc w:val="both"/>
        <w:ind w:left="706" w:right="20" w:hanging="346"/>
        <w:spacing w:after="0" w:line="237" w:lineRule="auto"/>
        <w:tabs>
          <w:tab w:leader="none" w:pos="706" w:val="left"/>
        </w:tabs>
        <w:numPr>
          <w:ilvl w:val="1"/>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Incentive Stock Options. </w:t>
      </w:r>
      <w:r>
        <w:rPr>
          <w:rFonts w:ascii="Arial" w:cs="Arial" w:eastAsia="Arial" w:hAnsi="Arial"/>
          <w:sz w:val="18"/>
          <w:szCs w:val="18"/>
          <w:color w:val="auto"/>
        </w:rPr>
        <w:t>Notwithstanding anything to the contrary in this Section 7(a), in the case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of an Option intending to qualify as an Incentive Stock Option: (A) if the Participant owns stock possessing more than 10 percent of the combined voting power of all classes of stock of the Company (a “10% Stockholder”), the exercise price of such Incentive Stock Option must be at least 110 percent of the Fair Market Value of the Shares on the date of grant and the Option must expire within a period of not more than five (5) years from the date of grant, and (B) “termination of employment” will occur when the person to whom an Award was granted ceases to be an employee (as determined in accordance with Section 3401(c) of the Code and the regulations promulgated thereunder) of the Company and its subsidiaries. Notwithstanding anything in this Section 7(a) to the contrary, Options designated as Incentive Stock Options shall not be eligible for treatment under the Code as Incentive Stock Options (and instead will be deemed to be Non-Qualified Stock Options) to the extent that either (1) the aggregate Fair Market Value of Shares (determined as of the time of grant) with respect to which such Options are exercisable for the first time by the Participant during any calendar year (under all plans of the Company and any subsidiary) exceeds $100,000, taking Options into account in the order in which they were granted, or (2) such Options otherwise remain exercisable but are not exercised within three months of termination of employment (or such other period of time provided in Section 422 of the Code).</w:t>
      </w:r>
    </w:p>
    <w:p>
      <w:pPr>
        <w:spacing w:after="0" w:line="186"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128905</wp:posOffset>
            </wp:positionV>
            <wp:extent cx="699516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19" w:name="page120"/>
    <w:bookmarkEnd w:id="11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ANNEX D: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jc w:val="both"/>
        <w:ind w:left="706" w:right="20" w:hanging="346"/>
        <w:spacing w:after="0" w:line="238" w:lineRule="auto"/>
        <w:tabs>
          <w:tab w:leader="none" w:pos="706" w:val="left"/>
        </w:tabs>
        <w:numPr>
          <w:ilvl w:val="1"/>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Stock Appreciation Rights (SARs). </w:t>
      </w:r>
      <w:r>
        <w:rPr>
          <w:rFonts w:ascii="Arial" w:cs="Arial" w:eastAsia="Arial" w:hAnsi="Arial"/>
          <w:sz w:val="18"/>
          <w:szCs w:val="18"/>
          <w:color w:val="auto"/>
        </w:rPr>
        <w:t>Stock Appreciation Rights may be granted to Participants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either in tandem with or as a component of other Awards granted under the Plan (“tandem SARs”) or not in conjunction with other Awards (“freestanding SARs”) and may, but need not, relate to a specific Option granted under this Section 7(a). Any Stock Appreciation Right granted in tandem with an Award may be granted at the same time such Award is granted or at any time thereafter before exercise or expiration of such Award. Upon exercise of a tandem SAR as to some or all of the shares covered by the grant, the related Option shall be canceled automatically to the extent of the number of shares covered by such exercise. Conversely, if the related Option is exercised as to some or all of the shares covered by the grant, the related tandem SAR, if any, shall be canceled automatically to the extent of the number of shares covered by the Option exercise. All freestanding SARs shall be granted subject to the same terms and conditions applicable to Options as set forth in this Section 7 and all tandem SARs shall have the same exercise price, vesting, exercisability, forfeiture and termination provisions as the Award to which they relate. Stock Appreciation Rights may be settled in cash or stock at the discretion of the Committee.</w:t>
      </w:r>
    </w:p>
    <w:p>
      <w:pPr>
        <w:spacing w:after="0" w:line="153" w:lineRule="exact"/>
        <w:rPr>
          <w:rFonts w:ascii="Arial" w:cs="Arial" w:eastAsia="Arial" w:hAnsi="Arial"/>
          <w:sz w:val="18"/>
          <w:szCs w:val="18"/>
          <w:color w:val="auto"/>
        </w:rPr>
      </w:pPr>
    </w:p>
    <w:p>
      <w:pPr>
        <w:jc w:val="both"/>
        <w:ind w:left="706" w:right="20" w:hanging="346"/>
        <w:spacing w:after="0"/>
        <w:tabs>
          <w:tab w:leader="none" w:pos="706" w:val="left"/>
        </w:tabs>
        <w:numPr>
          <w:ilvl w:val="1"/>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No Repricing and Reload Without Stockholder Approval. </w:t>
      </w:r>
      <w:r>
        <w:rPr>
          <w:rFonts w:ascii="Arial" w:cs="Arial" w:eastAsia="Arial" w:hAnsi="Arial"/>
          <w:sz w:val="18"/>
          <w:szCs w:val="18"/>
          <w:color w:val="auto"/>
        </w:rPr>
        <w:t>Other than in connection with a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capitalization (as described in Section 4(c) of the Plan), the Company shall not, without stockholder approval, (i) reduce the exercise price of an Option or Stock Appreciation Right, (ii) exchange an Option or Stock Appreciation Right with an exercise price in excess of Fair Market Value for cash, another Award or a new Option or Stock Appreciation Right with a lower exercise price or (iii) otherwise reprice any Option or Stock Appreciation Right. Options shall not be granted under the Plan in consideration for and shall not be conditioned upon the delivery of Shares to the Company in payment of the exercise price and/or tax withholding obligation under any other employee stock option (No Reload).</w:t>
      </w:r>
    </w:p>
    <w:p>
      <w:pPr>
        <w:spacing w:after="0" w:line="139" w:lineRule="exact"/>
        <w:rPr>
          <w:rFonts w:ascii="Arial" w:cs="Arial" w:eastAsia="Arial" w:hAnsi="Arial"/>
          <w:sz w:val="18"/>
          <w:szCs w:val="18"/>
          <w:color w:val="auto"/>
        </w:rPr>
      </w:pPr>
    </w:p>
    <w:p>
      <w:pPr>
        <w:ind w:left="346" w:right="20" w:hanging="346"/>
        <w:spacing w:after="0" w:line="271" w:lineRule="auto"/>
        <w:tabs>
          <w:tab w:leader="none" w:pos="346" w:val="left"/>
        </w:tabs>
        <w:numPr>
          <w:ilvl w:val="0"/>
          <w:numId w:val="112"/>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Restricted Stock and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Section 4 hereof, the Committee is authorized to grant Awards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and/or Stock Units to Participants with the following terms and conditions:</w:t>
      </w:r>
    </w:p>
    <w:p>
      <w:pPr>
        <w:spacing w:after="0" w:line="113" w:lineRule="exact"/>
        <w:rPr>
          <w:rFonts w:ascii="Arial" w:cs="Arial" w:eastAsia="Arial" w:hAnsi="Arial"/>
          <w:sz w:val="18"/>
          <w:szCs w:val="18"/>
          <w:color w:val="auto"/>
        </w:rPr>
      </w:pPr>
    </w:p>
    <w:p>
      <w:pPr>
        <w:jc w:val="both"/>
        <w:ind w:left="366"/>
        <w:spacing w:after="0" w:line="237" w:lineRule="auto"/>
        <w:rPr>
          <w:rFonts w:ascii="Arial" w:cs="Arial" w:eastAsia="Arial" w:hAnsi="Arial"/>
          <w:sz w:val="18"/>
          <w:szCs w:val="18"/>
          <w:color w:val="auto"/>
        </w:rPr>
      </w:pPr>
      <w:r>
        <w:rPr>
          <w:rFonts w:ascii="Arial" w:cs="Arial" w:eastAsia="Arial" w:hAnsi="Arial"/>
          <w:sz w:val="18"/>
          <w:szCs w:val="18"/>
          <w:i w:val="1"/>
          <w:iCs w:val="1"/>
          <w:color w:val="auto"/>
        </w:rPr>
        <w:t xml:space="preserve">Restrictions. </w:t>
      </w:r>
      <w:r>
        <w:rPr>
          <w:rFonts w:ascii="Arial" w:cs="Arial" w:eastAsia="Arial" w:hAnsi="Arial"/>
          <w:sz w:val="18"/>
          <w:szCs w:val="18"/>
          <w:color w:val="auto"/>
        </w:rPr>
        <w:t>Restricted Stock and Stock Units may be granted at any time and from time to time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the Plan to Participants selected by the Committee. Restricted Stock is an Award or issuance of Shares of common stock the grant, issuance, retention, vesting and/or transferability of which is subject to such terms and conditions as the Committee deems appropriate. Terms and conditions may include, without limitation, continued employment over a specified period or the attainment of specified performance criteria (including, but not limited to, one or more Qualifying Performance Criteria in accordance with Section 15). Conditions may lapse separately or concurrently at such time or times, in such installments or otherwise, as the Committee may deem appropriate. Stock Units are Awards denominated in units of common stock under which the issuance of Shares of common stock is subject to such terms and conditions as the Committee deems appropriate. Terms and conditions may include, without limitation, continued employment over a specified period or the attainment of specified performance criteria (including, but not limited to, one or more Qualifying Performance Criteria in accordance with Section 15). Each grant of Restricted Stock and Stock Units shall be evidenced by an Award Agreement. A Stock Unit may be settled in cash or Shares as the Committee may determine from time to time.</w:t>
      </w:r>
    </w:p>
    <w:p>
      <w:pPr>
        <w:spacing w:after="0" w:line="162" w:lineRule="exact"/>
        <w:rPr>
          <w:rFonts w:ascii="Arial" w:cs="Arial" w:eastAsia="Arial" w:hAnsi="Arial"/>
          <w:sz w:val="18"/>
          <w:szCs w:val="18"/>
          <w:color w:val="auto"/>
        </w:rPr>
      </w:pPr>
    </w:p>
    <w:p>
      <w:pPr>
        <w:jc w:val="both"/>
        <w:ind w:left="346" w:hanging="346"/>
        <w:spacing w:after="0"/>
        <w:tabs>
          <w:tab w:leader="none" w:pos="346" w:val="left"/>
        </w:tabs>
        <w:numPr>
          <w:ilvl w:val="0"/>
          <w:numId w:val="112"/>
        </w:numPr>
        <w:rPr>
          <w:rFonts w:ascii="Arial" w:cs="Arial" w:eastAsia="Arial" w:hAnsi="Arial"/>
          <w:sz w:val="18"/>
          <w:szCs w:val="18"/>
          <w:color w:val="auto"/>
        </w:rPr>
      </w:pPr>
      <w:r>
        <w:rPr>
          <w:rFonts w:ascii="Arial" w:cs="Arial" w:eastAsia="Arial" w:hAnsi="Arial"/>
          <w:sz w:val="18"/>
          <w:szCs w:val="18"/>
          <w:i w:val="1"/>
          <w:iCs w:val="1"/>
          <w:u w:val="single" w:color="auto"/>
          <w:color w:val="auto"/>
        </w:rPr>
        <w:t>Dividend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may, as a component of any other Award granted under the Plan, grant</w:t>
      </w:r>
      <w:r>
        <w:rPr>
          <w:rFonts w:ascii="Arial" w:cs="Arial" w:eastAsia="Arial" w:hAnsi="Arial"/>
          <w:sz w:val="18"/>
          <w:szCs w:val="18"/>
          <w:i w:val="1"/>
          <w:iCs w:val="1"/>
          <w:color w:val="auto"/>
        </w:rPr>
        <w:t xml:space="preserve"> </w:t>
      </w:r>
      <w:r>
        <w:rPr>
          <w:rFonts w:ascii="Arial" w:cs="Arial" w:eastAsia="Arial" w:hAnsi="Arial"/>
          <w:sz w:val="18"/>
          <w:szCs w:val="18"/>
          <w:color w:val="auto"/>
        </w:rPr>
        <w:t>to Participants Dividend Equivalents under which the holders thereof shall be entitled to receive payments equivalent to dividends with respect to a number of Shares determined by the Committee, and the Committee may provide that such amounts shall be deemed to have been reinvested in Dividend Equivalent Shares or otherwise reinvested. Dividend equivalents may not be (i) granted in conjunction with options or SARs. Dividend equivalents shall be subject to the same vesting conditions as the underlying Award and shall only be settled if and to the extent the underlying Award vests.</w:t>
      </w:r>
    </w:p>
    <w:p>
      <w:pPr>
        <w:spacing w:after="0" w:line="144" w:lineRule="exact"/>
        <w:rPr>
          <w:rFonts w:ascii="Arial" w:cs="Arial" w:eastAsia="Arial" w:hAnsi="Arial"/>
          <w:sz w:val="18"/>
          <w:szCs w:val="18"/>
          <w:color w:val="auto"/>
        </w:rPr>
      </w:pPr>
    </w:p>
    <w:p>
      <w:pPr>
        <w:jc w:val="both"/>
        <w:ind w:left="346" w:hanging="346"/>
        <w:spacing w:after="0" w:line="247" w:lineRule="auto"/>
        <w:tabs>
          <w:tab w:leader="none" w:pos="346" w:val="left"/>
        </w:tabs>
        <w:numPr>
          <w:ilvl w:val="0"/>
          <w:numId w:val="112"/>
        </w:numPr>
        <w:rPr>
          <w:rFonts w:ascii="Arial" w:cs="Arial" w:eastAsia="Arial" w:hAnsi="Arial"/>
          <w:sz w:val="18"/>
          <w:szCs w:val="18"/>
          <w:color w:val="auto"/>
        </w:rPr>
      </w:pPr>
      <w:r>
        <w:rPr>
          <w:rFonts w:ascii="Arial" w:cs="Arial" w:eastAsia="Arial" w:hAnsi="Arial"/>
          <w:sz w:val="18"/>
          <w:szCs w:val="18"/>
          <w:i w:val="1"/>
          <w:iCs w:val="1"/>
          <w:u w:val="single" w:color="auto"/>
          <w:color w:val="auto"/>
        </w:rPr>
        <w:t>Other Stock-Based Awards.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is hereby authorized to grant to Participants such other Awards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denominated or payable in, valued in whole or in part by reference to, or otherwise based on or related to Shares (including without limitation securities convertible into Shares), as are deemed by the Committee to be consistent with the purposes of the Plan.</w:t>
      </w:r>
    </w:p>
    <w:p>
      <w:pPr>
        <w:spacing w:after="0" w:line="133" w:lineRule="exact"/>
        <w:rPr>
          <w:rFonts w:ascii="Arial" w:cs="Arial" w:eastAsia="Arial" w:hAnsi="Arial"/>
          <w:sz w:val="18"/>
          <w:szCs w:val="18"/>
          <w:color w:val="auto"/>
        </w:rPr>
      </w:pPr>
    </w:p>
    <w:p>
      <w:pPr>
        <w:jc w:val="both"/>
        <w:ind w:left="706" w:right="20" w:hanging="346"/>
        <w:spacing w:after="0" w:line="247" w:lineRule="auto"/>
        <w:tabs>
          <w:tab w:leader="none" w:pos="70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If applicable, Shares or other securities delivered pursuant to a purchase right granted under this Section 7(d) shall be purchased for such consideration, which may be paid by such method or methods and in such form or forms, including without limitation cash, Shares, other securities, other Awards or other property, or any combination thereof, as the Committee shall determine.</w:t>
      </w:r>
    </w:p>
    <w:p>
      <w:pPr>
        <w:spacing w:after="0" w:line="174"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128905</wp:posOffset>
            </wp:positionV>
            <wp:extent cx="699516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20" w:name="page121"/>
    <w:bookmarkEnd w:id="120"/>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ANNEX D: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jc w:val="both"/>
        <w:ind w:left="706" w:right="20" w:hanging="346"/>
        <w:spacing w:after="0" w:line="253" w:lineRule="auto"/>
        <w:tabs>
          <w:tab w:leader="none" w:pos="70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granting any Other Stock-Based Award pursuant to this Section 7(d), the Committee shall also determine what effect the termination of employment of the Participant holding such Award shall have on the rights of the Participant pursuant to the Award.</w:t>
      </w:r>
    </w:p>
    <w:p>
      <w:pPr>
        <w:spacing w:after="0" w:line="213"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72AF"/>
        </w:rPr>
        <w:t xml:space="preserve">Section 8. </w:t>
      </w:r>
      <w:r>
        <w:rPr>
          <w:rFonts w:ascii="Arial" w:cs="Arial" w:eastAsia="Arial" w:hAnsi="Arial"/>
          <w:sz w:val="22"/>
          <w:szCs w:val="22"/>
          <w:b w:val="1"/>
          <w:bCs w:val="1"/>
          <w:i w:val="1"/>
          <w:iCs w:val="1"/>
          <w:color w:val="0072AF"/>
        </w:rPr>
        <w:t>Vesting and Exercising.</w:t>
      </w:r>
    </w:p>
    <w:p>
      <w:pPr>
        <w:spacing w:after="0" w:line="175" w:lineRule="exact"/>
        <w:rPr>
          <w:sz w:val="20"/>
          <w:szCs w:val="20"/>
          <w:color w:val="auto"/>
        </w:rPr>
      </w:pPr>
    </w:p>
    <w:p>
      <w:pPr>
        <w:jc w:val="both"/>
        <w:ind w:left="346" w:hanging="346"/>
        <w:spacing w:after="0" w:line="236" w:lineRule="auto"/>
        <w:tabs>
          <w:tab w:leader="none" w:pos="346" w:val="left"/>
        </w:tabs>
        <w:numPr>
          <w:ilvl w:val="0"/>
          <w:numId w:val="114"/>
        </w:numPr>
        <w:rPr>
          <w:rFonts w:ascii="Arial" w:cs="Arial" w:eastAsia="Arial" w:hAnsi="Arial"/>
          <w:sz w:val="18"/>
          <w:szCs w:val="18"/>
          <w:color w:val="auto"/>
        </w:rPr>
      </w:pPr>
      <w:r>
        <w:rPr>
          <w:rFonts w:ascii="Arial" w:cs="Arial" w:eastAsia="Arial" w:hAnsi="Arial"/>
          <w:sz w:val="18"/>
          <w:szCs w:val="18"/>
          <w:i w:val="1"/>
          <w:iCs w:val="1"/>
          <w:u w:val="single" w:color="auto"/>
          <w:color w:val="auto"/>
        </w:rPr>
        <w:t>General.</w:t>
      </w:r>
      <w:r>
        <w:rPr>
          <w:rFonts w:ascii="Arial" w:cs="Arial" w:eastAsia="Arial" w:hAnsi="Arial"/>
          <w:sz w:val="18"/>
          <w:szCs w:val="18"/>
          <w:i w:val="1"/>
          <w:iCs w:val="1"/>
          <w:color w:val="auto"/>
        </w:rPr>
        <w:t xml:space="preserve"> </w:t>
      </w:r>
      <w:r>
        <w:rPr>
          <w:rFonts w:ascii="Arial" w:cs="Arial" w:eastAsia="Arial" w:hAnsi="Arial"/>
          <w:sz w:val="18"/>
          <w:szCs w:val="18"/>
          <w:color w:val="auto"/>
        </w:rPr>
        <w:t>The Award Agreement shall designate the terms under which the Award vests and/or is exercisable</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 to terms and conditions authorized by the Committee and consistent with Plan provisions. There will be a one-year minimum vesting period for all awards under the Plan. For purposes of Awards granted to non-employee members of the Board, “one-year” may mean the period of time from one annual shareholders meeting to the next annual shareholders meeting, provided that such period of time is not less than fifty (50) weeks. Unless the Board provides otherwise, Stock Option and SAR awards must have a vesting period of not less than one-year. For purposes of the Plan, any reference to the “vesting” of an Option or a SAR shall mean any events or conditions which, if satisfied, entitle a Participant to exercise an Option or a SAR with respect to all or a portion of the Shares covered by the Option or a SAR. Vesting of a Restricted Stock Award or a Stock Unit shall mean any events or conditions which, if satisfied, entitle the Participant to the underlying stock certificate without restrictions (or cash as the case may be). Any awards of Restricted Stock or Stock Units as to which the sole restriction relates to the passage of time and continued employment must have a restriction period of not less than one year. Any Award, other than an Award described in the immediately preceding sentence, must provide for the lapse of restrictions based on performance criteria and level of achievement versus such criteria over a performance period of not less than one year, except in all cases, the Committee may provide for the satisfaction and/or lapse of all restrictions under any such Award in the event of the Participant’s death, Disability or Retirement or a Change of Control and other similar events. Notwithstanding anything to the contrary herein, the Company reserves the right to make Awards representing up to 5% of the total Shares issued under the Plan that are fully vested upon the making of the Award or that require vesting periods shorter than those described in this Section 8 (a). In addition, the Committee may in its sole discretion accelerate vesting of an Award made hereunder on account of a “Termination with Conditions Imposed” as described under Section 8(b)(iii) in cases such as death, Disability and Retirement or following a Change of Control as discussed in Section 10 herein. Except as otherwise permitted by Section 409A of the Code, an Award constituting nonqualified deferred compensation subject to the provisions of Section 409A of the Code shall not be accelerated.</w:t>
      </w:r>
    </w:p>
    <w:p>
      <w:pPr>
        <w:spacing w:after="0" w:line="149" w:lineRule="exact"/>
        <w:rPr>
          <w:rFonts w:ascii="Arial" w:cs="Arial" w:eastAsia="Arial" w:hAnsi="Arial"/>
          <w:sz w:val="18"/>
          <w:szCs w:val="18"/>
          <w:color w:val="auto"/>
        </w:rPr>
      </w:pPr>
    </w:p>
    <w:p>
      <w:pPr>
        <w:jc w:val="both"/>
        <w:ind w:left="346" w:hanging="346"/>
        <w:spacing w:after="0" w:line="253" w:lineRule="auto"/>
        <w:tabs>
          <w:tab w:leader="none" w:pos="346" w:val="left"/>
        </w:tabs>
        <w:numPr>
          <w:ilvl w:val="0"/>
          <w:numId w:val="114"/>
        </w:numPr>
        <w:rPr>
          <w:rFonts w:ascii="Arial" w:cs="Arial" w:eastAsia="Arial" w:hAnsi="Arial"/>
          <w:sz w:val="18"/>
          <w:szCs w:val="18"/>
          <w:color w:val="auto"/>
        </w:rPr>
      </w:pPr>
      <w:r>
        <w:rPr>
          <w:rFonts w:ascii="Arial" w:cs="Arial" w:eastAsia="Arial" w:hAnsi="Arial"/>
          <w:sz w:val="18"/>
          <w:szCs w:val="18"/>
          <w:i w:val="1"/>
          <w:iCs w:val="1"/>
          <w:u w:val="single" w:color="auto"/>
          <w:color w:val="auto"/>
        </w:rPr>
        <w:t>Termination of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Unless the Committee specifies otherwise, either at the time of grant or thereafter,</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rules govern Awards upon a Participant’s termination of employment not on account of a Change of Control:</w:t>
      </w:r>
    </w:p>
    <w:p>
      <w:pPr>
        <w:spacing w:after="0" w:line="141" w:lineRule="exact"/>
        <w:rPr>
          <w:rFonts w:ascii="Arial" w:cs="Arial" w:eastAsia="Arial" w:hAnsi="Arial"/>
          <w:sz w:val="18"/>
          <w:szCs w:val="18"/>
          <w:color w:val="auto"/>
        </w:rPr>
      </w:pPr>
    </w:p>
    <w:p>
      <w:pPr>
        <w:jc w:val="both"/>
        <w:ind w:left="706" w:right="20" w:hanging="346"/>
        <w:spacing w:after="0" w:line="238" w:lineRule="auto"/>
        <w:tabs>
          <w:tab w:leader="none" w:pos="706" w:val="left"/>
        </w:tabs>
        <w:numPr>
          <w:ilvl w:val="1"/>
          <w:numId w:val="114"/>
        </w:numPr>
        <w:rPr>
          <w:rFonts w:ascii="Arial" w:cs="Arial" w:eastAsia="Arial" w:hAnsi="Arial"/>
          <w:sz w:val="18"/>
          <w:szCs w:val="18"/>
          <w:color w:val="auto"/>
        </w:rPr>
      </w:pPr>
      <w:r>
        <w:rPr>
          <w:rFonts w:ascii="Arial" w:cs="Arial" w:eastAsia="Arial" w:hAnsi="Arial"/>
          <w:sz w:val="18"/>
          <w:szCs w:val="18"/>
          <w:i w:val="1"/>
          <w:iCs w:val="1"/>
          <w:color w:val="auto"/>
        </w:rPr>
        <w:t xml:space="preserve">Death, Disability and Retirement. </w:t>
      </w:r>
      <w:r>
        <w:rPr>
          <w:rFonts w:ascii="Arial" w:cs="Arial" w:eastAsia="Arial" w:hAnsi="Arial"/>
          <w:sz w:val="18"/>
          <w:szCs w:val="18"/>
          <w:color w:val="auto"/>
        </w:rPr>
        <w:t>Unvested outstanding Awards (including without limitation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SARs, Restricted Stock or Stock Units), forfeit at death, Disability or Retirement unless the Committee, in its sole discretion, provides in the Award Agreement or otherwise for special vesting under those circumstances. With respect to Stock Options and SARS any special vesting provided by the Committee may also include an additional exercise period beyond the Participant’s death, Disability or Retirement, however, that period may not be longer than the original term of the Award. The Committee may also waive in whole or in part any or all remaining restrictions and vest the Awards upon the Participant’s death, Disability or Retirement. In addition, the Committee in its sole discretion may set forth special vesting rules with respect to Dividend Equivalents and Other Stock-Based Awards and may determine that the Participant’s rights to Dividend Equivalents and Other Stock-Based Awards terminate at a date later than death, Disability and Retirement.</w:t>
      </w:r>
    </w:p>
    <w:p>
      <w:pPr>
        <w:spacing w:after="0" w:line="145" w:lineRule="exact"/>
        <w:rPr>
          <w:rFonts w:ascii="Arial" w:cs="Arial" w:eastAsia="Arial" w:hAnsi="Arial"/>
          <w:sz w:val="18"/>
          <w:szCs w:val="18"/>
          <w:color w:val="auto"/>
        </w:rPr>
      </w:pPr>
    </w:p>
    <w:p>
      <w:pPr>
        <w:jc w:val="both"/>
        <w:ind w:left="706" w:right="20" w:hanging="346"/>
        <w:spacing w:after="0" w:line="238" w:lineRule="auto"/>
        <w:tabs>
          <w:tab w:leader="none" w:pos="706" w:val="left"/>
        </w:tabs>
        <w:numPr>
          <w:ilvl w:val="1"/>
          <w:numId w:val="114"/>
        </w:numPr>
        <w:rPr>
          <w:rFonts w:ascii="Arial" w:cs="Arial" w:eastAsia="Arial" w:hAnsi="Arial"/>
          <w:sz w:val="18"/>
          <w:szCs w:val="18"/>
          <w:color w:val="auto"/>
        </w:rPr>
      </w:pPr>
      <w:r>
        <w:rPr>
          <w:rFonts w:ascii="Arial" w:cs="Arial" w:eastAsia="Arial" w:hAnsi="Arial"/>
          <w:sz w:val="18"/>
          <w:szCs w:val="18"/>
          <w:i w:val="1"/>
          <w:iCs w:val="1"/>
          <w:color w:val="auto"/>
        </w:rPr>
        <w:t xml:space="preserve">Sale of Business, Spin off Transactions. </w:t>
      </w:r>
      <w:r>
        <w:rPr>
          <w:rFonts w:ascii="Arial" w:cs="Arial" w:eastAsia="Arial" w:hAnsi="Arial"/>
          <w:sz w:val="18"/>
          <w:szCs w:val="18"/>
          <w:color w:val="auto"/>
        </w:rPr>
        <w:t>In the case of a sale of business or a spin off transaction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constitute a Change of Control, the Committee shall determine the treatment of all outstanding Awards, including without limitation, determining the vesting terms, conversion of Shares and continued exercisability. Unless otherwise provided for by the Committee, in the event the “business unit” (defined as a division, subsidiary, unit or other delineation that the Committee in its sole discretion may determine) for which the Participant performs substantially all of his or her services is spun off by the Company or an Affiliate in a transaction that qualifies as a tax-free distribution of stock under Section 355 of the Code, or is assigned, sold, outsourced or otherwise transferred, including an asset, stock or joint venture transaction, to an unrelated third party, such that after such transaction the Company owns or controls directly or indirectly less than 51% of the business unit, the affected Participant shall become: 100% vested in all outstanding Awards as of the date of the closing of such transaction, whether or not fully or partially vested, and such Participant shall be entitled to exercise such Options and Stock Appreciation Rights during the three (3) months following the closing of such transaction, unless the Committee has</w:t>
      </w:r>
    </w:p>
    <w:p>
      <w:pPr>
        <w:spacing w:after="0" w:line="180"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120650</wp:posOffset>
            </wp:positionV>
            <wp:extent cx="699516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21" w:name="page122"/>
    <w:bookmarkEnd w:id="121"/>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ANNEX D: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3" w:lineRule="exact"/>
        <w:rPr>
          <w:sz w:val="20"/>
          <w:szCs w:val="20"/>
          <w:color w:val="auto"/>
        </w:rPr>
      </w:pPr>
    </w:p>
    <w:p>
      <w:pPr>
        <w:jc w:val="both"/>
        <w:ind w:left="726"/>
        <w:spacing w:after="0" w:line="253" w:lineRule="auto"/>
        <w:rPr>
          <w:sz w:val="20"/>
          <w:szCs w:val="20"/>
          <w:color w:val="auto"/>
        </w:rPr>
      </w:pPr>
      <w:r>
        <w:rPr>
          <w:rFonts w:ascii="Arial" w:cs="Arial" w:eastAsia="Arial" w:hAnsi="Arial"/>
          <w:sz w:val="18"/>
          <w:szCs w:val="18"/>
          <w:color w:val="auto"/>
        </w:rPr>
        <w:t>established an additional exercise period (but in any case not longer than the original option term). All Options and Stock Appreciation Rights which are unexercised at the end of such three (3) months or such additional exercise period shall be automatically forfeited.</w:t>
      </w:r>
    </w:p>
    <w:p>
      <w:pPr>
        <w:spacing w:after="0" w:line="142" w:lineRule="exact"/>
        <w:rPr>
          <w:sz w:val="20"/>
          <w:szCs w:val="20"/>
          <w:color w:val="auto"/>
        </w:rPr>
      </w:pPr>
    </w:p>
    <w:p>
      <w:pPr>
        <w:jc w:val="both"/>
        <w:ind w:left="706" w:hanging="346"/>
        <w:spacing w:after="0" w:line="237" w:lineRule="auto"/>
        <w:tabs>
          <w:tab w:leader="none" w:pos="706" w:val="left"/>
        </w:tabs>
        <w:numPr>
          <w:ilvl w:val="1"/>
          <w:numId w:val="115"/>
        </w:numPr>
        <w:rPr>
          <w:rFonts w:ascii="Arial" w:cs="Arial" w:eastAsia="Arial" w:hAnsi="Arial"/>
          <w:sz w:val="18"/>
          <w:szCs w:val="18"/>
          <w:color w:val="auto"/>
        </w:rPr>
      </w:pPr>
      <w:r>
        <w:rPr>
          <w:rFonts w:ascii="Arial" w:cs="Arial" w:eastAsia="Arial" w:hAnsi="Arial"/>
          <w:sz w:val="18"/>
          <w:szCs w:val="18"/>
          <w:i w:val="1"/>
          <w:iCs w:val="1"/>
          <w:color w:val="auto"/>
        </w:rPr>
        <w:t xml:space="preserve">Terminations with Conditions Imposed. </w:t>
      </w:r>
      <w:r>
        <w:rPr>
          <w:rFonts w:ascii="Arial" w:cs="Arial" w:eastAsia="Arial" w:hAnsi="Arial"/>
          <w:sz w:val="18"/>
          <w:szCs w:val="18"/>
          <w:color w:val="auto"/>
        </w:rPr>
        <w:t>Notwithstanding the foregoing provisions describing the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and vesting periods for Awards upon termination of employment, the Committee may, in its sole discretion, condition the right of a Participant to vest or exercise any portion of a partially vested or exercisable Award for which the Committee has established at the time of making the Award an additional vesting or exercise period on the Participant’s agreement to adhere to such conditions and stipulations which the Committee may impose, including, but not limited to, restrictions on the solicitation of employees or independent contractors, disclosure of confidential information, covenants not to compete, refraining from denigrating through adverse or disparaging communication, written or oral, whether or not true, the operations, business, management, products or services of the Company or its current or former employees and directors, including without limitation, the expression of personal views, opinions or judgments. The unvested Awards of any Participant for whom the Committee at the time of making the Award has given an additional vesting and exercise period subject to such conditions subsequent as set forth in this Section 8(b)(iii) shall be forfeited immediately upon a breach of such conditions and, if specified in an Award Agreement, any rights, payments or benefits with respect to an Award that became vested in connection with a termination of employment may be subject to recoupment upon a breach of such conditions.</w:t>
      </w:r>
    </w:p>
    <w:p>
      <w:pPr>
        <w:spacing w:after="0" w:line="145" w:lineRule="exact"/>
        <w:rPr>
          <w:rFonts w:ascii="Arial" w:cs="Arial" w:eastAsia="Arial" w:hAnsi="Arial"/>
          <w:sz w:val="18"/>
          <w:szCs w:val="18"/>
          <w:color w:val="auto"/>
        </w:rPr>
      </w:pPr>
    </w:p>
    <w:p>
      <w:pPr>
        <w:jc w:val="both"/>
        <w:ind w:left="706" w:hanging="346"/>
        <w:spacing w:after="0" w:line="253" w:lineRule="auto"/>
        <w:tabs>
          <w:tab w:leader="none" w:pos="706" w:val="left"/>
        </w:tabs>
        <w:numPr>
          <w:ilvl w:val="1"/>
          <w:numId w:val="115"/>
        </w:numPr>
        <w:rPr>
          <w:rFonts w:ascii="Arial" w:cs="Arial" w:eastAsia="Arial" w:hAnsi="Arial"/>
          <w:sz w:val="18"/>
          <w:szCs w:val="18"/>
          <w:color w:val="auto"/>
        </w:rPr>
      </w:pPr>
      <w:r>
        <w:rPr>
          <w:rFonts w:ascii="Arial" w:cs="Arial" w:eastAsia="Arial" w:hAnsi="Arial"/>
          <w:sz w:val="18"/>
          <w:szCs w:val="18"/>
          <w:i w:val="1"/>
          <w:iCs w:val="1"/>
          <w:color w:val="auto"/>
        </w:rPr>
        <w:t xml:space="preserve">Termination for Other Reasons. </w:t>
      </w:r>
      <w:r>
        <w:rPr>
          <w:rFonts w:ascii="Arial" w:cs="Arial" w:eastAsia="Arial" w:hAnsi="Arial"/>
          <w:sz w:val="18"/>
          <w:szCs w:val="18"/>
          <w:color w:val="auto"/>
        </w:rPr>
        <w:t>If a Participant terminates employment for reasons other than those</w:t>
      </w:r>
      <w:r>
        <w:rPr>
          <w:rFonts w:ascii="Arial" w:cs="Arial" w:eastAsia="Arial" w:hAnsi="Arial"/>
          <w:sz w:val="18"/>
          <w:szCs w:val="18"/>
          <w:i w:val="1"/>
          <w:iCs w:val="1"/>
          <w:color w:val="auto"/>
        </w:rPr>
        <w:t xml:space="preserve"> </w:t>
      </w:r>
      <w:r>
        <w:rPr>
          <w:rFonts w:ascii="Arial" w:cs="Arial" w:eastAsia="Arial" w:hAnsi="Arial"/>
          <w:sz w:val="18"/>
          <w:szCs w:val="18"/>
          <w:color w:val="auto"/>
        </w:rPr>
        <w:t>enumerated above or in Section 10 below and the Committee has not created special rules surrounding the circumstances of the employment termination, the following rules shall apply.</w:t>
      </w:r>
    </w:p>
    <w:p>
      <w:pPr>
        <w:spacing w:after="0" w:line="128" w:lineRule="exact"/>
        <w:rPr>
          <w:rFonts w:ascii="Arial" w:cs="Arial" w:eastAsia="Arial" w:hAnsi="Arial"/>
          <w:sz w:val="18"/>
          <w:szCs w:val="18"/>
          <w:color w:val="auto"/>
        </w:rPr>
      </w:pPr>
    </w:p>
    <w:p>
      <w:pPr>
        <w:jc w:val="both"/>
        <w:ind w:left="1066" w:hanging="346"/>
        <w:spacing w:after="0" w:line="242" w:lineRule="auto"/>
        <w:tabs>
          <w:tab w:leader="none" w:pos="1066" w:val="left"/>
        </w:tabs>
        <w:numPr>
          <w:ilvl w:val="2"/>
          <w:numId w:val="115"/>
        </w:numPr>
        <w:rPr>
          <w:rFonts w:ascii="Arial" w:cs="Arial" w:eastAsia="Arial" w:hAnsi="Arial"/>
          <w:sz w:val="18"/>
          <w:szCs w:val="18"/>
          <w:color w:val="auto"/>
        </w:rPr>
      </w:pPr>
      <w:r>
        <w:rPr>
          <w:rFonts w:ascii="Arial" w:cs="Arial" w:eastAsia="Arial" w:hAnsi="Arial"/>
          <w:sz w:val="18"/>
          <w:szCs w:val="18"/>
          <w:i w:val="1"/>
          <w:iCs w:val="1"/>
          <w:color w:val="auto"/>
        </w:rPr>
        <w:t xml:space="preserve">Options and SARs. </w:t>
      </w:r>
      <w:r>
        <w:rPr>
          <w:rFonts w:ascii="Arial" w:cs="Arial" w:eastAsia="Arial" w:hAnsi="Arial"/>
          <w:sz w:val="18"/>
          <w:szCs w:val="18"/>
          <w:color w:val="auto"/>
        </w:rPr>
        <w:t>Any vested, unexercised portion of an Option or SAR at the time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shall be forfeited in its entirety if not exercised by the Participant within three (3) months of the date of termination of employment. Any portion of such partially vested Option or SAR that is not vested at the time of termination shall be forfeited. Any outstanding Option or SAR granted to a Participant terminating employment other than for death, Disability or Retirement, for which no vesting has occurred at the time of the termination shall be forfeited on the date of termination.</w:t>
      </w:r>
    </w:p>
    <w:p>
      <w:pPr>
        <w:spacing w:after="0" w:line="151" w:lineRule="exact"/>
        <w:rPr>
          <w:rFonts w:ascii="Arial" w:cs="Arial" w:eastAsia="Arial" w:hAnsi="Arial"/>
          <w:sz w:val="18"/>
          <w:szCs w:val="18"/>
          <w:color w:val="auto"/>
        </w:rPr>
      </w:pPr>
    </w:p>
    <w:p>
      <w:pPr>
        <w:jc w:val="both"/>
        <w:ind w:left="1066" w:hanging="346"/>
        <w:spacing w:after="0" w:line="253" w:lineRule="auto"/>
        <w:tabs>
          <w:tab w:leader="none" w:pos="1066" w:val="left"/>
        </w:tabs>
        <w:numPr>
          <w:ilvl w:val="2"/>
          <w:numId w:val="115"/>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and Stock Units. </w:t>
      </w:r>
      <w:r>
        <w:rPr>
          <w:rFonts w:ascii="Arial" w:cs="Arial" w:eastAsia="Arial" w:hAnsi="Arial"/>
          <w:sz w:val="18"/>
          <w:szCs w:val="18"/>
          <w:color w:val="auto"/>
        </w:rPr>
        <w:t>All unvested Restricted Stock and Stock Units, or any unvested</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thereof, still subject to restrictions shall be forfeited upon termination of employment and reacquired by the Company.</w:t>
      </w:r>
    </w:p>
    <w:p>
      <w:pPr>
        <w:spacing w:after="0" w:line="128" w:lineRule="exact"/>
        <w:rPr>
          <w:rFonts w:ascii="Arial" w:cs="Arial" w:eastAsia="Arial" w:hAnsi="Arial"/>
          <w:sz w:val="18"/>
          <w:szCs w:val="18"/>
          <w:color w:val="auto"/>
        </w:rPr>
      </w:pPr>
    </w:p>
    <w:p>
      <w:pPr>
        <w:ind w:left="1066" w:hanging="346"/>
        <w:spacing w:after="0" w:line="271" w:lineRule="auto"/>
        <w:tabs>
          <w:tab w:leader="none" w:pos="1066" w:val="left"/>
        </w:tabs>
        <w:numPr>
          <w:ilvl w:val="2"/>
          <w:numId w:val="115"/>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and Other Stock-Based Awards. </w:t>
      </w:r>
      <w:r>
        <w:rPr>
          <w:rFonts w:ascii="Arial" w:cs="Arial" w:eastAsia="Arial" w:hAnsi="Arial"/>
          <w:sz w:val="18"/>
          <w:szCs w:val="18"/>
          <w:color w:val="auto"/>
        </w:rPr>
        <w:t>Any Dividend Equivalents or unvested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of Other Stock- Based Awards made hereunder shall be forfeited upon termination of employment.</w:t>
      </w:r>
    </w:p>
    <w:p>
      <w:pPr>
        <w:spacing w:after="0" w:line="115" w:lineRule="exact"/>
        <w:rPr>
          <w:rFonts w:ascii="Arial" w:cs="Arial" w:eastAsia="Arial" w:hAnsi="Arial"/>
          <w:sz w:val="18"/>
          <w:szCs w:val="18"/>
          <w:color w:val="auto"/>
        </w:rPr>
      </w:pPr>
    </w:p>
    <w:p>
      <w:pPr>
        <w:ind w:left="346" w:hanging="346"/>
        <w:spacing w:after="0"/>
        <w:tabs>
          <w:tab w:leader="none" w:pos="346" w:val="left"/>
        </w:tabs>
        <w:numPr>
          <w:ilvl w:val="0"/>
          <w:numId w:val="11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Forfeiture and Recoupment of Awards</w:t>
      </w:r>
    </w:p>
    <w:p>
      <w:pPr>
        <w:spacing w:after="0" w:line="182" w:lineRule="exact"/>
        <w:rPr>
          <w:rFonts w:ascii="Arial" w:cs="Arial" w:eastAsia="Arial" w:hAnsi="Arial"/>
          <w:sz w:val="18"/>
          <w:szCs w:val="18"/>
          <w:i w:val="1"/>
          <w:iCs w:val="1"/>
          <w:color w:val="auto"/>
        </w:rPr>
      </w:pPr>
    </w:p>
    <w:p>
      <w:pPr>
        <w:jc w:val="both"/>
        <w:ind w:left="706" w:hanging="346"/>
        <w:spacing w:after="0" w:line="237" w:lineRule="auto"/>
        <w:tabs>
          <w:tab w:leader="none" w:pos="70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Notwithstanding anything to the contrary herein, if at any time (including after a notice of exercise has been delivered) the Committee, including any subcommittee or administrator authorized pursuant to Section 3(c) (any such person, an “Authorized Officer”), reasonably believes that a Participant has engaged in Gross Misconduct as defined in this Section, the Authorized Officer may suspend the Participant’s right to exercise any Stock Option or SAR or receive Shares under any other Award pending a determination of whether the Participant has engaged in Gross Misconduct. If the Committee or an Authorized Officer determines a Participant has engaged in Gross Misconduct, as defined herein, (including any Participant who may otherwise qualify for Disability or Retirement status), the Participant shall forfeit all outstanding Awards, whether vested or unvested, as of the date such Gross Misconduct occurs. In addition, the Committee may specify in an Award Agreement that the Participant’s rights, payments, and benefits with respect to an Award shall be subject to recoupment upon the occurrence of Gross Misconduct. For purposes of the Plan, Gross Misconduct shall be defined to mean (1) the Participant’s conviction of a felony (or crime of similar magnitude in non-U.S. jurisdictions) in connection with the performance or non-performance of the Participant’s duties or (2) the Participant’s willful act or failure to act in a way that results in material injury to the business or reputation of the Company or employees of the Company. “Material injury” for this purpose means substantial and not inconsequential as determined by the Committee, or its delegate. For this purpose there is no intended similarity between “Material Injury” and the accounting or securities standard of “materiality.”</w:t>
      </w:r>
    </w:p>
    <w:p>
      <w:pPr>
        <w:spacing w:after="0" w:line="182"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120650</wp:posOffset>
            </wp:positionV>
            <wp:extent cx="699516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114" w:right="1379" w:bottom="1440" w:gutter="0" w:footer="0" w:header="0"/>
        </w:sectPr>
      </w:pPr>
    </w:p>
    <w:bookmarkStart w:id="122" w:name="page123"/>
    <w:bookmarkEnd w:id="122"/>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ANNEX D: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23" w:lineRule="exact"/>
        <w:rPr>
          <w:sz w:val="20"/>
          <w:szCs w:val="20"/>
          <w:color w:val="auto"/>
        </w:rPr>
      </w:pPr>
    </w:p>
    <w:p>
      <w:pPr>
        <w:jc w:val="both"/>
        <w:ind w:left="706" w:right="20" w:hanging="346"/>
        <w:spacing w:after="0" w:line="242" w:lineRule="auto"/>
        <w:tabs>
          <w:tab w:leader="none" w:pos="70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Committee, in its sole discretion, may forfeit any outstanding Award on account of a Participant’s violation of the terms of the Proprietary Interest Protection Agreement or similar agreement signed by the Participant which prohibits the Participant’s assignment of intellectual property, transmission of confidential information, competition or solicitation of employees or business. In addition, the Committee may specify in an Award Agreement that the Participant’s rights, payments, and benefits with respect to an Award shall be subject to recoupment upon such a violation.</w:t>
      </w:r>
    </w:p>
    <w:p>
      <w:pPr>
        <w:spacing w:after="0" w:line="151" w:lineRule="exact"/>
        <w:rPr>
          <w:rFonts w:ascii="Arial" w:cs="Arial" w:eastAsia="Arial" w:hAnsi="Arial"/>
          <w:sz w:val="18"/>
          <w:szCs w:val="18"/>
          <w:color w:val="auto"/>
        </w:rPr>
      </w:pPr>
    </w:p>
    <w:p>
      <w:pPr>
        <w:jc w:val="both"/>
        <w:ind w:left="346" w:hanging="346"/>
        <w:spacing w:after="0" w:line="253" w:lineRule="auto"/>
        <w:tabs>
          <w:tab w:leader="none" w:pos="346" w:val="left"/>
        </w:tabs>
        <w:numPr>
          <w:ilvl w:val="0"/>
          <w:numId w:val="118"/>
        </w:numPr>
        <w:rPr>
          <w:rFonts w:ascii="Arial" w:cs="Arial" w:eastAsia="Arial" w:hAnsi="Arial"/>
          <w:sz w:val="18"/>
          <w:szCs w:val="18"/>
          <w:color w:val="auto"/>
        </w:rPr>
      </w:pPr>
      <w:r>
        <w:rPr>
          <w:rFonts w:ascii="Arial" w:cs="Arial" w:eastAsia="Arial" w:hAnsi="Arial"/>
          <w:sz w:val="18"/>
          <w:szCs w:val="18"/>
          <w:i w:val="1"/>
          <w:iCs w:val="1"/>
          <w:u w:val="single" w:color="auto"/>
          <w:color w:val="auto"/>
        </w:rPr>
        <w:t>Deferral of Taxation.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may establish rules allowing employees receiving stock awards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to defer the incidence of taxation on the vesting of an award in accordance with the rules promulgated under the Code.</w:t>
      </w:r>
    </w:p>
    <w:p>
      <w:pPr>
        <w:spacing w:after="0" w:line="128" w:lineRule="exact"/>
        <w:rPr>
          <w:rFonts w:ascii="Arial" w:cs="Arial" w:eastAsia="Arial" w:hAnsi="Arial"/>
          <w:sz w:val="18"/>
          <w:szCs w:val="18"/>
          <w:color w:val="auto"/>
        </w:rPr>
      </w:pPr>
    </w:p>
    <w:p>
      <w:pPr>
        <w:jc w:val="both"/>
        <w:ind w:left="346" w:hanging="346"/>
        <w:spacing w:after="0" w:line="238" w:lineRule="auto"/>
        <w:tabs>
          <w:tab w:leader="none" w:pos="346" w:val="left"/>
        </w:tabs>
        <w:numPr>
          <w:ilvl w:val="0"/>
          <w:numId w:val="118"/>
        </w:numPr>
        <w:rPr>
          <w:rFonts w:ascii="Arial" w:cs="Arial" w:eastAsia="Arial" w:hAnsi="Arial"/>
          <w:sz w:val="18"/>
          <w:szCs w:val="18"/>
          <w:color w:val="auto"/>
        </w:rPr>
      </w:pPr>
      <w:r>
        <w:rPr>
          <w:rFonts w:ascii="Arial" w:cs="Arial" w:eastAsia="Arial" w:hAnsi="Arial"/>
          <w:sz w:val="18"/>
          <w:szCs w:val="18"/>
          <w:i w:val="1"/>
          <w:iCs w:val="1"/>
          <w:u w:val="single" w:color="auto"/>
          <w:color w:val="auto"/>
        </w:rPr>
        <w:t>Awards Subject to Clawback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All Awards and amounts payable under the Plan are additionally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terms of any applicable clawback policies approved by the Board or Committee, as in effect from time to time, whether approved before or after the date of grant of an Award (as applicable, a “Clawback Policy”). Further, to the extent permitted by applicable law, including without limitation Section 409A of the Code, all amounts payable under the Plan are subject to offset in the event that a Participant has an outstanding clawback, recoupment or forfeiture obligation to the Company under the terms of any applicable Clawback Policy. In the event of a clawback, recoupment or forfeiture event under an applicable Clawback Policy, the amount required to be clawed back, recouped or forfeited pursuant to such policy shall be deemed not to have been earned under the terms of the Plan, and the Company shall be entitled to recover from the Participant the amount specified under the Clawback Policy to be clawed back, recouped or forfeited. IN ACCEPTING AN AWARD UNDER THE PLAN, A PARTICIPANT EXPRESSLY AGREES TO APPLICATION OF ANY APPLICABLE CLAWBACK POLICY.</w:t>
      </w:r>
    </w:p>
    <w:p>
      <w:pPr>
        <w:spacing w:after="0" w:line="214"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72AF"/>
        </w:rPr>
        <w:t xml:space="preserve">Section 9. </w:t>
      </w:r>
      <w:r>
        <w:rPr>
          <w:rFonts w:ascii="Arial" w:cs="Arial" w:eastAsia="Arial" w:hAnsi="Arial"/>
          <w:sz w:val="22"/>
          <w:szCs w:val="22"/>
          <w:b w:val="1"/>
          <w:bCs w:val="1"/>
          <w:i w:val="1"/>
          <w:iCs w:val="1"/>
          <w:color w:val="0072AF"/>
        </w:rPr>
        <w:t>Amendment and Termination of Awards.</w:t>
      </w:r>
    </w:p>
    <w:p>
      <w:pPr>
        <w:spacing w:after="0" w:line="189" w:lineRule="exact"/>
        <w:rPr>
          <w:sz w:val="20"/>
          <w:szCs w:val="20"/>
          <w:color w:val="auto"/>
        </w:rPr>
      </w:pPr>
    </w:p>
    <w:p>
      <w:pPr>
        <w:ind w:left="6"/>
        <w:spacing w:after="0" w:line="271" w:lineRule="auto"/>
        <w:rPr>
          <w:sz w:val="20"/>
          <w:szCs w:val="20"/>
          <w:color w:val="auto"/>
        </w:rPr>
      </w:pPr>
      <w:r>
        <w:rPr>
          <w:rFonts w:ascii="Arial" w:cs="Arial" w:eastAsia="Arial" w:hAnsi="Arial"/>
          <w:sz w:val="18"/>
          <w:szCs w:val="18"/>
          <w:color w:val="auto"/>
        </w:rPr>
        <w:t>Except to the extent prohibited by applicable law and unless otherwise expressly provided in an Award Agreement or in the Plan, the following shall apply to all Awards.</w:t>
      </w:r>
    </w:p>
    <w:p>
      <w:pPr>
        <w:spacing w:after="0" w:line="113" w:lineRule="exact"/>
        <w:rPr>
          <w:sz w:val="20"/>
          <w:szCs w:val="20"/>
          <w:color w:val="auto"/>
        </w:rPr>
      </w:pPr>
    </w:p>
    <w:p>
      <w:pPr>
        <w:jc w:val="both"/>
        <w:ind w:left="346" w:hanging="346"/>
        <w:spacing w:after="0" w:line="237" w:lineRule="auto"/>
        <w:tabs>
          <w:tab w:leader="none" w:pos="346" w:val="left"/>
        </w:tabs>
        <w:numPr>
          <w:ilvl w:val="0"/>
          <w:numId w:val="119"/>
        </w:numPr>
        <w:rPr>
          <w:rFonts w:ascii="Arial" w:cs="Arial" w:eastAsia="Arial" w:hAnsi="Arial"/>
          <w:sz w:val="18"/>
          <w:szCs w:val="18"/>
          <w:color w:val="auto"/>
        </w:rPr>
      </w:pPr>
      <w:r>
        <w:rPr>
          <w:rFonts w:ascii="Arial" w:cs="Arial" w:eastAsia="Arial" w:hAnsi="Arial"/>
          <w:sz w:val="18"/>
          <w:szCs w:val="18"/>
          <w:i w:val="1"/>
          <w:iCs w:val="1"/>
          <w:u w:val="single" w:color="auto"/>
          <w:color w:val="auto"/>
        </w:rPr>
        <w:t>Amendments to Awards.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Section 11, the Committee may waive any conditions or rights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amend any terms of, or amend, alter, suspend, discontinue, cancel or terminate, any Award heretofore granted without the consent of any relevant Participant or holder or beneficiary of an Award. No such amendment, alteration, suspension, discontinuance, cancellation or termination may be made that would be adverse to the holder of such Award without such holder’s consent, provided that no such consent shall be required with respect to any amendment, alteration, suspension, discontinuance, cancellation or termination if the Committee determines in its sole discretion that such amendment, alteration, suspension, discontinuance, cancellation or termination either (i) is required or advisable in order for the Company, the Plan or the Award to satisfy or conform to any law or regulation or to meet the requirements of any accounting standard, or (ii) is not reasonably likely to significantly diminish the benefits provided under such Award, or that any such diminishment has been adequately compensated. Subject to the foregoing, the Committee shall not waive any condition or rights under, amend any terms or alter, suspend, discontinue, cancel or terminate any Award if such action would result in the imposition on the Award of the additional tax provided for under Section 409A of the Code.</w:t>
      </w:r>
    </w:p>
    <w:p>
      <w:pPr>
        <w:spacing w:after="0" w:line="148" w:lineRule="exact"/>
        <w:rPr>
          <w:rFonts w:ascii="Arial" w:cs="Arial" w:eastAsia="Arial" w:hAnsi="Arial"/>
          <w:sz w:val="18"/>
          <w:szCs w:val="18"/>
          <w:color w:val="auto"/>
        </w:rPr>
      </w:pPr>
    </w:p>
    <w:p>
      <w:pPr>
        <w:jc w:val="both"/>
        <w:ind w:left="346" w:hanging="346"/>
        <w:spacing w:after="0" w:line="247" w:lineRule="auto"/>
        <w:tabs>
          <w:tab w:leader="none" w:pos="346" w:val="left"/>
        </w:tabs>
        <w:numPr>
          <w:ilvl w:val="0"/>
          <w:numId w:val="119"/>
        </w:numPr>
        <w:rPr>
          <w:rFonts w:ascii="Arial" w:cs="Arial" w:eastAsia="Arial" w:hAnsi="Arial"/>
          <w:sz w:val="18"/>
          <w:szCs w:val="18"/>
          <w:color w:val="auto"/>
        </w:rPr>
      </w:pPr>
      <w:r>
        <w:rPr>
          <w:rFonts w:ascii="Arial" w:cs="Arial" w:eastAsia="Arial" w:hAnsi="Arial"/>
          <w:sz w:val="18"/>
          <w:szCs w:val="18"/>
          <w:i w:val="1"/>
          <w:iCs w:val="1"/>
          <w:u w:val="single" w:color="auto"/>
          <w:color w:val="auto"/>
        </w:rPr>
        <w:t>Adjustments of Awards Upon Certain Acquisitions</w:t>
      </w:r>
      <w:r>
        <w:rPr>
          <w:rFonts w:ascii="Arial" w:cs="Arial" w:eastAsia="Arial" w:hAnsi="Arial"/>
          <w:sz w:val="18"/>
          <w:szCs w:val="18"/>
          <w:color w:val="auto"/>
        </w:rPr>
        <w:t>. In the event the Company or an Affiliate shall issue</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Substitute Awards, the Committee may make such adjustments, not inconsistent with the terms of the Plan, in the terms of Awards as it shall deem appropriate in order to achieve reasonable comparability or other equitable relationship between the assumed Awards and the Substitute Awards granted under the Plan.</w:t>
      </w:r>
    </w:p>
    <w:p>
      <w:pPr>
        <w:spacing w:after="0" w:line="146" w:lineRule="exact"/>
        <w:rPr>
          <w:rFonts w:ascii="Arial" w:cs="Arial" w:eastAsia="Arial" w:hAnsi="Arial"/>
          <w:sz w:val="18"/>
          <w:szCs w:val="18"/>
          <w:color w:val="auto"/>
        </w:rPr>
      </w:pPr>
    </w:p>
    <w:p>
      <w:pPr>
        <w:jc w:val="both"/>
        <w:ind w:left="346" w:hanging="346"/>
        <w:spacing w:after="0" w:line="247" w:lineRule="auto"/>
        <w:tabs>
          <w:tab w:leader="none" w:pos="346" w:val="left"/>
        </w:tabs>
        <w:numPr>
          <w:ilvl w:val="0"/>
          <w:numId w:val="119"/>
        </w:numPr>
        <w:rPr>
          <w:rFonts w:ascii="Arial" w:cs="Arial" w:eastAsia="Arial" w:hAnsi="Arial"/>
          <w:sz w:val="18"/>
          <w:szCs w:val="18"/>
          <w:color w:val="auto"/>
        </w:rPr>
      </w:pPr>
      <w:r>
        <w:rPr>
          <w:rFonts w:ascii="Arial" w:cs="Arial" w:eastAsia="Arial" w:hAnsi="Arial"/>
          <w:sz w:val="18"/>
          <w:szCs w:val="18"/>
          <w:i w:val="1"/>
          <w:iCs w:val="1"/>
          <w:u w:val="single" w:color="auto"/>
          <w:color w:val="auto"/>
        </w:rPr>
        <w:t>Amendments</w:t>
      </w:r>
      <w:r>
        <w:rPr>
          <w:rFonts w:ascii="Arial" w:cs="Arial" w:eastAsia="Arial" w:hAnsi="Arial"/>
          <w:sz w:val="18"/>
          <w:szCs w:val="18"/>
          <w:color w:val="auto"/>
        </w:rPr>
        <w:t>. No amendment, modification or termination shall accelerate the payment date of any Award</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constituting nonqualified deferred compensation subject to the provisions of Section 409A of the Code, except to the extent permitted under Section 409A of the Code without the imposition of the additional tax provided for under Section 409A of the Code.</w:t>
      </w:r>
    </w:p>
    <w:p>
      <w:pPr>
        <w:spacing w:after="0" w:line="191"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72AF"/>
        </w:rPr>
        <w:t xml:space="preserve">Section 10. </w:t>
      </w:r>
      <w:r>
        <w:rPr>
          <w:rFonts w:ascii="Arial" w:cs="Arial" w:eastAsia="Arial" w:hAnsi="Arial"/>
          <w:sz w:val="22"/>
          <w:szCs w:val="22"/>
          <w:b w:val="1"/>
          <w:bCs w:val="1"/>
          <w:i w:val="1"/>
          <w:iCs w:val="1"/>
          <w:color w:val="0072AF"/>
        </w:rPr>
        <w:t>Acceleration Upon a Change of Control.</w:t>
      </w:r>
    </w:p>
    <w:p>
      <w:pPr>
        <w:spacing w:after="0" w:line="216" w:lineRule="exact"/>
        <w:rPr>
          <w:sz w:val="20"/>
          <w:szCs w:val="20"/>
          <w:color w:val="auto"/>
        </w:rPr>
      </w:pPr>
    </w:p>
    <w:p>
      <w:pPr>
        <w:ind w:left="6"/>
        <w:spacing w:after="0"/>
        <w:rPr>
          <w:sz w:val="20"/>
          <w:szCs w:val="20"/>
          <w:color w:val="auto"/>
        </w:rPr>
      </w:pPr>
      <w:r>
        <w:rPr>
          <w:rFonts w:ascii="Arial" w:cs="Arial" w:eastAsia="Arial" w:hAnsi="Arial"/>
          <w:sz w:val="18"/>
          <w:szCs w:val="18"/>
          <w:color w:val="auto"/>
        </w:rPr>
        <w:t>In the event of a Change of Control, the following shall apply:</w:t>
      </w:r>
    </w:p>
    <w:p>
      <w:pPr>
        <w:spacing w:after="0" w:line="171" w:lineRule="exact"/>
        <w:rPr>
          <w:sz w:val="20"/>
          <w:szCs w:val="20"/>
          <w:color w:val="auto"/>
        </w:rPr>
      </w:pPr>
    </w:p>
    <w:p>
      <w:pPr>
        <w:jc w:val="both"/>
        <w:ind w:left="346" w:right="20" w:hanging="346"/>
        <w:spacing w:after="0" w:line="247" w:lineRule="auto"/>
        <w:tabs>
          <w:tab w:leader="none" w:pos="346" w:val="left"/>
        </w:tabs>
        <w:numPr>
          <w:ilvl w:val="0"/>
          <w:numId w:val="120"/>
        </w:numPr>
        <w:rPr>
          <w:rFonts w:ascii="Arial" w:cs="Arial" w:eastAsia="Arial" w:hAnsi="Arial"/>
          <w:sz w:val="18"/>
          <w:szCs w:val="18"/>
          <w:color w:val="auto"/>
        </w:rPr>
      </w:pPr>
      <w:r>
        <w:rPr>
          <w:rFonts w:ascii="Arial" w:cs="Arial" w:eastAsia="Arial" w:hAnsi="Arial"/>
          <w:sz w:val="18"/>
          <w:szCs w:val="18"/>
          <w:i w:val="1"/>
          <w:iCs w:val="1"/>
          <w:u w:val="single" w:color="auto"/>
          <w:color w:val="auto"/>
        </w:rPr>
        <w:t>Effect on Awards.</w:t>
      </w:r>
      <w:r>
        <w:rPr>
          <w:rFonts w:ascii="Arial" w:cs="Arial" w:eastAsia="Arial" w:hAnsi="Arial"/>
          <w:sz w:val="18"/>
          <w:szCs w:val="18"/>
          <w:i w:val="1"/>
          <w:iCs w:val="1"/>
          <w:color w:val="auto"/>
        </w:rPr>
        <w:t xml:space="preserve"> </w:t>
      </w:r>
      <w:r>
        <w:rPr>
          <w:rFonts w:ascii="Arial" w:cs="Arial" w:eastAsia="Arial" w:hAnsi="Arial"/>
          <w:sz w:val="18"/>
          <w:szCs w:val="18"/>
          <w:color w:val="auto"/>
        </w:rPr>
        <w:t>If a Participant incurs a “Termination of Employment” on account of a Change of Control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Section 2 (hh), as amended from time to time) upon or within two years after a Change of Control, or if a Participant is terminated before a Change of Control at the request of a third party who has taken steps reasonably calculated to effect</w:t>
      </w:r>
    </w:p>
    <w:p>
      <w:pPr>
        <w:spacing w:after="0" w:line="174"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120650</wp:posOffset>
            </wp:positionV>
            <wp:extent cx="699516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72AF"/>
        </w:rPr>
        <w:t> ANNEX D: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8293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Change of Control and a Change of Control subsequently occurs, then upon the later to occur of such</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Termination of Employment or Change of Control (such later event, the “Triggering Event”):</w:t>
      </w:r>
    </w:p>
    <w:p>
      <w:pPr>
        <w:spacing w:after="0" w:line="167" w:lineRule="exact"/>
        <w:rPr>
          <w:sz w:val="20"/>
          <w:szCs w:val="20"/>
          <w:color w:val="auto"/>
        </w:rPr>
      </w:pPr>
    </w:p>
    <w:p>
      <w:pPr>
        <w:jc w:val="both"/>
        <w:ind w:left="700" w:hanging="346"/>
        <w:spacing w:after="0" w:line="239" w:lineRule="auto"/>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 xml:space="preserve">Options and SARs. </w:t>
      </w:r>
      <w:r>
        <w:rPr>
          <w:rFonts w:ascii="Arial" w:cs="Arial" w:eastAsia="Arial" w:hAnsi="Arial"/>
          <w:sz w:val="18"/>
          <w:szCs w:val="18"/>
          <w:color w:val="auto"/>
        </w:rPr>
        <w:t>All Options and SARs outstanding on the date of such Triggering Event shall become</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and fully exercisable without regard to any vesting schedule provided for in the Option or SAR and, to the extent the award is assumed by the acquirer, shall remain exercisable until the expiration of the option term. If Termination of Employment occurs after the Change of Control, but within two years of the Change of Control, all Options and SARs are vested upon the Change of Control and will become exercisable upon the earlier of the normal vesting date or upon Termination of Employment and will remain exercisable for the balance of the award term. If outstanding Option or SAR awards are not assumed by the acquirer, then the Options and SARs are exercisable upon the Change of Control if the Fair Market Value exceeds the exercise price.</w:t>
      </w:r>
    </w:p>
    <w:p>
      <w:pPr>
        <w:spacing w:after="0" w:line="142" w:lineRule="exact"/>
        <w:rPr>
          <w:rFonts w:ascii="Arial" w:cs="Arial" w:eastAsia="Arial" w:hAnsi="Arial"/>
          <w:sz w:val="18"/>
          <w:szCs w:val="18"/>
          <w:color w:val="auto"/>
        </w:rPr>
      </w:pPr>
    </w:p>
    <w:p>
      <w:pPr>
        <w:jc w:val="both"/>
        <w:ind w:left="700" w:hanging="346"/>
        <w:spacing w:after="0"/>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and Restricted Stock Units. </w:t>
      </w:r>
      <w:r>
        <w:rPr>
          <w:rFonts w:ascii="Arial" w:cs="Arial" w:eastAsia="Arial" w:hAnsi="Arial"/>
          <w:sz w:val="18"/>
          <w:szCs w:val="18"/>
          <w:color w:val="auto"/>
        </w:rPr>
        <w:t>On the date of such Triggering Event, all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any Restricted Stock or Restricted Stock Unit shall terminate and be deemed to be fully satisfied for the entire stated restricted period of any such Award, and the total number of underlying Shares shall become Released Securities. If Termination of Employment occurs after the Change of Control, but within two years of the Change of Control, or if outstanding Restricted Stock or Restricted Stock Units are not assumed by the acquirer, they will vest upon the Change of Control and will be converted into common stock at the earlier of normal vesting dates or Termination of Employment.</w:t>
      </w:r>
    </w:p>
    <w:p>
      <w:pPr>
        <w:spacing w:after="0" w:line="144" w:lineRule="exact"/>
        <w:rPr>
          <w:rFonts w:ascii="Arial" w:cs="Arial" w:eastAsia="Arial" w:hAnsi="Arial"/>
          <w:sz w:val="18"/>
          <w:szCs w:val="18"/>
          <w:color w:val="auto"/>
        </w:rPr>
      </w:pPr>
    </w:p>
    <w:p>
      <w:pPr>
        <w:jc w:val="both"/>
        <w:ind w:left="700" w:hanging="346"/>
        <w:spacing w:after="0"/>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On the date of such Triggering Event, the holder of any outstanding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shall be entitled to surrender such Award to the Company and to receive payment of an amount equal to the amount that would have been paid over the remaining term of the Dividend Equivalent, as determined by the Committee. If Termination of Employment occurs after the Change of Control, but within two years of the Change of Control, or if Dividend Equivalent Awards are not assumed by the acquirer, they will vest upon the Change of Control and will be paid at the earlier of normal vesting dates or Termination of Employment.</w:t>
      </w:r>
    </w:p>
    <w:p>
      <w:pPr>
        <w:spacing w:after="0" w:line="157" w:lineRule="exact"/>
        <w:rPr>
          <w:rFonts w:ascii="Arial" w:cs="Arial" w:eastAsia="Arial" w:hAnsi="Arial"/>
          <w:sz w:val="18"/>
          <w:szCs w:val="18"/>
          <w:color w:val="auto"/>
        </w:rPr>
      </w:pPr>
    </w:p>
    <w:p>
      <w:pPr>
        <w:jc w:val="both"/>
        <w:ind w:left="700" w:hanging="346"/>
        <w:spacing w:after="0" w:line="242" w:lineRule="auto"/>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Other Stock-Based Awards</w:t>
      </w:r>
      <w:r>
        <w:rPr>
          <w:rFonts w:ascii="Arial" w:cs="Arial" w:eastAsia="Arial" w:hAnsi="Arial"/>
          <w:sz w:val="18"/>
          <w:szCs w:val="18"/>
          <w:color w:val="auto"/>
        </w:rPr>
        <w:t>. On the date of such Triggering Event, all outstanding Other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Awards of whatever type shall become immediately vested and payable in an amount that assumes that the Awards were outstanding for the entire period stated therein, as determined by the Committee. If Termination of Employment occurs after the Change of Control, but within two years of the Change of Control, or if the Other Stock-Based Awards are not assumed by the acquirer, they will vest upon the Change of Control and will be paid at the earlier of normal vesting dates or Termination of Employment</w:t>
      </w:r>
    </w:p>
    <w:p>
      <w:pPr>
        <w:spacing w:after="0" w:line="138" w:lineRule="exact"/>
        <w:rPr>
          <w:rFonts w:ascii="Arial" w:cs="Arial" w:eastAsia="Arial" w:hAnsi="Arial"/>
          <w:sz w:val="18"/>
          <w:szCs w:val="18"/>
          <w:color w:val="auto"/>
        </w:rPr>
      </w:pPr>
    </w:p>
    <w:p>
      <w:pPr>
        <w:jc w:val="both"/>
        <w:ind w:left="700" w:hanging="346"/>
        <w:spacing w:after="0" w:line="239" w:lineRule="auto"/>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On the date of such Triggering Event, Performance Awards conditioned on</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Goals, including without limitation Stock Units, subject to achievement of performance goals for all performance periods, including those not yet completed, shall immediately become fully vested and shall be immediately payable or exercisable or released in common stock or cash, as the case may be, as if the Performance Goals had been fully achieved at target for the entire performance period. If Termination of Employment occurs after the Change of Control, but within two years of the Change of Control, or if the Performance Awards are not assumed by the acquirer, they will vest upon the Change of Control as if target performance for the entire performance period had been achieved and will be converted into common stock or paid in cash, as the case may be, at the earlier of normal vesting dates or Termination of Employment.</w:t>
      </w:r>
    </w:p>
    <w:p>
      <w:pPr>
        <w:spacing w:after="0" w:line="139" w:lineRule="exact"/>
        <w:rPr>
          <w:rFonts w:ascii="Arial" w:cs="Arial" w:eastAsia="Arial" w:hAnsi="Arial"/>
          <w:sz w:val="18"/>
          <w:szCs w:val="18"/>
          <w:color w:val="auto"/>
        </w:rPr>
      </w:pPr>
    </w:p>
    <w:p>
      <w:pPr>
        <w:jc w:val="both"/>
        <w:ind w:left="700" w:hanging="346"/>
        <w:spacing w:after="0" w:line="253" w:lineRule="auto"/>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Committee’s determination of amounts payable under this Section 10 shall be final. Except as otherwise provided in Section 10, any amounts due under this Section 10 shall be paid to Participants within 45 days after such Triggering Event.</w:t>
      </w:r>
    </w:p>
    <w:p>
      <w:pPr>
        <w:spacing w:after="0" w:line="141" w:lineRule="exact"/>
        <w:rPr>
          <w:rFonts w:ascii="Arial" w:cs="Arial" w:eastAsia="Arial" w:hAnsi="Arial"/>
          <w:sz w:val="18"/>
          <w:szCs w:val="18"/>
          <w:color w:val="auto"/>
        </w:rPr>
      </w:pPr>
    </w:p>
    <w:p>
      <w:pPr>
        <w:jc w:val="both"/>
        <w:ind w:left="700" w:hanging="346"/>
        <w:spacing w:after="0" w:line="244" w:lineRule="auto"/>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provisions of this Section 10 shall not be applicable to any Award granted to a Participant if the Change of Control results from such Participant’s beneficial ownership (within the meaning of Rule 13d-3 under the Securities and Exchange Act of 1934, as amended (the “Exchange Act”)) of Shares or other Company common stock or Company voting securities as a Participant in a transaction described in (b) below.</w:t>
      </w:r>
    </w:p>
    <w:p>
      <w:pPr>
        <w:spacing w:after="0" w:line="135" w:lineRule="exact"/>
        <w:rPr>
          <w:rFonts w:ascii="Arial" w:cs="Arial" w:eastAsia="Arial" w:hAnsi="Arial"/>
          <w:sz w:val="18"/>
          <w:szCs w:val="18"/>
          <w:color w:val="auto"/>
        </w:rPr>
      </w:pPr>
    </w:p>
    <w:p>
      <w:pPr>
        <w:jc w:val="both"/>
        <w:ind w:left="700" w:hanging="346"/>
        <w:spacing w:after="0" w:line="247" w:lineRule="auto"/>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the extent required to avoid any additional taxes or penalties under Section 409A of the Code, in the event of a resignation of a Participant on account of Good Reason (as defined in Section 2(hh) above), if the period during which a payment or benefit may be made by the Company falls within more than one calendar year, such payment or benefit shall be provided to the Participant in the later calendar year.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120650</wp:posOffset>
            </wp:positionV>
            <wp:extent cx="699516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124" w:name="page125"/>
    <w:bookmarkEnd w:id="124"/>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ANNEX D: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23" w:lineRule="exact"/>
        <w:rPr>
          <w:sz w:val="20"/>
          <w:szCs w:val="20"/>
          <w:color w:val="auto"/>
        </w:rPr>
      </w:pPr>
    </w:p>
    <w:p>
      <w:pPr>
        <w:jc w:val="both"/>
        <w:ind w:left="346" w:hanging="346"/>
        <w:spacing w:after="0" w:line="247" w:lineRule="auto"/>
        <w:tabs>
          <w:tab w:leader="none" w:pos="346"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Change of Control Defined. </w:t>
      </w:r>
      <w:r>
        <w:rPr>
          <w:rFonts w:ascii="Arial" w:cs="Arial" w:eastAsia="Arial" w:hAnsi="Arial"/>
          <w:sz w:val="18"/>
          <w:szCs w:val="18"/>
          <w:color w:val="auto"/>
        </w:rPr>
        <w:t>A “Change of Control” shall be deemed to have occurred as described in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2(e) (as amended from time to time). However, that, as to any Award under the Plan that consists of deferred compensation subject to Section 409A, the definition of “Change of Control” shall be deemed modified to the extent necessary to comply with Section 409A.</w:t>
      </w:r>
    </w:p>
    <w:p>
      <w:pPr>
        <w:spacing w:after="0" w:line="218"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72AF"/>
        </w:rPr>
        <w:t xml:space="preserve">Section 11. </w:t>
      </w:r>
      <w:r>
        <w:rPr>
          <w:rFonts w:ascii="Arial" w:cs="Arial" w:eastAsia="Arial" w:hAnsi="Arial"/>
          <w:sz w:val="22"/>
          <w:szCs w:val="22"/>
          <w:b w:val="1"/>
          <w:bCs w:val="1"/>
          <w:i w:val="1"/>
          <w:iCs w:val="1"/>
          <w:color w:val="0072AF"/>
        </w:rPr>
        <w:t>Amendment or Termination of the Plan.</w:t>
      </w:r>
    </w:p>
    <w:p>
      <w:pPr>
        <w:spacing w:after="0" w:line="175" w:lineRule="exact"/>
        <w:rPr>
          <w:sz w:val="20"/>
          <w:szCs w:val="20"/>
          <w:color w:val="auto"/>
        </w:rPr>
      </w:pPr>
    </w:p>
    <w:p>
      <w:pPr>
        <w:jc w:val="both"/>
        <w:ind w:left="6"/>
        <w:spacing w:after="0" w:line="239" w:lineRule="auto"/>
        <w:rPr>
          <w:sz w:val="20"/>
          <w:szCs w:val="20"/>
          <w:color w:val="auto"/>
        </w:rPr>
      </w:pPr>
      <w:r>
        <w:rPr>
          <w:rFonts w:ascii="Arial" w:cs="Arial" w:eastAsia="Arial" w:hAnsi="Arial"/>
          <w:sz w:val="18"/>
          <w:szCs w:val="18"/>
          <w:color w:val="auto"/>
        </w:rPr>
        <w:t>Except to the extent limited under Section 15 herein, prohibited by applicable law or otherwise expressly provided in an Award Agreement or in the Plan, the Board of Directors may amend, alter, suspend, discontinue, or terminate the Plan, including without limitation any such action to correct any defect, supply any omission, clarify any ambiguity or reconcile any inconsistency in the Plan, without the consent of any stockholder, Participant, other holder or beneficiary of an Award, or Person; provided that any such amendment, alteration, suspension, discontinuation, or termination that would impair the rights of any Participant, or any other holder or beneficiary of any Award heretofore granted shall not be effective without the approval of the affected Participant(s); and provided further, that, notwithstanding any other provision of the Plan or any Award Agreement, without the approval of the stockholders of the Company no such amendment, alteration, suspension, discontinuation or termination shall be made that would:</w:t>
      </w:r>
    </w:p>
    <w:p>
      <w:pPr>
        <w:spacing w:after="0" w:line="139" w:lineRule="exact"/>
        <w:rPr>
          <w:sz w:val="20"/>
          <w:szCs w:val="20"/>
          <w:color w:val="auto"/>
        </w:rPr>
      </w:pPr>
    </w:p>
    <w:p>
      <w:pPr>
        <w:ind w:left="346" w:right="500" w:hanging="346"/>
        <w:spacing w:after="0" w:line="271" w:lineRule="auto"/>
        <w:tabs>
          <w:tab w:leader="none" w:pos="3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increase the total number of Shares available for Awards under the Plan, except as provided in Section 4 hereof;</w:t>
      </w:r>
    </w:p>
    <w:p>
      <w:pPr>
        <w:spacing w:after="0" w:line="126" w:lineRule="exact"/>
        <w:rPr>
          <w:rFonts w:ascii="Arial" w:cs="Arial" w:eastAsia="Arial" w:hAnsi="Arial"/>
          <w:sz w:val="18"/>
          <w:szCs w:val="18"/>
          <w:color w:val="auto"/>
        </w:rPr>
      </w:pPr>
    </w:p>
    <w:p>
      <w:pPr>
        <w:ind w:left="346" w:right="20" w:hanging="346"/>
        <w:spacing w:after="0" w:line="271" w:lineRule="auto"/>
        <w:tabs>
          <w:tab w:leader="none" w:pos="3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reduce the price at which Options or Stock Appreciation Rights may be granted below the price provided for in Section 7(a)(i);</w:t>
      </w:r>
    </w:p>
    <w:p>
      <w:pPr>
        <w:spacing w:after="0" w:line="113" w:lineRule="exact"/>
        <w:rPr>
          <w:rFonts w:ascii="Arial" w:cs="Arial" w:eastAsia="Arial" w:hAnsi="Arial"/>
          <w:sz w:val="18"/>
          <w:szCs w:val="18"/>
          <w:color w:val="auto"/>
        </w:rPr>
      </w:pPr>
    </w:p>
    <w:p>
      <w:pPr>
        <w:ind w:left="346" w:hanging="346"/>
        <w:spacing w:after="0"/>
        <w:tabs>
          <w:tab w:leader="none" w:pos="3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reduce the exercise price of outstanding Options or Stock Appreciation Rights;</w:t>
      </w:r>
    </w:p>
    <w:p>
      <w:pPr>
        <w:spacing w:after="0" w:line="171" w:lineRule="exact"/>
        <w:rPr>
          <w:rFonts w:ascii="Arial" w:cs="Arial" w:eastAsia="Arial" w:hAnsi="Arial"/>
          <w:sz w:val="18"/>
          <w:szCs w:val="18"/>
          <w:color w:val="auto"/>
        </w:rPr>
      </w:pPr>
    </w:p>
    <w:p>
      <w:pPr>
        <w:ind w:left="346" w:hanging="346"/>
        <w:spacing w:after="0"/>
        <w:tabs>
          <w:tab w:leader="none" w:pos="3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extend the term of this Plan;</w:t>
      </w:r>
    </w:p>
    <w:p>
      <w:pPr>
        <w:spacing w:after="0" w:line="184" w:lineRule="exact"/>
        <w:rPr>
          <w:rFonts w:ascii="Arial" w:cs="Arial" w:eastAsia="Arial" w:hAnsi="Arial"/>
          <w:sz w:val="18"/>
          <w:szCs w:val="18"/>
          <w:color w:val="auto"/>
        </w:rPr>
      </w:pPr>
    </w:p>
    <w:p>
      <w:pPr>
        <w:ind w:left="346" w:hanging="346"/>
        <w:spacing w:after="0"/>
        <w:tabs>
          <w:tab w:leader="none" w:pos="3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change the class of persons eligible to be Participants; or</w:t>
      </w:r>
    </w:p>
    <w:p>
      <w:pPr>
        <w:spacing w:after="0" w:line="171" w:lineRule="exact"/>
        <w:rPr>
          <w:rFonts w:ascii="Arial" w:cs="Arial" w:eastAsia="Arial" w:hAnsi="Arial"/>
          <w:sz w:val="18"/>
          <w:szCs w:val="18"/>
          <w:color w:val="auto"/>
        </w:rPr>
      </w:pPr>
    </w:p>
    <w:p>
      <w:pPr>
        <w:ind w:left="346" w:hanging="346"/>
        <w:spacing w:after="0" w:line="271" w:lineRule="auto"/>
        <w:tabs>
          <w:tab w:leader="none" w:pos="3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otherwise amend the Plan in any manner requiring stockholder approval by law or under the New York Stock Exchange listing requirements.</w:t>
      </w:r>
    </w:p>
    <w:p>
      <w:pPr>
        <w:spacing w:after="0" w:line="184"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72AF"/>
        </w:rPr>
        <w:t xml:space="preserve">Section 12. </w:t>
      </w:r>
      <w:r>
        <w:rPr>
          <w:rFonts w:ascii="Arial" w:cs="Arial" w:eastAsia="Arial" w:hAnsi="Arial"/>
          <w:sz w:val="22"/>
          <w:szCs w:val="22"/>
          <w:b w:val="1"/>
          <w:bCs w:val="1"/>
          <w:i w:val="1"/>
          <w:iCs w:val="1"/>
          <w:color w:val="0072AF"/>
        </w:rPr>
        <w:t>General Provisions.</w:t>
      </w:r>
    </w:p>
    <w:p>
      <w:pPr>
        <w:spacing w:after="0" w:line="175" w:lineRule="exact"/>
        <w:rPr>
          <w:sz w:val="20"/>
          <w:szCs w:val="20"/>
          <w:color w:val="auto"/>
        </w:rPr>
      </w:pPr>
    </w:p>
    <w:p>
      <w:pPr>
        <w:jc w:val="both"/>
        <w:ind w:left="346" w:hanging="346"/>
        <w:spacing w:after="0" w:line="237" w:lineRule="auto"/>
        <w:tabs>
          <w:tab w:leader="none" w:pos="346" w:val="left"/>
        </w:tabs>
        <w:numPr>
          <w:ilvl w:val="0"/>
          <w:numId w:val="124"/>
        </w:numPr>
        <w:rPr>
          <w:rFonts w:ascii="Arial" w:cs="Arial" w:eastAsia="Arial" w:hAnsi="Arial"/>
          <w:sz w:val="18"/>
          <w:szCs w:val="18"/>
          <w:color w:val="auto"/>
        </w:rPr>
      </w:pPr>
      <w:r>
        <w:rPr>
          <w:rFonts w:ascii="Arial" w:cs="Arial" w:eastAsia="Arial" w:hAnsi="Arial"/>
          <w:sz w:val="18"/>
          <w:szCs w:val="18"/>
          <w:i w:val="1"/>
          <w:iCs w:val="1"/>
          <w:u w:val="single" w:color="auto"/>
          <w:color w:val="auto"/>
        </w:rPr>
        <w:t>Conditions and Restrictions Upon Securities Subject to Awards.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may provide that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upon exercise of an Option or Stock Appreciation Right or otherwise subject to or issued under an Award shall be subject to such further agreements, restrictions, conditions or limitations as the Committee in its discretion may specify prior to the exercise of such Option or Stock Appreciation Right or the grant, vesting or settlement of such Award, including without limitation, conditions on vesting or transferability, forfeiture or repurchase provisions and method of payment for the Shares issued upon exercise, vesting or settlement of such Award (including the actual or constructive surrender of Shares already owned by the Participant) or payment of taxes arising in connection with an Award. Without limiting the foregoing, such restrictions may address the timing and manner of any resales by the Participant or other subsequent transfers by the Participant of any Shares issued under an Award, including without limitation, (i) restrictions under an insider trading policy or pursuant to applicable law, (ii) restrictions designed to delay and/or coordinate the timing and manner of sales by Participant and holders of other Company equity compensation arrangements, (iii) restrictions as to the use of a specified brokerage firm for such resales or other transfers and (iv) provisions requiring Shares to be sold on the open market or to the Company in order to satisfy tax withholding or other obligations.</w:t>
      </w:r>
    </w:p>
    <w:p>
      <w:pPr>
        <w:spacing w:after="0" w:line="147" w:lineRule="exact"/>
        <w:rPr>
          <w:rFonts w:ascii="Arial" w:cs="Arial" w:eastAsia="Arial" w:hAnsi="Arial"/>
          <w:sz w:val="18"/>
          <w:szCs w:val="18"/>
          <w:color w:val="auto"/>
        </w:rPr>
      </w:pPr>
    </w:p>
    <w:p>
      <w:pPr>
        <w:jc w:val="both"/>
        <w:ind w:left="346" w:hanging="346"/>
        <w:spacing w:after="0" w:line="238" w:lineRule="auto"/>
        <w:tabs>
          <w:tab w:leader="none" w:pos="346" w:val="left"/>
        </w:tabs>
        <w:numPr>
          <w:ilvl w:val="0"/>
          <w:numId w:val="124"/>
        </w:numPr>
        <w:rPr>
          <w:rFonts w:ascii="Arial" w:cs="Arial" w:eastAsia="Arial" w:hAnsi="Arial"/>
          <w:sz w:val="18"/>
          <w:szCs w:val="18"/>
          <w:color w:val="auto"/>
        </w:rPr>
      </w:pPr>
      <w:r>
        <w:rPr>
          <w:rFonts w:ascii="Arial" w:cs="Arial" w:eastAsia="Arial" w:hAnsi="Arial"/>
          <w:sz w:val="18"/>
          <w:szCs w:val="18"/>
          <w:i w:val="1"/>
          <w:iCs w:val="1"/>
          <w:u w:val="single" w:color="auto"/>
          <w:color w:val="auto"/>
        </w:rPr>
        <w:t>Compliance with Laws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This Plan, the grant, issuance, vesting, exercise and settlement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thereunder, and the obligation of the Company to sell, issue or deliver Shares under such Awards, shall be subject to all applicable Federal, state, local and foreign laws, rules and regulations, stock exchange rules and regulations, and to such approvals by any governmental or regulatory agency as may be required. The Company shall not be required to register in a Participant’s name or deliver any Shares prior to the completion of any registration or qualification of such shares under any Federal, state, local or foreign law or any ruling or regulation of any government body which the Committee shall determine to be necessary or advisable. To the extent the Company is unable to or the Committee deems it not appropriate or infeasible to obtain authorization from any regulatory body having jurisdiction, which authorization is deemed by the Company’s counsel to be necessary to the lawful issuance and sale of any Shares hereunder, or otherwise to satisfy the legal requirements in an applicable jurisdiction in a manner consistent with the</w:t>
      </w:r>
    </w:p>
    <w:p>
      <w:pPr>
        <w:spacing w:after="0" w:line="186"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128905</wp:posOffset>
            </wp:positionV>
            <wp:extent cx="699516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25" w:name="page126"/>
    <w:bookmarkEnd w:id="125"/>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ANNEX D: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23" w:lineRule="exact"/>
        <w:rPr>
          <w:sz w:val="20"/>
          <w:szCs w:val="20"/>
          <w:color w:val="auto"/>
        </w:rPr>
      </w:pPr>
    </w:p>
    <w:p>
      <w:pPr>
        <w:jc w:val="both"/>
        <w:ind w:left="366"/>
        <w:spacing w:after="0" w:line="242" w:lineRule="auto"/>
        <w:rPr>
          <w:sz w:val="20"/>
          <w:szCs w:val="20"/>
          <w:color w:val="auto"/>
        </w:rPr>
      </w:pPr>
      <w:r>
        <w:rPr>
          <w:rFonts w:ascii="Arial" w:cs="Arial" w:eastAsia="Arial" w:hAnsi="Arial"/>
          <w:sz w:val="18"/>
          <w:szCs w:val="18"/>
          <w:color w:val="auto"/>
        </w:rPr>
        <w:t>intention of the Plan or any Award under the Plan, the Company and its Subsidiaries shall be relieved of any liability with respect to the failure to issue or sell such Shares as to which such requisite authority shall not have been obtained. No Option or stock-settled Stock Appreciation Rights shall be exercisable and no Shares shall be issued and/or transferable under any other Award unless a registration statement with respect to the Shares underlying such Option or Stock Appreciation Rights is effective and current or the Company has determined that such registration is unnecessary.</w:t>
      </w:r>
    </w:p>
    <w:p>
      <w:pPr>
        <w:spacing w:after="0" w:line="152" w:lineRule="exact"/>
        <w:rPr>
          <w:sz w:val="20"/>
          <w:szCs w:val="20"/>
          <w:color w:val="auto"/>
        </w:rPr>
      </w:pPr>
    </w:p>
    <w:p>
      <w:pPr>
        <w:jc w:val="both"/>
        <w:ind w:left="346" w:hanging="346"/>
        <w:spacing w:after="0" w:line="247" w:lineRule="auto"/>
        <w:tabs>
          <w:tab w:leader="none" w:pos="346" w:val="left"/>
        </w:tabs>
        <w:numPr>
          <w:ilvl w:val="0"/>
          <w:numId w:val="125"/>
        </w:numPr>
        <w:rPr>
          <w:rFonts w:ascii="Arial" w:cs="Arial" w:eastAsia="Arial" w:hAnsi="Arial"/>
          <w:sz w:val="18"/>
          <w:szCs w:val="18"/>
          <w:color w:val="auto"/>
        </w:rPr>
      </w:pPr>
      <w:r>
        <w:rPr>
          <w:rFonts w:ascii="Arial" w:cs="Arial" w:eastAsia="Arial" w:hAnsi="Arial"/>
          <w:sz w:val="18"/>
          <w:szCs w:val="18"/>
          <w:i w:val="1"/>
          <w:iCs w:val="1"/>
          <w:u w:val="single" w:color="auto"/>
          <w:color w:val="auto"/>
        </w:rPr>
        <w:t>No Rights to Awards.</w:t>
      </w:r>
      <w:r>
        <w:rPr>
          <w:rFonts w:ascii="Arial" w:cs="Arial" w:eastAsia="Arial" w:hAnsi="Arial"/>
          <w:sz w:val="18"/>
          <w:szCs w:val="18"/>
          <w:i w:val="1"/>
          <w:iCs w:val="1"/>
          <w:color w:val="auto"/>
        </w:rPr>
        <w:t xml:space="preserve"> </w:t>
      </w:r>
      <w:r>
        <w:rPr>
          <w:rFonts w:ascii="Arial" w:cs="Arial" w:eastAsia="Arial" w:hAnsi="Arial"/>
          <w:sz w:val="18"/>
          <w:szCs w:val="18"/>
          <w:color w:val="auto"/>
        </w:rPr>
        <w:t>No Employee, Participant or other Person shall have any claim to be granted any Award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and there is no obligation for uniformity of treatment of Employees, Participants, or holders or beneficiaries of Awards under the Plan. The terms and conditions of Awards need not be the same with respect to each Participant.</w:t>
      </w:r>
    </w:p>
    <w:p>
      <w:pPr>
        <w:spacing w:after="0" w:line="133" w:lineRule="exact"/>
        <w:rPr>
          <w:rFonts w:ascii="Arial" w:cs="Arial" w:eastAsia="Arial" w:hAnsi="Arial"/>
          <w:sz w:val="18"/>
          <w:szCs w:val="18"/>
          <w:color w:val="auto"/>
        </w:rPr>
      </w:pPr>
    </w:p>
    <w:p>
      <w:pPr>
        <w:jc w:val="both"/>
        <w:ind w:left="346" w:hanging="346"/>
        <w:spacing w:after="0" w:line="253" w:lineRule="auto"/>
        <w:tabs>
          <w:tab w:leader="none" w:pos="346" w:val="left"/>
        </w:tabs>
        <w:numPr>
          <w:ilvl w:val="0"/>
          <w:numId w:val="125"/>
        </w:numPr>
        <w:rPr>
          <w:rFonts w:ascii="Arial" w:cs="Arial" w:eastAsia="Arial" w:hAnsi="Arial"/>
          <w:sz w:val="18"/>
          <w:szCs w:val="18"/>
          <w:color w:val="auto"/>
        </w:rPr>
      </w:pPr>
      <w:r>
        <w:rPr>
          <w:rFonts w:ascii="Arial" w:cs="Arial" w:eastAsia="Arial" w:hAnsi="Arial"/>
          <w:sz w:val="18"/>
          <w:szCs w:val="18"/>
          <w:i w:val="1"/>
          <w:iCs w:val="1"/>
          <w:u w:val="single" w:color="auto"/>
          <w:color w:val="auto"/>
        </w:rPr>
        <w:t>No Limit on Other Compensation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Nothing contained in the Plan shall prevent the Company or</w:t>
      </w:r>
      <w:r>
        <w:rPr>
          <w:rFonts w:ascii="Arial" w:cs="Arial" w:eastAsia="Arial" w:hAnsi="Arial"/>
          <w:sz w:val="18"/>
          <w:szCs w:val="18"/>
          <w:i w:val="1"/>
          <w:iCs w:val="1"/>
          <w:color w:val="auto"/>
        </w:rPr>
        <w:t xml:space="preserve"> </w:t>
      </w:r>
      <w:r>
        <w:rPr>
          <w:rFonts w:ascii="Arial" w:cs="Arial" w:eastAsia="Arial" w:hAnsi="Arial"/>
          <w:sz w:val="18"/>
          <w:szCs w:val="18"/>
          <w:color w:val="auto"/>
        </w:rPr>
        <w:t>any Affiliate from adopting or continuing in effect other or additional compensation arrangements and such arrangements may be either generally applicable or applicable only in specific cases.</w:t>
      </w:r>
    </w:p>
    <w:p>
      <w:pPr>
        <w:spacing w:after="0" w:line="128" w:lineRule="exact"/>
        <w:rPr>
          <w:rFonts w:ascii="Arial" w:cs="Arial" w:eastAsia="Arial" w:hAnsi="Arial"/>
          <w:sz w:val="18"/>
          <w:szCs w:val="18"/>
          <w:color w:val="auto"/>
        </w:rPr>
      </w:pPr>
    </w:p>
    <w:p>
      <w:pPr>
        <w:jc w:val="both"/>
        <w:ind w:left="346" w:hanging="346"/>
        <w:spacing w:after="0" w:line="247" w:lineRule="auto"/>
        <w:tabs>
          <w:tab w:leader="none" w:pos="346" w:val="left"/>
        </w:tabs>
        <w:numPr>
          <w:ilvl w:val="0"/>
          <w:numId w:val="125"/>
        </w:numPr>
        <w:rPr>
          <w:rFonts w:ascii="Arial" w:cs="Arial" w:eastAsia="Arial" w:hAnsi="Arial"/>
          <w:sz w:val="18"/>
          <w:szCs w:val="18"/>
          <w:color w:val="auto"/>
        </w:rPr>
      </w:pPr>
      <w:r>
        <w:rPr>
          <w:rFonts w:ascii="Arial" w:cs="Arial" w:eastAsia="Arial" w:hAnsi="Arial"/>
          <w:sz w:val="18"/>
          <w:szCs w:val="18"/>
          <w:i w:val="1"/>
          <w:iCs w:val="1"/>
          <w:u w:val="single" w:color="auto"/>
          <w:color w:val="auto"/>
        </w:rPr>
        <w:t>No Right to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of an Award shall not be construed as giving a Participant the right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retained in the employ of the Company or any Affiliate. Further, the Company or an Affiliate may at any time dismiss a Participant from employment, free from any liability or any claim under the Plan, unless otherwise expressly provided in the Plan or in any Award Agreement.</w:t>
      </w:r>
    </w:p>
    <w:p>
      <w:pPr>
        <w:spacing w:after="0" w:line="146" w:lineRule="exact"/>
        <w:rPr>
          <w:rFonts w:ascii="Arial" w:cs="Arial" w:eastAsia="Arial" w:hAnsi="Arial"/>
          <w:sz w:val="18"/>
          <w:szCs w:val="18"/>
          <w:color w:val="auto"/>
        </w:rPr>
      </w:pPr>
    </w:p>
    <w:p>
      <w:pPr>
        <w:jc w:val="both"/>
        <w:ind w:left="346" w:hanging="346"/>
        <w:spacing w:after="0" w:line="238" w:lineRule="auto"/>
        <w:tabs>
          <w:tab w:leader="none" w:pos="346" w:val="left"/>
        </w:tabs>
        <w:numPr>
          <w:ilvl w:val="0"/>
          <w:numId w:val="125"/>
        </w:numPr>
        <w:rPr>
          <w:rFonts w:ascii="Arial" w:cs="Arial" w:eastAsia="Arial" w:hAnsi="Arial"/>
          <w:sz w:val="18"/>
          <w:szCs w:val="18"/>
          <w:color w:val="auto"/>
        </w:rPr>
      </w:pPr>
      <w:r>
        <w:rPr>
          <w:rFonts w:ascii="Arial" w:cs="Arial" w:eastAsia="Arial" w:hAnsi="Arial"/>
          <w:sz w:val="18"/>
          <w:szCs w:val="18"/>
          <w:i w:val="1"/>
          <w:iCs w:val="1"/>
          <w:u w:val="single" w:color="auto"/>
          <w:color w:val="auto"/>
        </w:rPr>
        <w:t>Withholding.</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required by applicable Federal, state, local or foreign law, a Participant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Participant to whom an Award that has been transferred was originally granted) or in the case of the Participant’s death, the Participant’s estate or beneficiary, shall be required to satisfy, in a manner satisfactory to the Company, any withholding tax obligations that arise by reason of an Option or Stock Appreciation Right exercise, disposition of Shares issued under an Incentive Stock Option, the vesting of or settlement of an Award, an election pursuant to Section 83(b) of the Code or otherwise with respect to an Award. The Company and its Affiliates shall not be required to issue Shares, make any payment or to recognize the transfer or disposition of Shares until such obligations are satisfied. The Company or any Affiliate may withhold from any Award granted or any payment due or transfer made under any Award or under the Plan the amount (in cash, Shares, other securities, other Awards, or other property) of withholding Federal, state or local taxes due in respect of an Award, but no more than the minimum tax withholding required to comply with such law, its exercise, or any payment or transfer under such Award or under the Plan and to take such other action as may be necessary in the opinion of the Company or Affiliate to satisfy all obligations for the payment of such taxes.</w:t>
      </w:r>
    </w:p>
    <w:p>
      <w:pPr>
        <w:spacing w:after="0" w:line="139" w:lineRule="exact"/>
        <w:rPr>
          <w:rFonts w:ascii="Arial" w:cs="Arial" w:eastAsia="Arial" w:hAnsi="Arial"/>
          <w:sz w:val="18"/>
          <w:szCs w:val="18"/>
          <w:color w:val="auto"/>
        </w:rPr>
      </w:pPr>
    </w:p>
    <w:p>
      <w:pPr>
        <w:ind w:left="346" w:right="20" w:hanging="346"/>
        <w:spacing w:after="0" w:line="271" w:lineRule="auto"/>
        <w:tabs>
          <w:tab w:leader="none" w:pos="346" w:val="left"/>
        </w:tabs>
        <w:numPr>
          <w:ilvl w:val="0"/>
          <w:numId w:val="125"/>
        </w:numPr>
        <w:rPr>
          <w:rFonts w:ascii="Arial" w:cs="Arial" w:eastAsia="Arial" w:hAnsi="Arial"/>
          <w:sz w:val="18"/>
          <w:szCs w:val="18"/>
          <w:color w:val="auto"/>
        </w:rPr>
      </w:pPr>
      <w:r>
        <w:rPr>
          <w:rFonts w:ascii="Arial" w:cs="Arial" w:eastAsia="Arial" w:hAnsi="Arial"/>
          <w:sz w:val="18"/>
          <w:szCs w:val="18"/>
          <w:i w:val="1"/>
          <w:iCs w:val="1"/>
          <w:u w:val="single" w:color="auto"/>
          <w:color w:val="auto"/>
        </w:rPr>
        <w:t>Governing Law.</w:t>
      </w:r>
      <w:r>
        <w:rPr>
          <w:rFonts w:ascii="Arial" w:cs="Arial" w:eastAsia="Arial" w:hAnsi="Arial"/>
          <w:sz w:val="18"/>
          <w:szCs w:val="18"/>
          <w:i w:val="1"/>
          <w:iCs w:val="1"/>
          <w:color w:val="auto"/>
        </w:rPr>
        <w:t xml:space="preserve"> </w:t>
      </w:r>
      <w:r>
        <w:rPr>
          <w:rFonts w:ascii="Arial" w:cs="Arial" w:eastAsia="Arial" w:hAnsi="Arial"/>
          <w:sz w:val="18"/>
          <w:szCs w:val="18"/>
          <w:color w:val="auto"/>
        </w:rPr>
        <w:t>The validity, construction, and effect of the Plan and any rules and regulations relating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shall be determined in accordance with the laws of the State of Delaware and applicable Federal law.</w:t>
      </w:r>
    </w:p>
    <w:p>
      <w:pPr>
        <w:spacing w:after="0" w:line="113" w:lineRule="exact"/>
        <w:rPr>
          <w:rFonts w:ascii="Arial" w:cs="Arial" w:eastAsia="Arial" w:hAnsi="Arial"/>
          <w:sz w:val="18"/>
          <w:szCs w:val="18"/>
          <w:color w:val="auto"/>
        </w:rPr>
      </w:pPr>
    </w:p>
    <w:p>
      <w:pPr>
        <w:jc w:val="both"/>
        <w:ind w:left="346" w:hanging="346"/>
        <w:spacing w:after="0"/>
        <w:tabs>
          <w:tab w:leader="none" w:pos="346" w:val="left"/>
        </w:tabs>
        <w:numPr>
          <w:ilvl w:val="0"/>
          <w:numId w:val="125"/>
        </w:numPr>
        <w:rPr>
          <w:rFonts w:ascii="Arial" w:cs="Arial" w:eastAsia="Arial" w:hAnsi="Arial"/>
          <w:sz w:val="18"/>
          <w:szCs w:val="18"/>
          <w:color w:val="auto"/>
        </w:rPr>
      </w:pPr>
      <w:r>
        <w:rPr>
          <w:rFonts w:ascii="Arial" w:cs="Arial" w:eastAsia="Arial" w:hAnsi="Arial"/>
          <w:sz w:val="18"/>
          <w:szCs w:val="18"/>
          <w:i w:val="1"/>
          <w:iCs w:val="1"/>
          <w:u w:val="single" w:color="auto"/>
          <w:color w:val="auto"/>
        </w:rPr>
        <w:t>Severability.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If any provision of the Plan or any Award is or becomes or is deemed to be invalid, illegal, or</w:t>
      </w:r>
      <w:r>
        <w:rPr>
          <w:rFonts w:ascii="Arial" w:cs="Arial" w:eastAsia="Arial" w:hAnsi="Arial"/>
          <w:sz w:val="18"/>
          <w:szCs w:val="18"/>
          <w:i w:val="1"/>
          <w:iCs w:val="1"/>
          <w:color w:val="auto"/>
        </w:rPr>
        <w:t xml:space="preserve"> </w:t>
      </w:r>
      <w:r>
        <w:rPr>
          <w:rFonts w:ascii="Arial" w:cs="Arial" w:eastAsia="Arial" w:hAnsi="Arial"/>
          <w:sz w:val="18"/>
          <w:szCs w:val="18"/>
          <w:color w:val="auto"/>
        </w:rPr>
        <w:t>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57" w:lineRule="exact"/>
        <w:rPr>
          <w:rFonts w:ascii="Arial" w:cs="Arial" w:eastAsia="Arial" w:hAnsi="Arial"/>
          <w:sz w:val="18"/>
          <w:szCs w:val="18"/>
          <w:color w:val="auto"/>
        </w:rPr>
      </w:pPr>
    </w:p>
    <w:p>
      <w:pPr>
        <w:jc w:val="both"/>
        <w:ind w:left="346" w:hanging="346"/>
        <w:spacing w:after="0" w:line="244" w:lineRule="auto"/>
        <w:tabs>
          <w:tab w:leader="none" w:pos="346" w:val="left"/>
        </w:tabs>
        <w:numPr>
          <w:ilvl w:val="0"/>
          <w:numId w:val="125"/>
        </w:numPr>
        <w:rPr>
          <w:rFonts w:ascii="Arial" w:cs="Arial" w:eastAsia="Arial" w:hAnsi="Arial"/>
          <w:sz w:val="18"/>
          <w:szCs w:val="18"/>
          <w:color w:val="auto"/>
        </w:rPr>
      </w:pPr>
      <w:r>
        <w:rPr>
          <w:rFonts w:ascii="Arial" w:cs="Arial" w:eastAsia="Arial" w:hAnsi="Arial"/>
          <w:sz w:val="18"/>
          <w:szCs w:val="18"/>
          <w:i w:val="1"/>
          <w:iCs w:val="1"/>
          <w:u w:val="single" w:color="auto"/>
          <w:color w:val="auto"/>
        </w:rPr>
        <w:t>No Trust or Fund Created.</w:t>
      </w:r>
      <w:r>
        <w:rPr>
          <w:rFonts w:ascii="Arial" w:cs="Arial" w:eastAsia="Arial" w:hAnsi="Arial"/>
          <w:sz w:val="18"/>
          <w:szCs w:val="18"/>
          <w:i w:val="1"/>
          <w:iCs w:val="1"/>
          <w:color w:val="auto"/>
        </w:rPr>
        <w:t xml:space="preserve"> </w:t>
      </w:r>
      <w:r>
        <w:rPr>
          <w:rFonts w:ascii="Arial" w:cs="Arial" w:eastAsia="Arial" w:hAnsi="Arial"/>
          <w:sz w:val="18"/>
          <w:szCs w:val="18"/>
          <w:color w:val="auto"/>
        </w:rPr>
        <w:t>Neither the Plan nor any Award shall create or be construed to create a trust or</w:t>
      </w:r>
      <w:r>
        <w:rPr>
          <w:rFonts w:ascii="Arial" w:cs="Arial" w:eastAsia="Arial" w:hAnsi="Arial"/>
          <w:sz w:val="18"/>
          <w:szCs w:val="18"/>
          <w:i w:val="1"/>
          <w:iCs w:val="1"/>
          <w:color w:val="auto"/>
        </w:rPr>
        <w:t xml:space="preserve"> </w:t>
      </w:r>
      <w:r>
        <w:rPr>
          <w:rFonts w:ascii="Arial" w:cs="Arial" w:eastAsia="Arial" w:hAnsi="Arial"/>
          <w:sz w:val="18"/>
          <w:szCs w:val="18"/>
          <w:color w:val="auto"/>
        </w:rPr>
        <w:t>separate fund of any kind or a fiduciary relationship between the Company or any Affiliate and a Participant or any other Person. To the extent that any Person acquires a right to receive payments from the Company or any Affiliate pursuant to an Award, such right shall be no greater than the right of any unsecured general creditor of the Company or any Affiliate.</w:t>
      </w:r>
    </w:p>
    <w:p>
      <w:pPr>
        <w:spacing w:after="0" w:line="135" w:lineRule="exact"/>
        <w:rPr>
          <w:rFonts w:ascii="Arial" w:cs="Arial" w:eastAsia="Arial" w:hAnsi="Arial"/>
          <w:sz w:val="18"/>
          <w:szCs w:val="18"/>
          <w:color w:val="auto"/>
        </w:rPr>
      </w:pPr>
    </w:p>
    <w:p>
      <w:pPr>
        <w:jc w:val="both"/>
        <w:ind w:left="346" w:hanging="346"/>
        <w:spacing w:after="0" w:line="247" w:lineRule="auto"/>
        <w:tabs>
          <w:tab w:leader="none" w:pos="346" w:val="left"/>
        </w:tabs>
        <w:numPr>
          <w:ilvl w:val="0"/>
          <w:numId w:val="125"/>
        </w:numPr>
        <w:rPr>
          <w:rFonts w:ascii="Arial" w:cs="Arial" w:eastAsia="Arial" w:hAnsi="Arial"/>
          <w:sz w:val="18"/>
          <w:szCs w:val="18"/>
          <w:color w:val="auto"/>
        </w:rPr>
      </w:pPr>
      <w:r>
        <w:rPr>
          <w:rFonts w:ascii="Arial" w:cs="Arial" w:eastAsia="Arial" w:hAnsi="Arial"/>
          <w:sz w:val="18"/>
          <w:szCs w:val="18"/>
          <w:i w:val="1"/>
          <w:iCs w:val="1"/>
          <w:u w:val="single" w:color="auto"/>
          <w:color w:val="auto"/>
        </w:rPr>
        <w:t>No Fractional Shares.</w:t>
      </w:r>
      <w:r>
        <w:rPr>
          <w:rFonts w:ascii="Arial" w:cs="Arial" w:eastAsia="Arial" w:hAnsi="Arial"/>
          <w:sz w:val="18"/>
          <w:szCs w:val="18"/>
          <w:i w:val="1"/>
          <w:iCs w:val="1"/>
          <w:color w:val="auto"/>
        </w:rPr>
        <w:t xml:space="preserve"> </w:t>
      </w:r>
      <w:r>
        <w:rPr>
          <w:rFonts w:ascii="Arial" w:cs="Arial" w:eastAsia="Arial" w:hAnsi="Arial"/>
          <w:sz w:val="18"/>
          <w:szCs w:val="18"/>
          <w:color w:val="auto"/>
        </w:rPr>
        <w:t>No fractional Share shall be issued or delivered pursuant to the Plan or any Award,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33" w:lineRule="exact"/>
        <w:rPr>
          <w:rFonts w:ascii="Arial" w:cs="Arial" w:eastAsia="Arial" w:hAnsi="Arial"/>
          <w:sz w:val="18"/>
          <w:szCs w:val="18"/>
          <w:color w:val="auto"/>
        </w:rPr>
      </w:pPr>
    </w:p>
    <w:p>
      <w:pPr>
        <w:jc w:val="both"/>
        <w:ind w:left="346" w:right="20" w:hanging="346"/>
        <w:spacing w:after="0" w:line="253" w:lineRule="auto"/>
        <w:tabs>
          <w:tab w:leader="none" w:pos="346" w:val="left"/>
        </w:tabs>
        <w:numPr>
          <w:ilvl w:val="0"/>
          <w:numId w:val="125"/>
        </w:numPr>
        <w:rPr>
          <w:rFonts w:ascii="Arial" w:cs="Arial" w:eastAsia="Arial" w:hAnsi="Arial"/>
          <w:sz w:val="18"/>
          <w:szCs w:val="18"/>
          <w:color w:val="auto"/>
        </w:rPr>
      </w:pPr>
      <w:r>
        <w:rPr>
          <w:rFonts w:ascii="Arial" w:cs="Arial" w:eastAsia="Arial" w:hAnsi="Arial"/>
          <w:sz w:val="18"/>
          <w:szCs w:val="18"/>
          <w:i w:val="1"/>
          <w:iCs w:val="1"/>
          <w:u w:val="single" w:color="auto"/>
          <w:color w:val="auto"/>
        </w:rPr>
        <w:t>Headings.</w:t>
      </w:r>
      <w:r>
        <w:rPr>
          <w:rFonts w:ascii="Arial" w:cs="Arial" w:eastAsia="Arial" w:hAnsi="Arial"/>
          <w:sz w:val="18"/>
          <w:szCs w:val="18"/>
          <w:i w:val="1"/>
          <w:iCs w:val="1"/>
          <w:color w:val="auto"/>
        </w:rPr>
        <w:t xml:space="preserve"> </w:t>
      </w:r>
      <w:r>
        <w:rPr>
          <w:rFonts w:ascii="Arial" w:cs="Arial" w:eastAsia="Arial" w:hAnsi="Arial"/>
          <w:sz w:val="18"/>
          <w:szCs w:val="18"/>
          <w:color w:val="auto"/>
        </w:rPr>
        <w:t>Headings are given to the sections and subsections of the Plan solely as a convenience to facilitate</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Such headings shall not be deemed in any way material or relevant to the construction or interpretation of the Plan or any provision thereof.</w:t>
      </w:r>
    </w:p>
    <w:p>
      <w:pPr>
        <w:spacing w:after="0" w:line="169"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128905</wp:posOffset>
            </wp:positionV>
            <wp:extent cx="699516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26" w:name="page127"/>
    <w:bookmarkEnd w:id="126"/>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0072AF"/>
        </w:rPr>
        <w:t> ANNEX D: PITNEY BOWES INC. 2024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293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14"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72AF"/>
        </w:rPr>
        <w:t xml:space="preserve">Section 13. </w:t>
      </w:r>
      <w:r>
        <w:rPr>
          <w:rFonts w:ascii="Arial" w:cs="Arial" w:eastAsia="Arial" w:hAnsi="Arial"/>
          <w:sz w:val="22"/>
          <w:szCs w:val="22"/>
          <w:b w:val="1"/>
          <w:bCs w:val="1"/>
          <w:i w:val="1"/>
          <w:iCs w:val="1"/>
          <w:color w:val="0072AF"/>
        </w:rPr>
        <w:t>Effective Date of the Plan.</w:t>
      </w:r>
    </w:p>
    <w:p>
      <w:pPr>
        <w:spacing w:after="0" w:line="189" w:lineRule="exact"/>
        <w:rPr>
          <w:sz w:val="20"/>
          <w:szCs w:val="20"/>
          <w:color w:val="auto"/>
        </w:rPr>
      </w:pPr>
    </w:p>
    <w:p>
      <w:pPr>
        <w:jc w:val="both"/>
        <w:ind w:left="6"/>
        <w:spacing w:after="0" w:line="253" w:lineRule="auto"/>
        <w:rPr>
          <w:sz w:val="20"/>
          <w:szCs w:val="20"/>
          <w:color w:val="auto"/>
        </w:rPr>
      </w:pPr>
      <w:r>
        <w:rPr>
          <w:rFonts w:ascii="Arial" w:cs="Arial" w:eastAsia="Arial" w:hAnsi="Arial"/>
          <w:sz w:val="18"/>
          <w:szCs w:val="18"/>
          <w:color w:val="auto"/>
        </w:rPr>
        <w:t>The Plan was approved by the Board of Directors on April 8, 2024, and shall have an effective date of May 6, 2024 (the “Effective Date”), subject to approval of the Plan by the stockholders of the Company at the May 2024 annual stockholders’ meeting.</w:t>
      </w:r>
    </w:p>
    <w:p>
      <w:pPr>
        <w:spacing w:after="0" w:line="18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72AF"/>
        </w:rPr>
        <w:t xml:space="preserve">Section 14. </w:t>
      </w:r>
      <w:r>
        <w:rPr>
          <w:rFonts w:ascii="Arial" w:cs="Arial" w:eastAsia="Arial" w:hAnsi="Arial"/>
          <w:sz w:val="22"/>
          <w:szCs w:val="22"/>
          <w:b w:val="1"/>
          <w:bCs w:val="1"/>
          <w:i w:val="1"/>
          <w:iCs w:val="1"/>
          <w:color w:val="0072AF"/>
        </w:rPr>
        <w:t>Term of the Plan.</w:t>
      </w:r>
    </w:p>
    <w:p>
      <w:pPr>
        <w:spacing w:after="0" w:line="189" w:lineRule="exact"/>
        <w:rPr>
          <w:sz w:val="20"/>
          <w:szCs w:val="20"/>
          <w:color w:val="auto"/>
        </w:rPr>
      </w:pPr>
    </w:p>
    <w:p>
      <w:pPr>
        <w:jc w:val="both"/>
        <w:ind w:left="6"/>
        <w:spacing w:after="0" w:line="244" w:lineRule="auto"/>
        <w:rPr>
          <w:sz w:val="20"/>
          <w:szCs w:val="20"/>
          <w:color w:val="auto"/>
        </w:rPr>
      </w:pPr>
      <w:r>
        <w:rPr>
          <w:rFonts w:ascii="Arial" w:cs="Arial" w:eastAsia="Arial" w:hAnsi="Arial"/>
          <w:sz w:val="18"/>
          <w:szCs w:val="18"/>
          <w:color w:val="auto"/>
        </w:rPr>
        <w:t>No Award shall be granted under the Plan after May 6, 2034. However, unless otherwise expressly provided in the Plan or in an applicable Award Agreement, any Award theretofore granted may extend beyond such date, and the authority of the Committee hereunder to amend, alter, adjust, suspend, discontinue, or terminate any such Award, or to waive any conditions or rights under any such Award, and the authority of the Board of Directors of the Company to amend, modify or terminate the Plan, shall extend beyond such date.</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72AF"/>
        </w:rPr>
        <w:t xml:space="preserve">Section 15. </w:t>
      </w:r>
      <w:r>
        <w:rPr>
          <w:rFonts w:ascii="Arial" w:cs="Arial" w:eastAsia="Arial" w:hAnsi="Arial"/>
          <w:sz w:val="22"/>
          <w:szCs w:val="22"/>
          <w:b w:val="1"/>
          <w:bCs w:val="1"/>
          <w:i w:val="1"/>
          <w:iCs w:val="1"/>
          <w:color w:val="0072AF"/>
        </w:rPr>
        <w:t>Committee Discretion and Internal Revenue Code Compliance.</w:t>
      </w:r>
    </w:p>
    <w:p>
      <w:pPr>
        <w:spacing w:after="0" w:line="189" w:lineRule="exact"/>
        <w:rPr>
          <w:sz w:val="20"/>
          <w:szCs w:val="20"/>
          <w:color w:val="auto"/>
        </w:rPr>
      </w:pPr>
    </w:p>
    <w:p>
      <w:pPr>
        <w:jc w:val="both"/>
        <w:ind w:left="346" w:hanging="346"/>
        <w:spacing w:after="0" w:line="253" w:lineRule="auto"/>
        <w:tabs>
          <w:tab w:leader="none" w:pos="34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Committee may, in its sole discretion, reduce the number of Shares subject to Covered Awards or the amount which would otherwise be payable pursuant to Covered Awards; provided, however, that the provisions of Section 9 shall override any contrary provision of this Section 15.</w:t>
      </w:r>
    </w:p>
    <w:p>
      <w:pPr>
        <w:spacing w:after="0" w:line="128" w:lineRule="exact"/>
        <w:rPr>
          <w:rFonts w:ascii="Arial" w:cs="Arial" w:eastAsia="Arial" w:hAnsi="Arial"/>
          <w:sz w:val="18"/>
          <w:szCs w:val="18"/>
          <w:color w:val="auto"/>
        </w:rPr>
      </w:pPr>
    </w:p>
    <w:p>
      <w:pPr>
        <w:jc w:val="both"/>
        <w:ind w:left="346" w:hanging="346"/>
        <w:spacing w:after="0" w:line="238" w:lineRule="auto"/>
        <w:tabs>
          <w:tab w:leader="none" w:pos="34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Committee may appropriately adjust any evaluation of performance under a Performance Goal to eliminate the effects of charges for restructurings, discontinued operations, extraordinary items and all items of gain, loss or expense determined to be extraordinary or unusual in nature or related to the disposal of a segment or a business or related to a change in accounting principle all as determined in accordance with standards established by opinion No. 30 of the Accounting Principles Board (APB Opinion No. 30) or other applicable or successor accounting provisions, as well as the cumulative effect of accounting changes, in each case as determined in accordance with generally accepted accounting principles or identified in the Company’s financial statements, including the notes thereto, and (B) may appropriately adjust any evaluation of performance under a Performance Goal to exclude any of the following events that occurs during a performance period: (i) asset write-downs, (ii) litigation, claims, judgments or settlements, (iii) the effect of changes in tax law or other such laws or provisions affecting reported results, (iv)accruals for reorganization and restructuring programs, and (v) accruals of any amounts for payment under this Plan or any other compensation arrangement maintained by the Company.</w:t>
      </w:r>
    </w:p>
    <w:p>
      <w:pPr>
        <w:spacing w:after="0" w:line="139" w:lineRule="exact"/>
        <w:rPr>
          <w:rFonts w:ascii="Arial" w:cs="Arial" w:eastAsia="Arial" w:hAnsi="Arial"/>
          <w:sz w:val="18"/>
          <w:szCs w:val="18"/>
          <w:color w:val="auto"/>
        </w:rPr>
      </w:pPr>
    </w:p>
    <w:p>
      <w:pPr>
        <w:jc w:val="both"/>
        <w:ind w:left="346" w:hanging="346"/>
        <w:spacing w:after="0" w:line="237" w:lineRule="auto"/>
        <w:tabs>
          <w:tab w:leader="none" w:pos="346" w:val="left"/>
        </w:tabs>
        <w:numPr>
          <w:ilvl w:val="0"/>
          <w:numId w:val="126"/>
        </w:numPr>
        <w:rPr>
          <w:rFonts w:ascii="Arial" w:cs="Arial" w:eastAsia="Arial" w:hAnsi="Arial"/>
          <w:sz w:val="18"/>
          <w:szCs w:val="18"/>
          <w:color w:val="auto"/>
        </w:rPr>
      </w:pPr>
      <w:r>
        <w:rPr>
          <w:rFonts w:ascii="Arial" w:cs="Arial" w:eastAsia="Arial" w:hAnsi="Arial"/>
          <w:sz w:val="18"/>
          <w:szCs w:val="18"/>
          <w:i w:val="1"/>
          <w:iCs w:val="1"/>
          <w:u w:val="single" w:color="auto"/>
          <w:color w:val="auto"/>
        </w:rPr>
        <w:t>Internal Revenue Code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intends to structure awards under this Plan to be</w:t>
      </w:r>
      <w:r>
        <w:rPr>
          <w:rFonts w:ascii="Arial" w:cs="Arial" w:eastAsia="Arial" w:hAnsi="Arial"/>
          <w:sz w:val="18"/>
          <w:szCs w:val="18"/>
          <w:i w:val="1"/>
          <w:iCs w:val="1"/>
          <w:color w:val="auto"/>
        </w:rPr>
        <w:t xml:space="preserve"> </w:t>
      </w:r>
      <w:r>
        <w:rPr>
          <w:rFonts w:ascii="Arial" w:cs="Arial" w:eastAsia="Arial" w:hAnsi="Arial"/>
          <w:sz w:val="18"/>
          <w:szCs w:val="18"/>
          <w:color w:val="auto"/>
        </w:rPr>
        <w:t>deductible under the Internal Revenue Code wherever possible. However, since corporate objectives may not always be consistent with the requirements for full deductibility, the Committee reserves the right, when appropriate, to issue awards under this Plan which may not be deductible under the Internal Revenue Code. Specifically, Awards under the Plan are intended to comply with Section 409A of the Code and all Awards shall be interpreted in accordance with such section and Department of Treasury regulations and other interpretive guidance issued thereunder, including without limitation any such regulations or other guidance that may be issued after the effective date of the Plan. Notwithstanding any provision of the Plan or any Award Agreement to the contrary, in the event that the Committee determines that any Award may or does not comply with Section 409A of the Code, the Company may adopt such amendments to the Plan and the affected Award (without Participant consent) or adopt other policies and procedures (including amendments, policies and procedures with retroactive effect), or take any other actions, that the Committee determines are necessary or appropriate to (i) exempt any Award from the application of Section 409A of the Code and/or preserve the intended tax treatment of the benefits provided with respect to such Award, or (ii) comply with the requirements of Section 409A of the Code. The Committee may from time to time establish procedures pursuant to which Covered Employees will be permitted or required to defer receipt of amounts payable under Awards made under the Plan; provided, however, that any such deferral shall be implemented in a manner consistent with the requirements of Section 409A of the Code, to the extent applicable.</w:t>
      </w:r>
    </w:p>
    <w:p>
      <w:pPr>
        <w:spacing w:after="0" w:line="182"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128905</wp:posOffset>
            </wp:positionV>
            <wp:extent cx="699516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lvl w:ilvl="1">
      <w:lvlJc w:val="left"/>
      <w:lvlText w:val="☐"/>
      <w:numFmt w:val="bullet"/>
      <w:start w:val="1"/>
    </w:lvl>
  </w:abstractNum>
  <w:abstractNum w:abstractNumId="1">
    <w:nsid w:val="310C50B3"/>
    <w:multiLevelType w:val="hybridMultilevel"/>
    <w:lvl w:ilvl="0">
      <w:lvlJc w:val="left"/>
      <w:lvlText w:val="☒"/>
      <w:numFmt w:val="bullet"/>
      <w:start w:val="1"/>
    </w:lvl>
    <w:lvl w:ilvl="1">
      <w:lvlJc w:val="left"/>
      <w:lvlText w:val="☐"/>
      <w:numFmt w:val="bullet"/>
      <w:start w:val="1"/>
    </w:lvl>
  </w:abstractNum>
  <w:abstractNum w:abstractNumId="2">
    <w:nsid w:val="5FF87E05"/>
    <w:multiLevelType w:val="hybridMultilevel"/>
    <w:lvl w:ilvl="0">
      <w:lvlJc w:val="left"/>
      <w:lvlText w:val=" "/>
      <w:numFmt w:val="bullet"/>
      <w:start w:val="1"/>
    </w:lvl>
  </w:abstractNum>
  <w:abstractNum w:abstractNumId="3">
    <w:nsid w:val="2F305DEF"/>
    <w:multiLevelType w:val="hybridMultilevel"/>
    <w:lvl w:ilvl="0">
      <w:lvlJc w:val="left"/>
      <w:lvlText w:val="3"/>
      <w:numFmt w:val="bullet"/>
      <w:start w:val="1"/>
    </w:lvl>
  </w:abstractNum>
  <w:abstractNum w:abstractNumId="4">
    <w:nsid w:val="25A70BF7"/>
    <w:multiLevelType w:val="hybridMultilevel"/>
    <w:lvl w:ilvl="0">
      <w:lvlJc w:val="left"/>
      <w:lvlText w:val="4"/>
      <w:numFmt w:val="bullet"/>
      <w:start w:val="1"/>
    </w:lvl>
  </w:abstractNum>
  <w:abstractNum w:abstractNumId="5">
    <w:nsid w:val="1DBABF00"/>
    <w:multiLevelType w:val="hybridMultilevel"/>
    <w:lvl w:ilvl="0">
      <w:lvlJc w:val="left"/>
      <w:lvlText w:val="5"/>
      <w:numFmt w:val="bullet"/>
      <w:start w:val="1"/>
    </w:lvl>
  </w:abstractNum>
  <w:abstractNum w:abstractNumId="6">
    <w:nsid w:val="4AD084E9"/>
    <w:multiLevelType w:val="hybridMultilevel"/>
    <w:lvl w:ilvl="0">
      <w:lvlJc w:val="left"/>
      <w:lvlText w:val="6"/>
      <w:numFmt w:val="bullet"/>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
      <w:numFmt w:val="bullet"/>
      <w:start w:val="1"/>
    </w:lvl>
  </w:abstractNum>
  <w:abstractNum w:abstractNumId="10">
    <w:nsid w:val="100F8FCA"/>
    <w:multiLevelType w:val="hybridMultilevel"/>
    <w:lvl w:ilvl="0">
      <w:lvlJc w:val="left"/>
      <w:lvlText w:val=" "/>
      <w:numFmt w:val="bullet"/>
      <w:start w:val="1"/>
    </w:lvl>
  </w:abstractNum>
  <w:abstractNum w:abstractNumId="11">
    <w:nsid w:val="6590700B"/>
    <w:multiLevelType w:val="hybridMultilevel"/>
    <w:lvl w:ilvl="0">
      <w:lvlJc w:val="left"/>
      <w:lvlText w:val=" "/>
      <w:numFmt w:val="bullet"/>
      <w:start w:val="1"/>
    </w:lvl>
  </w:abstractNum>
  <w:abstractNum w:abstractNumId="12">
    <w:nsid w:val="15014ACB"/>
    <w:multiLevelType w:val="hybridMultilevel"/>
    <w:lvl w:ilvl="0">
      <w:lvlJc w:val="left"/>
      <w:lvlText w:val=" "/>
      <w:numFmt w:val="bullet"/>
      <w:start w:val="1"/>
    </w:lvl>
  </w:abstractNum>
  <w:abstractNum w:abstractNumId="13">
    <w:nsid w:val="5F5E7FD0"/>
    <w:multiLevelType w:val="hybridMultilevel"/>
    <w:lvl w:ilvl="0">
      <w:lvlJc w:val="left"/>
      <w:lvlText w:val=" "/>
      <w:numFmt w:val="bullet"/>
      <w:start w:val="1"/>
    </w:lvl>
  </w:abstractNum>
  <w:abstractNum w:abstractNumId="14">
    <w:nsid w:val="98A3148"/>
    <w:multiLevelType w:val="hybridMultilevel"/>
    <w:lvl w:ilvl="0">
      <w:lvlJc w:val="left"/>
      <w:lvlText w:val=" "/>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1)"/>
      <w:numFmt w:val="lowerRoman"/>
      <w:start w:val="3"/>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1."/>
      <w:numFmt w:val="decimal"/>
      <w:start w:val="1"/>
    </w:lvl>
  </w:abstractNum>
  <w:abstractNum w:abstractNumId="19">
    <w:nsid w:val="1EBA5D23"/>
    <w:multiLevelType w:val="hybridMultilevel"/>
    <w:lvl w:ilvl="0">
      <w:lvlJc w:val="left"/>
      <w:lvlText w:val="(%1)"/>
      <w:numFmt w:val="decimal"/>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1)"/>
      <w:numFmt w:val="decimal"/>
      <w:start w:val="1"/>
    </w:lvl>
  </w:abstractNum>
  <w:abstractNum w:abstractNumId="23">
    <w:nsid w:val="7BD3EE7B"/>
    <w:multiLevelType w:val="hybridMultilevel"/>
    <w:lvl w:ilvl="0">
      <w:lvlJc w:val="left"/>
      <w:lvlText w:val="(%1)"/>
      <w:numFmt w:val="lowerRoman"/>
      <w:start w:val="1"/>
    </w:lvl>
  </w:abstractNum>
  <w:abstractNum w:abstractNumId="24">
    <w:nsid w:val="51D9C564"/>
    <w:multiLevelType w:val="hybridMultilevel"/>
    <w:lvl w:ilvl="0">
      <w:lvlJc w:val="left"/>
      <w:lvlText w:val="•"/>
      <w:numFmt w:val="bullet"/>
      <w:start w:val="1"/>
    </w:lvl>
  </w:abstractNum>
  <w:abstractNum w:abstractNumId="25">
    <w:nsid w:val="613EFDC5"/>
    <w:multiLevelType w:val="hybridMultilevel"/>
    <w:lvl w:ilvl="0">
      <w:lvlJc w:val="left"/>
      <w:lvlText w:val="•"/>
      <w:numFmt w:val="bullet"/>
      <w:start w:val="1"/>
    </w:lvl>
    <w:lvl w:ilvl="1">
      <w:lvlJc w:val="left"/>
      <w:lvlText w:val="○"/>
      <w:numFmt w:val="bullet"/>
      <w:start w:val="1"/>
    </w:lvl>
  </w:abstractNum>
  <w:abstractNum w:abstractNumId="26">
    <w:nsid w:val="BF72B14"/>
    <w:multiLevelType w:val="hybridMultilevel"/>
    <w:lvl w:ilvl="0">
      <w:lvlJc w:val="left"/>
      <w:lvlText w:val="(%1)"/>
      <w:numFmt w:val="decimal"/>
      <w:start w:val="1"/>
    </w:lvl>
  </w:abstractNum>
  <w:abstractNum w:abstractNumId="27">
    <w:nsid w:val="11447B73"/>
    <w:multiLevelType w:val="hybridMultilevel"/>
    <w:lvl w:ilvl="0">
      <w:lvlJc w:val="left"/>
      <w:lvlText w:val="(%1)"/>
      <w:numFmt w:val="lowerLetter"/>
      <w:start w:val="3"/>
    </w:lvl>
  </w:abstractNum>
  <w:abstractNum w:abstractNumId="28">
    <w:nsid w:val="42963E5A"/>
    <w:multiLevelType w:val="hybridMultilevel"/>
    <w:lvl w:ilvl="0">
      <w:lvlJc w:val="left"/>
      <w:lvlText w:val="(%1)"/>
      <w:numFmt w:val="decimal"/>
      <w:start w:val="1"/>
    </w:lvl>
  </w:abstractNum>
  <w:abstractNum w:abstractNumId="29">
    <w:nsid w:val="A0382C5"/>
    <w:multiLevelType w:val="hybridMultilevel"/>
    <w:lvl w:ilvl="0">
      <w:lvlJc w:val="left"/>
      <w:lvlText w:val="(%1)"/>
      <w:numFmt w:val="decimal"/>
      <w:start w:val="2"/>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
      <w:numFmt w:val="bullet"/>
      <w:start w:val="1"/>
    </w:lvl>
  </w:abstractNum>
  <w:abstractNum w:abstractNumId="32">
    <w:nsid w:val="3B0FD379"/>
    <w:multiLevelType w:val="hybridMultilevel"/>
    <w:lvl w:ilvl="0">
      <w:lvlJc w:val="left"/>
      <w:lvlText w:val="•"/>
      <w:numFmt w:val="bullet"/>
      <w:start w:val="1"/>
    </w:lvl>
  </w:abstractNum>
  <w:abstractNum w:abstractNumId="33">
    <w:nsid w:val="68EB2F63"/>
    <w:multiLevelType w:val="hybridMultilevel"/>
    <w:lvl w:ilvl="0">
      <w:lvlJc w:val="left"/>
      <w:lvlText w:val="1"/>
      <w:numFmt w:val="bullet"/>
      <w:start w:val="1"/>
    </w:lvl>
  </w:abstractNum>
  <w:abstractNum w:abstractNumId="34">
    <w:nsid w:val="4962813B"/>
    <w:multiLevelType w:val="hybridMultilevel"/>
    <w:lvl w:ilvl="0">
      <w:lvlJc w:val="left"/>
      <w:lvlText w:val="•"/>
      <w:numFmt w:val="bullet"/>
      <w:start w:val="1"/>
    </w:lvl>
  </w:abstractNum>
  <w:abstractNum w:abstractNumId="35">
    <w:nsid w:val="60B6DF70"/>
    <w:multiLevelType w:val="hybridMultilevel"/>
    <w:lvl w:ilvl="0">
      <w:lvlJc w:val="left"/>
      <w:lvlText w:val="(%1)"/>
      <w:numFmt w:val="decimal"/>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1)"/>
      <w:numFmt w:val="lowerRoman"/>
      <w:start w:val="1"/>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1)"/>
      <w:numFmt w:val="decimal"/>
      <w:start w:val="1"/>
    </w:lvl>
  </w:abstractNum>
  <w:abstractNum w:abstractNumId="40">
    <w:nsid w:val="71EA1109"/>
    <w:multiLevelType w:val="hybridMultilevel"/>
    <w:lvl w:ilvl="0">
      <w:lvlJc w:val="left"/>
      <w:lvlText w:val="•"/>
      <w:numFmt w:val="bullet"/>
      <w:start w:val="1"/>
    </w:lvl>
  </w:abstractNum>
  <w:abstractNum w:abstractNumId="41">
    <w:nsid w:val="100F59DC"/>
    <w:multiLevelType w:val="hybridMultilevel"/>
    <w:lvl w:ilvl="0">
      <w:lvlJc w:val="left"/>
      <w:lvlText w:val="•"/>
      <w:numFmt w:val="bullet"/>
      <w:start w:val="1"/>
    </w:lvl>
  </w:abstractNum>
  <w:abstractNum w:abstractNumId="42">
    <w:nsid w:val="7FB7E0AA"/>
    <w:multiLevelType w:val="hybridMultilevel"/>
    <w:lvl w:ilvl="0">
      <w:lvlJc w:val="left"/>
      <w:lvlText w:val="•"/>
      <w:numFmt w:val="bullet"/>
      <w:start w:val="1"/>
    </w:lvl>
  </w:abstractNum>
  <w:abstractNum w:abstractNumId="43">
    <w:nsid w:val="6EB5BD4"/>
    <w:multiLevelType w:val="hybridMultilevel"/>
    <w:lvl w:ilvl="0">
      <w:lvlJc w:val="left"/>
      <w:lvlText w:val="•"/>
      <w:numFmt w:val="bullet"/>
      <w:start w:val="1"/>
    </w:lvl>
  </w:abstractNum>
  <w:abstractNum w:abstractNumId="44">
    <w:nsid w:val="6F6DD9AC"/>
    <w:multiLevelType w:val="hybridMultilevel"/>
    <w:lvl w:ilvl="0">
      <w:lvlJc w:val="left"/>
      <w:lvlText w:val="•"/>
      <w:numFmt w:val="bullet"/>
      <w:start w:val="1"/>
    </w:lvl>
  </w:abstractNum>
  <w:abstractNum w:abstractNumId="45">
    <w:nsid w:val="94211F2"/>
    <w:multiLevelType w:val="hybridMultilevel"/>
    <w:lvl w:ilvl="0">
      <w:lvlJc w:val="left"/>
      <w:lvlText w:val="(%1)"/>
      <w:numFmt w:val="decimal"/>
      <w:start w:val="1"/>
    </w:lvl>
  </w:abstractNum>
  <w:abstractNum w:abstractNumId="46">
    <w:nsid w:val="885E1B"/>
    <w:multiLevelType w:val="hybridMultilevel"/>
    <w:lvl w:ilvl="0">
      <w:lvlJc w:val="left"/>
      <w:lvlText w:val=" "/>
      <w:numFmt w:val="bullet"/>
      <w:start w:val="1"/>
    </w:lvl>
  </w:abstractNum>
  <w:abstractNum w:abstractNumId="47">
    <w:nsid w:val="76272110"/>
    <w:multiLevelType w:val="hybridMultilevel"/>
    <w:lvl w:ilvl="0">
      <w:lvlJc w:val="left"/>
      <w:lvlText w:val="(%1)"/>
      <w:numFmt w:val="decimal"/>
      <w:start w:val="3"/>
    </w:lvl>
  </w:abstractNum>
  <w:abstractNum w:abstractNumId="48">
    <w:nsid w:val="4C04A8AF"/>
    <w:multiLevelType w:val="hybridMultilevel"/>
    <w:lvl w:ilvl="0">
      <w:lvlJc w:val="left"/>
      <w:lvlText w:val=" "/>
      <w:numFmt w:val="bullet"/>
      <w:start w:val="1"/>
    </w:lvl>
  </w:abstractNum>
  <w:abstractNum w:abstractNumId="49">
    <w:nsid w:val="1716703B"/>
    <w:multiLevelType w:val="hybridMultilevel"/>
    <w:lvl w:ilvl="0">
      <w:lvlJc w:val="left"/>
      <w:lvlText w:val="(%1)"/>
      <w:numFmt w:val="decimal"/>
      <w:start w:val="5"/>
    </w:lvl>
    <w:lvl w:ilvl="1">
      <w:lvlJc w:val="left"/>
      <w:lvlText w:val=" "/>
      <w:numFmt w:val="bullet"/>
      <w:start w:val="1"/>
    </w:lvl>
  </w:abstractNum>
  <w:abstractNum w:abstractNumId="50">
    <w:nsid w:val="14E17E33"/>
    <w:multiLevelType w:val="hybridMultilevel"/>
    <w:lvl w:ilvl="0">
      <w:lvlJc w:val="left"/>
      <w:lvlText w:val="(%1)"/>
      <w:numFmt w:val="decimal"/>
      <w:start w:val="1"/>
    </w:lvl>
  </w:abstractNum>
  <w:abstractNum w:abstractNumId="51">
    <w:nsid w:val="3222E7CD"/>
    <w:multiLevelType w:val="hybridMultilevel"/>
    <w:lvl w:ilvl="0">
      <w:lvlJc w:val="left"/>
      <w:lvlText w:val="(%1)"/>
      <w:numFmt w:val="decimal"/>
      <w:start w:val="1"/>
    </w:lvl>
  </w:abstractNum>
  <w:abstractNum w:abstractNumId="52">
    <w:nsid w:val="74DE0EE3"/>
    <w:multiLevelType w:val="hybridMultilevel"/>
    <w:lvl w:ilvl="0">
      <w:lvlJc w:val="left"/>
      <w:lvlText w:val="​"/>
      <w:numFmt w:val="bullet"/>
      <w:start w:val="1"/>
    </w:lvl>
  </w:abstractNum>
  <w:abstractNum w:abstractNumId="53">
    <w:nsid w:val="68EBC550"/>
    <w:multiLevelType w:val="hybridMultilevel"/>
    <w:lvl w:ilvl="0">
      <w:lvlJc w:val="left"/>
      <w:lvlText w:val="​"/>
      <w:numFmt w:val="bullet"/>
      <w:start w:val="1"/>
    </w:lvl>
  </w:abstractNum>
  <w:abstractNum w:abstractNumId="54">
    <w:nsid w:val="2DF6D648"/>
    <w:multiLevelType w:val="hybridMultilevel"/>
    <w:lvl w:ilvl="0">
      <w:lvlJc w:val="left"/>
      <w:lvlText w:val=" "/>
      <w:numFmt w:val="bullet"/>
      <w:start w:val="1"/>
    </w:lvl>
  </w:abstractNum>
  <w:abstractNum w:abstractNumId="55">
    <w:nsid w:val="46B7D447"/>
    <w:multiLevelType w:val="hybridMultilevel"/>
    <w:lvl w:ilvl="0">
      <w:lvlJc w:val="left"/>
      <w:lvlText w:val="•"/>
      <w:numFmt w:val="bullet"/>
      <w:start w:val="1"/>
    </w:lvl>
  </w:abstractNum>
  <w:abstractNum w:abstractNumId="56">
    <w:nsid w:val="4A2AC315"/>
    <w:multiLevelType w:val="hybridMultilevel"/>
    <w:lvl w:ilvl="0">
      <w:lvlJc w:val="left"/>
      <w:lvlText w:val=" "/>
      <w:numFmt w:val="bullet"/>
      <w:start w:val="1"/>
    </w:lvl>
  </w:abstractNum>
  <w:abstractNum w:abstractNumId="57">
    <w:nsid w:val="39EE015C"/>
    <w:multiLevelType w:val="hybridMultilevel"/>
    <w:lvl w:ilvl="0">
      <w:lvlJc w:val="left"/>
      <w:lvlText w:val="(%1)"/>
      <w:numFmt w:val="decimal"/>
      <w:start w:val="1"/>
    </w:lvl>
  </w:abstractNum>
  <w:abstractNum w:abstractNumId="58">
    <w:nsid w:val="57FC4FBB"/>
    <w:multiLevelType w:val="hybridMultilevel"/>
    <w:lvl w:ilvl="0">
      <w:lvlJc w:val="left"/>
      <w:lvlText w:val=" "/>
      <w:numFmt w:val="bullet"/>
      <w:start w:val="1"/>
    </w:lvl>
  </w:abstractNum>
  <w:abstractNum w:abstractNumId="59">
    <w:nsid w:val="CC1016F"/>
    <w:multiLevelType w:val="hybridMultilevel"/>
    <w:lvl w:ilvl="0">
      <w:lvlJc w:val="left"/>
      <w:lvlText w:val="(%1)"/>
      <w:numFmt w:val="decimal"/>
      <w:start w:val="2"/>
    </w:lvl>
  </w:abstractNum>
  <w:abstractNum w:abstractNumId="60">
    <w:nsid w:val="43F18422"/>
    <w:multiLevelType w:val="hybridMultilevel"/>
    <w:lvl w:ilvl="0">
      <w:lvlJc w:val="left"/>
      <w:lvlText w:val=" "/>
      <w:numFmt w:val="bullet"/>
      <w:start w:val="1"/>
    </w:lvl>
  </w:abstractNum>
  <w:abstractNum w:abstractNumId="61">
    <w:nsid w:val="60EF0119"/>
    <w:multiLevelType w:val="hybridMultilevel"/>
    <w:lvl w:ilvl="0">
      <w:lvlJc w:val="left"/>
      <w:lvlText w:val="%1)"/>
      <w:numFmt w:val="decimal"/>
      <w:start w:val="3"/>
    </w:lvl>
  </w:abstractNum>
  <w:abstractNum w:abstractNumId="62">
    <w:nsid w:val="26F324BA"/>
    <w:multiLevelType w:val="hybridMultilevel"/>
    <w:lvl w:ilvl="0">
      <w:lvlJc w:val="left"/>
      <w:lvlText w:val=" "/>
      <w:numFmt w:val="bullet"/>
      <w:start w:val="1"/>
    </w:lvl>
  </w:abstractNum>
  <w:abstractNum w:abstractNumId="63">
    <w:nsid w:val="7F01579B"/>
    <w:multiLevelType w:val="hybridMultilevel"/>
    <w:lvl w:ilvl="0">
      <w:lvlJc w:val="left"/>
      <w:lvlText w:val="•"/>
      <w:numFmt w:val="bullet"/>
      <w:start w:val="1"/>
    </w:lvl>
  </w:abstractNum>
  <w:abstractNum w:abstractNumId="64">
    <w:nsid w:val="49DA307D"/>
    <w:multiLevelType w:val="hybridMultilevel"/>
    <w:lvl w:ilvl="0">
      <w:lvlJc w:val="left"/>
      <w:lvlText w:val="•"/>
      <w:numFmt w:val="bullet"/>
      <w:start w:val="1"/>
    </w:lvl>
  </w:abstractNum>
  <w:abstractNum w:abstractNumId="65">
    <w:nsid w:val="7055A5F5"/>
    <w:multiLevelType w:val="hybridMultilevel"/>
    <w:lvl w:ilvl="0">
      <w:lvlJc w:val="left"/>
      <w:lvlText w:val="•"/>
      <w:numFmt w:val="bullet"/>
      <w:start w:val="1"/>
    </w:lvl>
  </w:abstractNum>
  <w:abstractNum w:abstractNumId="66">
    <w:nsid w:val="5FB8370B"/>
    <w:multiLevelType w:val="hybridMultilevel"/>
    <w:lvl w:ilvl="0">
      <w:lvlJc w:val="left"/>
      <w:lvlText w:val="(%1)"/>
      <w:numFmt w:val="decimal"/>
      <w:start w:val="1"/>
    </w:lvl>
  </w:abstractNum>
  <w:abstractNum w:abstractNumId="67">
    <w:nsid w:val="50801EE1"/>
    <w:multiLevelType w:val="hybridMultilevel"/>
    <w:lvl w:ilvl="0">
      <w:lvlJc w:val="left"/>
      <w:lvlText w:val=" "/>
      <w:numFmt w:val="bullet"/>
      <w:start w:val="1"/>
    </w:lvl>
  </w:abstractNum>
  <w:abstractNum w:abstractNumId="68">
    <w:nsid w:val="488AC1A"/>
    <w:multiLevelType w:val="hybridMultilevel"/>
    <w:lvl w:ilvl="0">
      <w:lvlJc w:val="left"/>
      <w:lvlText w:val="(%1)"/>
      <w:numFmt w:val="decimal"/>
      <w:start w:val="2"/>
    </w:lvl>
  </w:abstractNum>
  <w:abstractNum w:abstractNumId="69">
    <w:nsid w:val="5FB8011C"/>
    <w:multiLevelType w:val="hybridMultilevel"/>
    <w:lvl w:ilvl="0">
      <w:lvlJc w:val="left"/>
      <w:lvlText w:val=" "/>
      <w:numFmt w:val="bullet"/>
      <w:start w:val="1"/>
    </w:lvl>
  </w:abstractNum>
  <w:abstractNum w:abstractNumId="70">
    <w:nsid w:val="6AA78F7F"/>
    <w:multiLevelType w:val="hybridMultilevel"/>
    <w:lvl w:ilvl="0">
      <w:lvlJc w:val="left"/>
      <w:lvlText w:val="(%1)"/>
      <w:numFmt w:val="decimal"/>
      <w:start w:val="6"/>
    </w:lvl>
  </w:abstractNum>
  <w:abstractNum w:abstractNumId="71">
    <w:nsid w:val="7672BD23"/>
    <w:multiLevelType w:val="hybridMultilevel"/>
    <w:lvl w:ilvl="0">
      <w:lvlJc w:val="left"/>
      <w:lvlText w:val="•"/>
      <w:numFmt w:val="bullet"/>
      <w:start w:val="1"/>
    </w:lvl>
  </w:abstractNum>
  <w:abstractNum w:abstractNumId="72">
    <w:nsid w:val="6FC75AF8"/>
    <w:multiLevelType w:val="hybridMultilevel"/>
    <w:lvl w:ilvl="0">
      <w:lvlJc w:val="left"/>
      <w:lvlText w:val="•"/>
      <w:numFmt w:val="bullet"/>
      <w:start w:val="1"/>
    </w:lvl>
  </w:abstractNum>
  <w:abstractNum w:abstractNumId="73">
    <w:nsid w:val="6A5F7029"/>
    <w:multiLevelType w:val="hybridMultilevel"/>
    <w:lvl w:ilvl="0">
      <w:lvlJc w:val="left"/>
      <w:lvlText w:val="•"/>
      <w:numFmt w:val="bullet"/>
      <w:start w:val="1"/>
    </w:lvl>
  </w:abstractNum>
  <w:abstractNum w:abstractNumId="74">
    <w:nsid w:val="7D5E18F8"/>
    <w:multiLevelType w:val="hybridMultilevel"/>
    <w:lvl w:ilvl="0">
      <w:lvlJc w:val="left"/>
      <w:lvlText w:val="•"/>
      <w:numFmt w:val="bullet"/>
      <w:start w:val="1"/>
    </w:lvl>
  </w:abstractNum>
  <w:abstractNum w:abstractNumId="75">
    <w:nsid w:val="5F3534A4"/>
    <w:multiLevelType w:val="hybridMultilevel"/>
    <w:lvl w:ilvl="0">
      <w:lvlJc w:val="left"/>
      <w:lvlText w:val="•"/>
      <w:numFmt w:val="bullet"/>
      <w:start w:val="1"/>
    </w:lvl>
  </w:abstractNum>
  <w:abstractNum w:abstractNumId="76">
    <w:nsid w:val="73A1821B"/>
    <w:multiLevelType w:val="hybridMultilevel"/>
    <w:lvl w:ilvl="0">
      <w:lvlJc w:val="left"/>
      <w:lvlText w:val="•"/>
      <w:numFmt w:val="bullet"/>
      <w:start w:val="1"/>
    </w:lvl>
  </w:abstractNum>
  <w:abstractNum w:abstractNumId="77">
    <w:nsid w:val="7DE67713"/>
    <w:multiLevelType w:val="hybridMultilevel"/>
    <w:lvl w:ilvl="0">
      <w:lvlJc w:val="left"/>
      <w:lvlText w:val="•"/>
      <w:numFmt w:val="bullet"/>
      <w:start w:val="1"/>
    </w:lvl>
  </w:abstractNum>
  <w:abstractNum w:abstractNumId="78">
    <w:nsid w:val="555C55B5"/>
    <w:multiLevelType w:val="hybridMultilevel"/>
    <w:lvl w:ilvl="0">
      <w:lvlJc w:val="left"/>
      <w:lvlText w:val="•"/>
      <w:numFmt w:val="bullet"/>
      <w:start w:val="1"/>
    </w:lvl>
  </w:abstractNum>
  <w:abstractNum w:abstractNumId="79">
    <w:nsid w:val="3FA62ACA"/>
    <w:multiLevelType w:val="hybridMultilevel"/>
    <w:lvl w:ilvl="0">
      <w:lvlJc w:val="left"/>
      <w:lvlText w:val="•"/>
      <w:numFmt w:val="bullet"/>
      <w:start w:val="1"/>
    </w:lvl>
  </w:abstractNum>
  <w:abstractNum w:abstractNumId="80">
    <w:nsid w:val="14FCE74E"/>
    <w:multiLevelType w:val="hybridMultilevel"/>
    <w:lvl w:ilvl="0">
      <w:lvlJc w:val="left"/>
      <w:lvlText w:val="•"/>
      <w:numFmt w:val="bullet"/>
      <w:start w:val="1"/>
    </w:lvl>
  </w:abstractNum>
  <w:abstractNum w:abstractNumId="81">
    <w:nsid w:val="6A3DD3E8"/>
    <w:multiLevelType w:val="hybridMultilevel"/>
    <w:lvl w:ilvl="0">
      <w:lvlJc w:val="left"/>
      <w:lvlText w:val="•"/>
      <w:numFmt w:val="bullet"/>
      <w:start w:val="1"/>
    </w:lvl>
  </w:abstractNum>
  <w:abstractNum w:abstractNumId="82">
    <w:nsid w:val="71C91298"/>
    <w:multiLevelType w:val="hybridMultilevel"/>
    <w:lvl w:ilvl="0">
      <w:lvlJc w:val="left"/>
      <w:lvlText w:val="(%1)"/>
      <w:numFmt w:val="decimal"/>
      <w:start w:val="1"/>
    </w:lvl>
    <w:lvl w:ilvl="1">
      <w:lvlJc w:val="left"/>
      <w:lvlText w:val="-"/>
      <w:numFmt w:val="bullet"/>
      <w:start w:val="1"/>
    </w:lvl>
  </w:abstractNum>
  <w:abstractNum w:abstractNumId="83">
    <w:nsid w:val="9DAF632"/>
    <w:multiLevelType w:val="hybridMultilevel"/>
    <w:lvl w:ilvl="0">
      <w:lvlJc w:val="left"/>
      <w:lvlText w:val="•"/>
      <w:numFmt w:val="bullet"/>
      <w:start w:val="1"/>
    </w:lvl>
  </w:abstractNum>
  <w:abstractNum w:abstractNumId="84">
    <w:nsid w:val="5329993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2"/>
    </w:lvl>
  </w:abstractNum>
  <w:abstractNum w:abstractNumId="85">
    <w:nsid w:val="1FBFE8E0"/>
    <w:multiLevelType w:val="hybridMultilevel"/>
    <w:lvl w:ilvl="0">
      <w:lvlJc w:val="left"/>
      <w:lvlText w:val="(%1)"/>
      <w:numFmt w:val="lowerLetter"/>
      <w:start w:val="4"/>
    </w:lvl>
    <w:lvl w:ilvl="1">
      <w:lvlJc w:val="left"/>
      <w:lvlText w:val="(%2)"/>
      <w:numFmt w:val="lowerRoman"/>
      <w:start w:val="4"/>
    </w:lvl>
  </w:abstractNum>
  <w:abstractNum w:abstractNumId="86">
    <w:nsid w:val="5092CA79"/>
    <w:multiLevelType w:val="hybridMultilevel"/>
    <w:lvl w:ilvl="0">
      <w:lvlJc w:val="left"/>
      <w:lvlText w:val="%1"/>
      <w:numFmt w:val="lowerLetter"/>
      <w:start w:val="1"/>
    </w:lvl>
    <w:lvl w:ilvl="1">
      <w:lvlJc w:val="left"/>
      <w:lvlText w:val="(%2)"/>
      <w:numFmt w:val="lowerRoman"/>
      <w:start w:val="6"/>
    </w:lvl>
  </w:abstractNum>
  <w:abstractNum w:abstractNumId="87">
    <w:nsid w:val="1D545C4D"/>
    <w:multiLevelType w:val="hybridMultilevel"/>
    <w:lvl w:ilvl="0">
      <w:lvlJc w:val="left"/>
      <w:lvlText w:val="(%1)"/>
      <w:numFmt w:val="lowerLetter"/>
      <w:start w:val="5"/>
    </w:lvl>
    <w:lvl w:ilvl="1">
      <w:lvlJc w:val="left"/>
      <w:lvlText w:val="%2"/>
      <w:numFmt w:val="lowerRoman"/>
      <w:start w:val="1"/>
    </w:lvl>
  </w:abstractNum>
  <w:abstractNum w:abstractNumId="88">
    <w:nsid w:val="59ADEA3D"/>
    <w:multiLevelType w:val="hybridMultilevel"/>
    <w:lvl w:ilvl="0">
      <w:lvlJc w:val="left"/>
      <w:lvlText w:val="(%1)"/>
      <w:numFmt w:val="lowerLetter"/>
      <w:start w:val="7"/>
    </w:lvl>
  </w:abstractNum>
  <w:abstractNum w:abstractNumId="89">
    <w:nsid w:val="288F1A34"/>
    <w:multiLevelType w:val="hybridMultilevel"/>
    <w:lvl w:ilvl="0">
      <w:lvlJc w:val="left"/>
      <w:lvlText w:val="(%1)"/>
      <w:numFmt w:val="lowerLetter"/>
      <w:start w:val="1"/>
    </w:lvl>
  </w:abstractNum>
  <w:abstractNum w:abstractNumId="90">
    <w:nsid w:val="2A155DBC"/>
    <w:multiLevelType w:val="hybridMultilevel"/>
    <w:lvl w:ilvl="0">
      <w:lvlJc w:val="left"/>
      <w:lvlText w:val="(%1)"/>
      <w:numFmt w:val="lowerLetter"/>
      <w:start w:val="1"/>
    </w:lvl>
    <w:lvl w:ilvl="1">
      <w:lvlJc w:val="left"/>
      <w:lvlText w:val="(%2)"/>
      <w:numFmt w:val="lowerRoman"/>
      <w:start w:val="1"/>
    </w:lvl>
  </w:abstractNum>
  <w:abstractNum w:abstractNumId="91">
    <w:nsid w:val="1D9F6E5F"/>
    <w:multiLevelType w:val="hybridMultilevel"/>
    <w:lvl w:ilvl="0">
      <w:lvlJc w:val="left"/>
      <w:lvlText w:val="%1"/>
      <w:numFmt w:val="lowerLetter"/>
      <w:start w:val="1"/>
    </w:lvl>
    <w:lvl w:ilvl="1">
      <w:lvlJc w:val="left"/>
      <w:lvlText w:val="(%2)"/>
      <w:numFmt w:val="lowerLetter"/>
      <w:start w:val="61"/>
    </w:lvl>
  </w:abstractNum>
  <w:abstractNum w:abstractNumId="92">
    <w:nsid w:val="97E1B4E"/>
    <w:multiLevelType w:val="hybridMultilevel"/>
    <w:lvl w:ilvl="0">
      <w:lvlJc w:val="left"/>
      <w:lvlText w:val="(%1)"/>
      <w:numFmt w:val="lowerLetter"/>
      <w:start w:val="6"/>
    </w:lvl>
    <w:lvl w:ilvl="1">
      <w:lvlJc w:val="left"/>
      <w:lvlText w:val="%2"/>
      <w:numFmt w:val="lowerLetter"/>
      <w:start w:val="1"/>
    </w:lvl>
  </w:abstractNum>
  <w:abstractNum w:abstractNumId="93">
    <w:nsid w:val="51088277"/>
    <w:multiLevelType w:val="hybridMultilevel"/>
    <w:lvl w:ilvl="0">
      <w:lvlJc w:val="left"/>
      <w:lvlText w:val="(%1)"/>
      <w:numFmt w:val="lowerLetter"/>
      <w:start w:val="17"/>
    </w:lvl>
  </w:abstractNum>
  <w:abstractNum w:abstractNumId="94">
    <w:nsid w:val="1CA0C5FA"/>
    <w:multiLevelType w:val="hybridMultilevel"/>
    <w:lvl w:ilvl="0">
      <w:lvlJc w:val="left"/>
      <w:lvlText w:val="(%1)"/>
      <w:numFmt w:val="lowerLetter"/>
      <w:start w:val="27"/>
    </w:lvl>
  </w:abstractNum>
  <w:abstractNum w:abstractNumId="95">
    <w:nsid w:val="53584BCB"/>
    <w:multiLevelType w:val="hybridMultilevel"/>
    <w:lvl w:ilvl="0">
      <w:lvlJc w:val="left"/>
      <w:lvlText w:val="(%1)"/>
      <w:numFmt w:val="lowerLetter"/>
      <w:start w:val="29"/>
    </w:lvl>
    <w:lvl w:ilvl="1">
      <w:lvlJc w:val="left"/>
      <w:lvlText w:val="(%2)"/>
      <w:numFmt w:val="lowerRoman"/>
      <w:start w:val="1"/>
    </w:lvl>
    <w:lvl w:ilvl="2">
      <w:lvlJc w:val="left"/>
      <w:lvlText w:val="%3."/>
      <w:numFmt w:val="decimal"/>
      <w:start w:val="1"/>
    </w:lvl>
  </w:abstractNum>
  <w:abstractNum w:abstractNumId="96">
    <w:nsid w:val="415E286C"/>
    <w:multiLevelType w:val="hybridMultilevel"/>
    <w:lvl w:ilvl="0">
      <w:lvlJc w:val="left"/>
      <w:lvlText w:val="%1."/>
      <w:numFmt w:val="decimal"/>
      <w:start w:val="3"/>
    </w:lvl>
  </w:abstractNum>
  <w:abstractNum w:abstractNumId="97">
    <w:nsid w:val="7C58FD05"/>
    <w:multiLevelType w:val="hybridMultilevel"/>
    <w:lvl w:ilvl="0">
      <w:lvlJc w:val="left"/>
      <w:lvlText w:val="(%1)"/>
      <w:numFmt w:val="lowerRoman"/>
      <w:start w:val="2"/>
    </w:lvl>
  </w:abstractNum>
  <w:abstractNum w:abstractNumId="98">
    <w:nsid w:val="23D86AAC"/>
    <w:multiLevelType w:val="hybridMultilevel"/>
    <w:lvl w:ilvl="0">
      <w:lvlJc w:val="left"/>
      <w:lvlText w:val="(%1)"/>
      <w:numFmt w:val="lowerLetter"/>
      <w:start w:val="1"/>
    </w:lvl>
    <w:lvl w:ilvl="1">
      <w:lvlJc w:val="left"/>
      <w:lvlText w:val="(%2)"/>
      <w:numFmt w:val="lowerRoman"/>
      <w:start w:val="1"/>
    </w:lvl>
  </w:abstractNum>
  <w:abstractNum w:abstractNumId="99">
    <w:nsid w:val="45E6D486"/>
    <w:multiLevelType w:val="hybridMultilevel"/>
    <w:lvl w:ilvl="0">
      <w:lvlJc w:val="left"/>
      <w:lvlText w:val="%1"/>
      <w:numFmt w:val="lowerLetter"/>
      <w:start w:val="1"/>
    </w:lvl>
    <w:lvl w:ilvl="1">
      <w:lvlJc w:val="left"/>
      <w:lvlText w:val="(%2)"/>
      <w:numFmt w:val="lowerRoman"/>
      <w:start w:val="4"/>
    </w:lvl>
  </w:abstractNum>
  <w:abstractNum w:abstractNumId="100">
    <w:nsid w:val="5C10FE21"/>
    <w:multiLevelType w:val="hybridMultilevel"/>
    <w:lvl w:ilvl="0">
      <w:lvlJc w:val="left"/>
      <w:lvlText w:val="(%1)"/>
      <w:numFmt w:val="lowerLetter"/>
      <w:start w:val="2"/>
    </w:lvl>
    <w:lvl w:ilvl="1">
      <w:lvlJc w:val="left"/>
      <w:lvlText w:val="%2"/>
      <w:numFmt w:val="lowerRoman"/>
      <w:start w:val="1"/>
    </w:lvl>
  </w:abstractNum>
  <w:abstractNum w:abstractNumId="101">
    <w:nsid w:val="E7FFA2B"/>
    <w:multiLevelType w:val="hybridMultilevel"/>
    <w:lvl w:ilvl="0">
      <w:lvlJc w:val="left"/>
      <w:lvlText w:val="(%1)"/>
      <w:numFmt w:val="lowerLetter"/>
      <w:start w:val="1"/>
    </w:lvl>
  </w:abstractNum>
  <w:abstractNum w:abstractNumId="102">
    <w:nsid w:val="3C5991AA"/>
    <w:multiLevelType w:val="hybridMultilevel"/>
    <w:lvl w:ilvl="0">
      <w:lvlJc w:val="left"/>
      <w:lvlText w:val="%1"/>
      <w:numFmt w:val="lowerLetter"/>
      <w:start w:val="1"/>
    </w:lvl>
    <w:lvl w:ilvl="1">
      <w:lvlJc w:val="left"/>
      <w:lvlText w:val="(%2)"/>
      <w:numFmt w:val="lowerRoman"/>
      <w:start w:val="1"/>
    </w:lvl>
  </w:abstractNum>
  <w:abstractNum w:abstractNumId="103">
    <w:nsid w:val="4BD8591A"/>
    <w:multiLevelType w:val="hybridMultilevel"/>
    <w:lvl w:ilvl="0">
      <w:lvlJc w:val="left"/>
      <w:lvlText w:val="(%1)"/>
      <w:numFmt w:val="lowerLetter"/>
      <w:start w:val="2"/>
    </w:lvl>
    <w:lvl w:ilvl="1">
      <w:lvlJc w:val="left"/>
      <w:lvlText w:val="%2"/>
      <w:numFmt w:val="lowerRoman"/>
      <w:start w:val="1"/>
    </w:lvl>
  </w:abstractNum>
  <w:abstractNum w:abstractNumId="104">
    <w:nsid w:val="78DF6A55"/>
    <w:multiLevelType w:val="hybridMultilevel"/>
    <w:lvl w:ilvl="0">
      <w:lvlJc w:val="left"/>
      <w:lvlText w:val="(%1)"/>
      <w:numFmt w:val="lowerLetter"/>
      <w:start w:val="1"/>
    </w:lvl>
  </w:abstractNum>
  <w:abstractNum w:abstractNumId="105">
    <w:nsid w:val="39B7AAA2"/>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06">
    <w:nsid w:val="2B0D8DBE"/>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8"/>
    </w:lvl>
    <w:lvl w:ilvl="3">
      <w:lvlJc w:val="left"/>
      <w:lvlText w:val="(%4)"/>
      <w:numFmt w:val="lowerRoman"/>
      <w:start w:val="1"/>
    </w:lvl>
  </w:abstractNum>
  <w:abstractNum w:abstractNumId="107">
    <w:nsid w:val="6C80EC70"/>
    <w:multiLevelType w:val="hybridMultilevel"/>
    <w:lvl w:ilvl="0">
      <w:lvlJc w:val="left"/>
      <w:lvlText w:val="%1"/>
      <w:numFmt w:val="lowerLetter"/>
      <w:start w:val="1"/>
    </w:lvl>
    <w:lvl w:ilvl="1">
      <w:lvlJc w:val="left"/>
      <w:lvlText w:val="(%2)"/>
      <w:numFmt w:val="upperLetter"/>
      <w:start w:val="2"/>
    </w:lvl>
    <w:lvl w:ilvl="2">
      <w:lvlJc w:val="left"/>
      <w:lvlText w:val="%3"/>
      <w:numFmt w:val="decimal"/>
      <w:start w:val="1"/>
    </w:lvl>
    <w:lvl w:ilvl="3">
      <w:lvlJc w:val="left"/>
      <w:lvlText w:val="%4"/>
      <w:numFmt w:val="lowerRoman"/>
      <w:start w:val="1"/>
    </w:lvl>
  </w:abstractNum>
  <w:abstractNum w:abstractNumId="108">
    <w:nsid w:val="379E21B5"/>
    <w:multiLevelType w:val="hybridMultilevel"/>
    <w:lvl w:ilvl="0">
      <w:lvlJc w:val="left"/>
      <w:lvlText w:val="(%1)"/>
      <w:numFmt w:val="lowerLetter"/>
      <w:start w:val="8"/>
    </w:lvl>
    <w:lvl w:ilvl="1">
      <w:lvlJc w:val="left"/>
      <w:lvlText w:val="%2"/>
      <w:numFmt w:val="upperLetter"/>
      <w:start w:val="1"/>
    </w:lvl>
    <w:lvl w:ilvl="2">
      <w:lvlJc w:val="left"/>
      <w:lvlText w:val="%3"/>
      <w:numFmt w:val="decimal"/>
      <w:start w:val="1"/>
    </w:lvl>
    <w:lvl w:ilvl="3">
      <w:lvlJc w:val="left"/>
      <w:lvlText w:val="%4"/>
      <w:numFmt w:val="lowerRoman"/>
      <w:start w:val="1"/>
    </w:lvl>
  </w:abstractNum>
  <w:abstractNum w:abstractNumId="109">
    <w:nsid w:val="69E373"/>
    <w:multiLevelType w:val="hybridMultilevel"/>
    <w:lvl w:ilvl="0">
      <w:lvlJc w:val="left"/>
      <w:lvlText w:val="(%1)"/>
      <w:numFmt w:val="lowerLetter"/>
      <w:start w:val="1"/>
    </w:lvl>
    <w:lvl w:ilvl="1">
      <w:lvlJc w:val="left"/>
      <w:lvlText w:val="(%2)"/>
      <w:numFmt w:val="lowerRoman"/>
      <w:start w:val="1"/>
    </w:lvl>
  </w:abstractNum>
  <w:abstractNum w:abstractNumId="110">
    <w:nsid w:val="2C27173B"/>
    <w:multiLevelType w:val="hybridMultilevel"/>
    <w:lvl w:ilvl="0">
      <w:lvlJc w:val="left"/>
      <w:lvlText w:val="%1"/>
      <w:numFmt w:val="lowerLetter"/>
      <w:start w:val="1"/>
    </w:lvl>
    <w:lvl w:ilvl="1">
      <w:lvlJc w:val="left"/>
      <w:lvlText w:val="(%2)"/>
      <w:numFmt w:val="lowerRoman"/>
      <w:start w:val="4"/>
    </w:lvl>
  </w:abstractNum>
  <w:abstractNum w:abstractNumId="111">
    <w:nsid w:val="4C9B0904"/>
    <w:multiLevelType w:val="hybridMultilevel"/>
    <w:lvl w:ilvl="0">
      <w:lvlJc w:val="left"/>
      <w:lvlText w:val="(%1)"/>
      <w:numFmt w:val="lowerLetter"/>
      <w:start w:val="2"/>
    </w:lvl>
    <w:lvl w:ilvl="1">
      <w:lvlJc w:val="left"/>
      <w:lvlText w:val="(%2)"/>
      <w:numFmt w:val="lowerRoman"/>
      <w:start w:val="1"/>
    </w:lvl>
  </w:abstractNum>
  <w:abstractNum w:abstractNumId="112">
    <w:nsid w:val="6AA7B75C"/>
    <w:multiLevelType w:val="hybridMultilevel"/>
    <w:lvl w:ilvl="0">
      <w:lvlJc w:val="left"/>
      <w:lvlText w:val="(%1)"/>
      <w:numFmt w:val="lowerRoman"/>
      <w:start w:val="2"/>
    </w:lvl>
  </w:abstractNum>
  <w:abstractNum w:abstractNumId="113">
    <w:nsid w:val="1DF029D3"/>
    <w:multiLevelType w:val="hybridMultilevel"/>
    <w:lvl w:ilvl="0">
      <w:lvlJc w:val="left"/>
      <w:lvlText w:val="(%1)"/>
      <w:numFmt w:val="lowerLetter"/>
      <w:start w:val="1"/>
    </w:lvl>
    <w:lvl w:ilvl="1">
      <w:lvlJc w:val="left"/>
      <w:lvlText w:val="(%2)"/>
      <w:numFmt w:val="lowerRoman"/>
      <w:start w:val="1"/>
    </w:lvl>
  </w:abstractNum>
  <w:abstractNum w:abstractNumId="114">
    <w:nsid w:val="5675FF36"/>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15">
    <w:nsid w:val="3DD1509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16">
    <w:nsid w:val="3DB012B3"/>
    <w:multiLevelType w:val="hybridMultilevel"/>
    <w:lvl w:ilvl="0">
      <w:lvlJc w:val="left"/>
      <w:lvlText w:val="%1"/>
      <w:numFmt w:val="lowerLetter"/>
      <w:start w:val="1"/>
    </w:lvl>
    <w:lvl w:ilvl="1">
      <w:lvlJc w:val="left"/>
      <w:lvlText w:val="(%2)"/>
      <w:numFmt w:val="lowerLetter"/>
      <w:start w:val="35"/>
    </w:lvl>
  </w:abstractNum>
  <w:abstractNum w:abstractNumId="117">
    <w:nsid w:val="2708C9AF"/>
    <w:multiLevelType w:val="hybridMultilevel"/>
    <w:lvl w:ilvl="0">
      <w:lvlJc w:val="left"/>
      <w:lvlText w:val="(%1)"/>
      <w:numFmt w:val="lowerLetter"/>
      <w:start w:val="4"/>
    </w:lvl>
    <w:lvl w:ilvl="1">
      <w:lvlJc w:val="left"/>
      <w:lvlText w:val="%2"/>
      <w:numFmt w:val="lowerLetter"/>
      <w:start w:val="1"/>
    </w:lvl>
  </w:abstractNum>
  <w:abstractNum w:abstractNumId="118">
    <w:nsid w:val="5B25ACE2"/>
    <w:multiLevelType w:val="hybridMultilevel"/>
    <w:lvl w:ilvl="0">
      <w:lvlJc w:val="left"/>
      <w:lvlText w:val="(%1)"/>
      <w:numFmt w:val="lowerLetter"/>
      <w:start w:val="1"/>
    </w:lvl>
  </w:abstractNum>
  <w:abstractNum w:abstractNumId="119">
    <w:nsid w:val="175DFCF0"/>
    <w:multiLevelType w:val="hybridMultilevel"/>
    <w:lvl w:ilvl="0">
      <w:lvlJc w:val="left"/>
      <w:lvlText w:val="(%1)"/>
      <w:numFmt w:val="lowerLetter"/>
      <w:start w:val="1"/>
    </w:lvl>
  </w:abstractNum>
  <w:abstractNum w:abstractNumId="120">
    <w:nsid w:val="4F97E3E4"/>
    <w:multiLevelType w:val="hybridMultilevel"/>
    <w:lvl w:ilvl="0">
      <w:lvlJc w:val="left"/>
      <w:lvlText w:val="(%1)"/>
      <w:numFmt w:val="lowerRoman"/>
      <w:start w:val="1"/>
    </w:lvl>
  </w:abstractNum>
  <w:abstractNum w:abstractNumId="121">
    <w:nsid w:val="53B0A9E"/>
    <w:multiLevelType w:val="hybridMultilevel"/>
    <w:lvl w:ilvl="0">
      <w:lvlJc w:val="left"/>
      <w:lvlText w:val="(%1)"/>
      <w:numFmt w:val="lowerLetter"/>
      <w:start w:val="2"/>
    </w:lvl>
  </w:abstractNum>
  <w:abstractNum w:abstractNumId="122">
    <w:nsid w:val="34FD6B4F"/>
    <w:multiLevelType w:val="hybridMultilevel"/>
    <w:lvl w:ilvl="0">
      <w:lvlJc w:val="left"/>
      <w:lvlText w:val="(%1)"/>
      <w:numFmt w:val="lowerLetter"/>
      <w:start w:val="1"/>
    </w:lvl>
  </w:abstractNum>
  <w:abstractNum w:abstractNumId="123">
    <w:nsid w:val="5915FF32"/>
    <w:multiLevelType w:val="hybridMultilevel"/>
    <w:lvl w:ilvl="0">
      <w:lvlJc w:val="left"/>
      <w:lvlText w:val="(%1)"/>
      <w:numFmt w:val="lowerLetter"/>
      <w:start w:val="1"/>
    </w:lvl>
  </w:abstractNum>
  <w:abstractNum w:abstractNumId="124">
    <w:nsid w:val="56438D15"/>
    <w:multiLevelType w:val="hybridMultilevel"/>
    <w:lvl w:ilvl="0">
      <w:lvlJc w:val="left"/>
      <w:lvlText w:val="(%1)"/>
      <w:numFmt w:val="lowerLetter"/>
      <w:start w:val="3"/>
    </w:lvl>
  </w:abstractNum>
  <w:abstractNum w:abstractNumId="125">
    <w:nsid w:val="519E314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2024-04-08T15:31:59Z</dcterms:created>
  <dcterms:modified xsi:type="dcterms:W3CDTF">2024-04-08T15:31:59Z</dcterms:modified>
</cp:coreProperties>
</file>