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948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948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Wolf Kurt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 WATERVIEW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PITNEY BOWES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PBI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79"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6"/>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600" w:type="dxa"/>
            <w:vAlign w:val="bottom"/>
            <w:gridSpan w:val="5"/>
            <w:vMerge w:val="continue"/>
          </w:tcPr>
          <w:p>
            <w:pPr>
              <w:spacing w:after="0"/>
              <w:rPr>
                <w:sz w:val="10"/>
                <w:szCs w:val="10"/>
                <w:color w:val="auto"/>
              </w:rPr>
            </w:pPr>
          </w:p>
        </w:tc>
        <w:tc>
          <w:tcPr>
            <w:tcW w:w="36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gridSpan w:val="2"/>
          </w:tcPr>
          <w:p>
            <w:pPr>
              <w:ind w:left="380"/>
              <w:spacing w:after="0"/>
              <w:rPr>
                <w:sz w:val="20"/>
                <w:szCs w:val="20"/>
                <w:color w:val="auto"/>
              </w:rPr>
            </w:pPr>
            <w:r>
              <w:rPr>
                <w:rFonts w:ascii="Arial" w:cs="Arial" w:eastAsia="Arial" w:hAnsi="Arial"/>
                <w:sz w:val="13"/>
                <w:szCs w:val="13"/>
                <w:color w:val="auto"/>
              </w:rPr>
              <w:t>Line)</w:t>
            </w: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SHELTON</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CT</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06484</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4"/>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20" w:type="dxa"/>
            <w:vAlign w:val="bottom"/>
            <w:gridSpan w:val="4"/>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240" w:type="dxa"/>
            <w:vAlign w:val="bottom"/>
            <w:vMerge w:val="restart"/>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ind w:left="200"/>
              <w:spacing w:after="0"/>
              <w:rPr>
                <w:sz w:val="20"/>
                <w:szCs w:val="20"/>
                <w:color w:val="auto"/>
              </w:rPr>
            </w:pPr>
            <w:r>
              <w:rPr>
                <w:rFonts w:ascii="Arial" w:cs="Arial" w:eastAsia="Arial" w:hAnsi="Arial"/>
                <w:sz w:val="13"/>
                <w:szCs w:val="13"/>
                <w:color w:val="auto"/>
              </w:rPr>
              <w:t>Person</w:t>
            </w: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00" w:type="dxa"/>
            <w:vAlign w:val="bottom"/>
            <w:gridSpan w:val="2"/>
          </w:tcPr>
          <w:p>
            <w:pPr>
              <w:ind w:left="9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0" w:type="dxa"/>
            <w:vAlign w:val="bottom"/>
            <w:gridSpan w:val="2"/>
          </w:tcPr>
          <w:p>
            <w:pPr>
              <w:ind w:left="9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0" w:type="dxa"/>
            <w:vAlign w:val="bottom"/>
            <w:gridSpan w:val="2"/>
          </w:tcPr>
          <w:p>
            <w:pPr>
              <w:ind w:left="9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96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10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Price</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17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0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06/01/2026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1,067,507</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16.1</w:t>
            </w:r>
            <w:r>
              <w:rPr>
                <w:rFonts w:ascii="Times New Roman" w:cs="Times New Roman" w:eastAsia="Times New Roman" w:hAnsi="Times New Roman"/>
                <w:sz w:val="22"/>
                <w:szCs w:val="22"/>
                <w:color w:val="008000"/>
                <w:vertAlign w:val="superscript"/>
              </w:rPr>
              <w:t>(2)</w:t>
            </w:r>
          </w:p>
        </w:tc>
        <w:tc>
          <w:tcPr>
            <w:tcW w:w="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1,132,202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Hestia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2000" w:type="dxa"/>
            <w:vAlign w:val="bottom"/>
            <w:gridSpan w:val="2"/>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06/01/2026</w:t>
            </w:r>
          </w:p>
        </w:tc>
        <w:tc>
          <w:tcPr>
            <w:tcW w:w="1120" w:type="dxa"/>
            <w:vAlign w:val="bottom"/>
          </w:tcPr>
          <w:p>
            <w:pPr>
              <w:spacing w:after="0"/>
              <w:rPr>
                <w:sz w:val="18"/>
                <w:szCs w:val="18"/>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1,500,000</w:t>
            </w:r>
            <w:r>
              <w:rPr>
                <w:rFonts w:ascii="Times New Roman" w:cs="Times New Roman" w:eastAsia="Times New Roman" w:hAnsi="Times New Roman"/>
                <w:sz w:val="22"/>
                <w:szCs w:val="22"/>
                <w:color w:val="008000"/>
                <w:vertAlign w:val="superscript"/>
              </w:rPr>
              <w:t>(2)</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16.1</w:t>
            </w:r>
            <w:r>
              <w:rPr>
                <w:rFonts w:ascii="Times New Roman" w:cs="Times New Roman" w:eastAsia="Times New Roman" w:hAnsi="Times New Roman"/>
                <w:sz w:val="22"/>
                <w:szCs w:val="22"/>
                <w:color w:val="008000"/>
                <w:vertAlign w:val="superscript"/>
              </w:rPr>
              <w:t>(2)</w:t>
            </w:r>
          </w:p>
        </w:tc>
        <w:tc>
          <w:tcPr>
            <w:tcW w:w="4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3,879,981</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338,256</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Separately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jc w:val="right"/>
        <w:ind w:right="100"/>
        <w:spacing w:after="0"/>
        <w:rPr>
          <w:sz w:val="20"/>
          <w:szCs w:val="20"/>
          <w:color w:val="auto"/>
        </w:rPr>
      </w:pPr>
      <w:r>
        <w:rPr>
          <w:rFonts w:ascii="Times New Roman" w:cs="Times New Roman" w:eastAsia="Times New Roman" w:hAnsi="Times New Roman"/>
          <w:sz w:val="17"/>
          <w:szCs w:val="17"/>
          <w:color w:val="0000FF"/>
        </w:rPr>
        <w:t>Accounts</w:t>
      </w:r>
      <w:r>
        <w:rPr>
          <w:rFonts w:ascii="Times New Roman" w:cs="Times New Roman" w:eastAsia="Times New Roman" w:hAnsi="Times New Roman"/>
          <w:sz w:val="22"/>
          <w:szCs w:val="22"/>
          <w:color w:val="008000"/>
          <w:vertAlign w:val="superscript"/>
        </w:rPr>
        <w:t>(3)</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reflect (i) the Reporting Person's in-kind direct receipt of 1,067,507 shares distributed by Hestia Capital Partners, LP (collectively with its affiliates, "Hestia" or the "Funds") based on a reduction of the Funds' aggregate position in the Issuer's Common Stock and (ii) the in-kind distribution of shares held indirectly by the Reporting Person, consisting of 1,067,507 shares that were distributed in-kind to the Reporting Person and 432,493 shares that were distributed in-kind to other participating limited partners. The Reporting Person's personal holdings of the Issuer's Common Stock remain unchanged, as the reported transactions reflect a change in the Reporting Person's form of beneficial ownership rather than a sale by the Reporting Person.</w:t>
      </w:r>
    </w:p>
    <w:p>
      <w:pPr>
        <w:spacing w:after="0" w:line="24"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shares received by the Reporting Person was determined based on Hestia's pro rata distribution of shares to each limited partner participating in the distribution event and the closing price of the Issuer's Common Stock as of the close of trading on May 29, 2026.</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managing member of (a) Hestia Partners GP, the general partner of Hestia Capital Partners, LP (Hestia Capital), and (b) Hestia LLC, the investment manager of Hestia Capital and certain separately managed accounts (the SMAs). As the managing member of each of Hestia Partners GP and Hestia LLC, the Reporting Person may be deemed the beneficial owner of the shares directly owned by Hestia Capital and the shares held in the SMAs. The Reporting Person disclaims beneficial ownership of these securities except to the extent of his pecuniary interests therein.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Elisabeth Weinberg,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37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Kurt</w:t>
      </w:r>
      <w:r>
        <w:rPr>
          <w:sz w:val="20"/>
          <w:szCs w:val="20"/>
          <w:color w:val="auto"/>
        </w:rPr>
        <w:tab/>
      </w: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James Wolf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3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93906" TargetMode="External"/><Relationship Id="rId14" Type="http://schemas.openxmlformats.org/officeDocument/2006/relationships/hyperlink" Target="http://www.sec.gov/cgi-bin/browse-edgar?action=getcompany&amp;CIK=00000788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2026-06-03T14:12:17Z</dcterms:created>
  <dcterms:modified xsi:type="dcterms:W3CDTF">2026-06-03T14:12:17Z</dcterms:modified>
</cp:coreProperties>
</file>