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30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4"/>
        </w:rPr>
        <w:t>QUARTERLY REPORT PURSUANT TO SECTION 13 OR 15(d) OF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120"/>
        <w:jc w:val="center"/>
        <w:rPr>
          <w:rFonts w:ascii="Times New Roman;serif" w:hAnsi="Times New Roman;serif"/>
          <w:b/>
          <w:color w:val="000000"/>
          <w:sz w:val="24"/>
        </w:rPr>
      </w:pPr>
      <w:r>
        <w:rPr>
          <w:rFonts w:ascii="Times New Roman;serif" w:hAnsi="Times New Roman;serif"/>
          <w:b/>
          <w:color w:val="000000"/>
          <w:sz w:val="24"/>
        </w:rPr>
        <w:t>OR</w:t>
      </w:r>
    </w:p>
    <w:p>
      <w:pPr>
        <w:pStyle w:val="TextBody"/>
        <w:bidi w:val="0"/>
        <w:spacing w:lineRule="auto" w:line="288" w:before="0" w:after="0"/>
        <w:jc w:val="center"/>
        <w:rPr/>
      </w:pPr>
      <w:r>
        <w:rPr>
          <w:color w:val="000000"/>
        </w:rPr>
        <w:t xml:space="preserve">☐ </w:t>
      </w:r>
      <w:r>
        <w:rPr>
          <w:rFonts w:ascii="Times New Roman;serif" w:hAnsi="Times New Roman;serif"/>
          <w:b w:val="false"/>
          <w:color w:val="000000"/>
          <w:sz w:val="24"/>
        </w:rPr>
        <w:t>TRANSITION REPORT PURSUANT TO SECTION 13 OR 15(d) OF THE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________________ to ________________</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1-03579 </w:t>
      </w:r>
    </w:p>
    <w:p>
      <w:pPr>
        <w:pStyle w:val="TextBody"/>
        <w:bidi w:val="0"/>
        <w:spacing w:lineRule="auto" w:line="288" w:before="120" w:after="60"/>
        <w:jc w:val="center"/>
        <w:rPr>
          <w:rFonts w:ascii="Times New Roman;serif" w:hAnsi="Times New Roman;serif"/>
          <w:b/>
          <w:color w:val="000000"/>
          <w:sz w:val="40"/>
        </w:rPr>
      </w:pPr>
      <w:r>
        <w:rPr>
          <w:rFonts w:ascii="Times New Roman;serif" w:hAnsi="Times New Roman;serif"/>
          <w:b/>
          <w:color w:val="000000"/>
          <w:sz w:val="40"/>
        </w:rPr>
        <w:t>PITNEY BOWES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10" w:type="dxa"/>
        <w:jc w:val="left"/>
        <w:tblInd w:w="0" w:type="dxa"/>
        <w:tblLayout w:type="fixed"/>
        <w:tblCellMar>
          <w:top w:w="28" w:type="dxa"/>
          <w:left w:w="28" w:type="dxa"/>
          <w:bottom w:w="28" w:type="dxa"/>
          <w:right w:w="28" w:type="dxa"/>
        </w:tblCellMar>
      </w:tblPr>
      <w:tblGrid>
        <w:gridCol w:w="706"/>
        <w:gridCol w:w="621"/>
        <w:gridCol w:w="622"/>
        <w:gridCol w:w="305"/>
        <w:gridCol w:w="305"/>
        <w:gridCol w:w="306"/>
        <w:gridCol w:w="109"/>
        <w:gridCol w:w="109"/>
        <w:gridCol w:w="109"/>
        <w:gridCol w:w="954"/>
        <w:gridCol w:w="954"/>
        <w:gridCol w:w="956"/>
        <w:gridCol w:w="337"/>
        <w:gridCol w:w="337"/>
        <w:gridCol w:w="480"/>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06-0495050</w:t>
            </w:r>
          </w:p>
        </w:tc>
      </w:tr>
    </w:tbl>
    <w:tbl>
      <w:tblPr>
        <w:tblW w:w="8049" w:type="dxa"/>
        <w:jc w:val="center"/>
        <w:tblInd w:w="0" w:type="dxa"/>
        <w:tblLayout w:type="fixed"/>
        <w:tblCellMar>
          <w:top w:w="28" w:type="dxa"/>
          <w:left w:w="28" w:type="dxa"/>
          <w:bottom w:w="28" w:type="dxa"/>
          <w:right w:w="28" w:type="dxa"/>
        </w:tblCellMar>
      </w:tblPr>
      <w:tblGrid>
        <w:gridCol w:w="1193"/>
        <w:gridCol w:w="1050"/>
        <w:gridCol w:w="1057"/>
        <w:gridCol w:w="308"/>
        <w:gridCol w:w="308"/>
        <w:gridCol w:w="308"/>
        <w:gridCol w:w="308"/>
        <w:gridCol w:w="308"/>
        <w:gridCol w:w="316"/>
        <w:gridCol w:w="259"/>
        <w:gridCol w:w="259"/>
        <w:gridCol w:w="261"/>
        <w:gridCol w:w="370"/>
        <w:gridCol w:w="370"/>
        <w:gridCol w:w="371"/>
        <w:gridCol w:w="210"/>
        <w:gridCol w:w="210"/>
        <w:gridCol w:w="211"/>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27 Waterview Drive,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Shelton,</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Connecticut</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06484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Telephone Number:</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w:t>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922-4000</w:t>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397" w:type="dxa"/>
        <w:jc w:val="left"/>
        <w:tblInd w:w="0" w:type="dxa"/>
        <w:tblLayout w:type="fixed"/>
        <w:tblCellMar>
          <w:top w:w="28" w:type="dxa"/>
          <w:left w:w="28" w:type="dxa"/>
          <w:bottom w:w="28" w:type="dxa"/>
          <w:right w:w="28" w:type="dxa"/>
        </w:tblCellMar>
      </w:tblPr>
      <w:tblGrid>
        <w:gridCol w:w="1171"/>
        <w:gridCol w:w="1031"/>
        <w:gridCol w:w="1037"/>
        <w:gridCol w:w="109"/>
        <w:gridCol w:w="109"/>
        <w:gridCol w:w="109"/>
        <w:gridCol w:w="539"/>
        <w:gridCol w:w="539"/>
        <w:gridCol w:w="541"/>
        <w:gridCol w:w="109"/>
        <w:gridCol w:w="109"/>
        <w:gridCol w:w="109"/>
        <w:gridCol w:w="1138"/>
        <w:gridCol w:w="1138"/>
        <w:gridCol w:w="1609"/>
      </w:tblGrid>
      <w:tr>
        <w:trPr/>
        <w:tc>
          <w:tcPr>
            <w:tcW w:w="117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 Notes due 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PBI.PRB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815"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94"/>
        <w:gridCol w:w="694"/>
        <w:gridCol w:w="697"/>
        <w:gridCol w:w="109"/>
        <w:gridCol w:w="109"/>
        <w:gridCol w:w="109"/>
        <w:gridCol w:w="539"/>
        <w:gridCol w:w="539"/>
        <w:gridCol w:w="541"/>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12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120"/>
        <w:jc w:val="both"/>
        <w:rPr/>
      </w:pPr>
      <w:r>
        <w:rPr>
          <w:rFonts w:ascii="Times New Roman;serif" w:hAnsi="Times New Roman;serif"/>
          <w:b w:val="false"/>
          <w:color w:val="000000"/>
          <w:sz w:val="18"/>
        </w:rPr>
        <w:t xml:space="preserve">Indicate by check mark whether the registrant is a shell company (as defined in Rule 12b-2 of the Exchange Act).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As of July 21, 2026, 137,090,212 shares of common stock, par value $1 per share, of the registrant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PITNEY BOWES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INDEX</w:t>
      </w:r>
    </w:p>
    <w:tbl>
      <w:tblPr>
        <w:tblW w:w="10205" w:type="dxa"/>
        <w:jc w:val="center"/>
        <w:tblInd w:w="0" w:type="dxa"/>
        <w:tblLayout w:type="fixed"/>
        <w:tblCellMar>
          <w:top w:w="28" w:type="dxa"/>
          <w:left w:w="28" w:type="dxa"/>
          <w:bottom w:w="28" w:type="dxa"/>
          <w:right w:w="28" w:type="dxa"/>
        </w:tblCellMar>
      </w:tblPr>
      <w:tblGrid>
        <w:gridCol w:w="426"/>
        <w:gridCol w:w="374"/>
        <w:gridCol w:w="374"/>
        <w:gridCol w:w="2713"/>
        <w:gridCol w:w="2617"/>
        <w:gridCol w:w="2583"/>
        <w:gridCol w:w="326"/>
        <w:gridCol w:w="326"/>
        <w:gridCol w:w="466"/>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0">
              <w:r>
                <w:rPr>
                  <w:rStyle w:val="InternetLink"/>
                  <w:rFonts w:ascii="Times New Roman;serif" w:hAnsi="Times New Roman;serif"/>
                  <w:b/>
                  <w:color w:val="0000FF"/>
                  <w:sz w:val="20"/>
                  <w:u w:val="single"/>
                </w:rPr>
                <w:t>Part I - Financial Information:</w:t>
              </w:r>
            </w:hyperlink>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3">
              <w:r>
                <w:rPr>
                  <w:rStyle w:val="InternetLink"/>
                  <w:rFonts w:ascii="Times New Roman;serif" w:hAnsi="Times New Roman;serif"/>
                  <w:b w:val="false"/>
                  <w:color w:val="0000FF"/>
                  <w:sz w:val="20"/>
                  <w:u w:val="single"/>
                </w:rPr>
                <w:t>Item 1:</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3">
              <w:r>
                <w:rPr>
                  <w:rStyle w:val="InternetLink"/>
                  <w:rFonts w:ascii="Times New Roman;serif" w:hAnsi="Times New Roman;serif"/>
                  <w:b w:val="false"/>
                  <w:color w:val="0000FF"/>
                  <w:sz w:val="20"/>
                  <w:u w:val="single"/>
                </w:rPr>
                <w:t>Financial Statements</w:t>
              </w:r>
            </w:hyperlink>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Statements of Operations for the Three and Six Months Ended June 30, 2026 and 2025</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6">
              <w:r>
                <w:rPr>
                  <w:rStyle w:val="InternetLink"/>
                  <w:rFonts w:ascii="Times New Roman;serif" w:hAnsi="Times New Roman;serif"/>
                  <w:b w:val="false"/>
                  <w:color w:val="0000FF"/>
                  <w:sz w:val="20"/>
                  <w:u w:val="single"/>
                </w:rPr>
                <w:t>3</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Statements of Comprehensive Income for the Three and Six Months Ended June 30, 2026 and 2025</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9">
              <w:r>
                <w:rPr>
                  <w:rStyle w:val="InternetLink"/>
                  <w:rFonts w:ascii="Times New Roman;serif" w:hAnsi="Times New Roman;serif"/>
                  <w:b w:val="false"/>
                  <w:color w:val="0000FF"/>
                  <w:sz w:val="20"/>
                  <w:u w:val="single"/>
                </w:rPr>
                <w:t>4</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Balance Sheets at June 30, 2026 and December 31, 2025</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22">
              <w:r>
                <w:rPr>
                  <w:rStyle w:val="InternetLink"/>
                  <w:rFonts w:ascii="Times New Roman;serif" w:hAnsi="Times New Roman;serif"/>
                  <w:b w:val="false"/>
                  <w:color w:val="0000FF"/>
                  <w:sz w:val="20"/>
                  <w:u w:val="single"/>
                </w:rPr>
                <w:t>5</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Condensed Consolidated Statements of Cash Flows for the Six Months Ended June 30, 2026 and 2025</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25">
              <w:r>
                <w:rPr>
                  <w:rStyle w:val="InternetLink"/>
                  <w:rFonts w:ascii="Times New Roman;serif" w:hAnsi="Times New Roman;serif"/>
                  <w:b w:val="false"/>
                  <w:color w:val="0000FF"/>
                  <w:sz w:val="20"/>
                  <w:u w:val="single"/>
                </w:rPr>
                <w:t>6</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28">
              <w:r>
                <w:rPr>
                  <w:rStyle w:val="InternetLink"/>
                  <w:rFonts w:ascii="Times New Roman;serif" w:hAnsi="Times New Roman;serif"/>
                  <w:b w:val="false"/>
                  <w:color w:val="0000FF"/>
                  <w:sz w:val="20"/>
                  <w:u w:val="single"/>
                </w:rPr>
                <w:t>Notes to Condensed Consolidated Financial Statements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28">
              <w:r>
                <w:rPr>
                  <w:rStyle w:val="InternetLink"/>
                  <w:rFonts w:ascii="Times New Roman;serif" w:hAnsi="Times New Roman;serif"/>
                  <w:b w:val="false"/>
                  <w:color w:val="0000FF"/>
                  <w:sz w:val="20"/>
                  <w:u w:val="single"/>
                </w:rPr>
                <w:t>7</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97">
              <w:r>
                <w:rPr>
                  <w:rStyle w:val="InternetLink"/>
                  <w:rFonts w:ascii="Times New Roman;serif" w:hAnsi="Times New Roman;serif"/>
                  <w:b w:val="false"/>
                  <w:color w:val="0000FF"/>
                  <w:sz w:val="20"/>
                  <w:u w:val="single"/>
                </w:rPr>
                <w:t>Item 2:</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97">
              <w:r>
                <w:rPr>
                  <w:rStyle w:val="InternetLink"/>
                  <w:rFonts w:ascii="Times New Roman;serif" w:hAnsi="Times New Roman;serif"/>
                  <w:b w:val="false"/>
                  <w:color w:val="0000FF"/>
                  <w:sz w:val="20"/>
                  <w:u w:val="single"/>
                </w:rPr>
                <w:t>30</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06">
              <w:r>
                <w:rPr>
                  <w:rStyle w:val="InternetLink"/>
                  <w:rFonts w:ascii="Times New Roman;serif" w:hAnsi="Times New Roman;serif"/>
                  <w:b w:val="false"/>
                  <w:color w:val="0000FF"/>
                  <w:sz w:val="20"/>
                  <w:u w:val="single"/>
                </w:rPr>
                <w:t>Item 3:</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06">
              <w:r>
                <w:rPr>
                  <w:rStyle w:val="InternetLink"/>
                  <w:rFonts w:ascii="Times New Roman;serif" w:hAnsi="Times New Roman;serif"/>
                  <w:b w:val="false"/>
                  <w:color w:val="0000FF"/>
                  <w:sz w:val="20"/>
                  <w:u w:val="single"/>
                </w:rPr>
                <w:t>Quantitative and Qualitative Disclosures about Market Risk</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06">
              <w:r>
                <w:rPr>
                  <w:rStyle w:val="InternetLink"/>
                  <w:rFonts w:ascii="Times New Roman;serif" w:hAnsi="Times New Roman;serif"/>
                  <w:b w:val="false"/>
                  <w:color w:val="0000FF"/>
                  <w:sz w:val="20"/>
                  <w:u w:val="single"/>
                </w:rPr>
                <w:t>38</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09">
              <w:r>
                <w:rPr>
                  <w:rStyle w:val="InternetLink"/>
                  <w:rFonts w:ascii="Times New Roman;serif" w:hAnsi="Times New Roman;serif"/>
                  <w:b w:val="false"/>
                  <w:color w:val="0000FF"/>
                  <w:sz w:val="20"/>
                  <w:u w:val="single"/>
                </w:rPr>
                <w:t>Item 4:</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09">
              <w:r>
                <w:rPr>
                  <w:rStyle w:val="InternetLink"/>
                  <w:rFonts w:ascii="Times New Roman;serif" w:hAnsi="Times New Roman;serif"/>
                  <w:b w:val="false"/>
                  <w:color w:val="0000FF"/>
                  <w:sz w:val="20"/>
                  <w:u w:val="single"/>
                </w:rPr>
                <w:t>Controls and Procedures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09">
              <w:r>
                <w:rPr>
                  <w:rStyle w:val="InternetLink"/>
                  <w:rFonts w:ascii="Times New Roman;serif" w:hAnsi="Times New Roman;serif"/>
                  <w:b w:val="false"/>
                  <w:color w:val="0000FF"/>
                  <w:sz w:val="20"/>
                  <w:u w:val="single"/>
                </w:rPr>
                <w:t>38</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12">
              <w:r>
                <w:rPr>
                  <w:rStyle w:val="InternetLink"/>
                  <w:rFonts w:ascii="Times New Roman;serif" w:hAnsi="Times New Roman;serif"/>
                  <w:b/>
                  <w:color w:val="0000FF"/>
                  <w:sz w:val="20"/>
                  <w:u w:val="single"/>
                </w:rPr>
                <w:t>Part II - Other Information:</w:t>
              </w:r>
            </w:hyperlink>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15">
              <w:r>
                <w:rPr>
                  <w:rStyle w:val="InternetLink"/>
                  <w:rFonts w:ascii="Times New Roman;serif" w:hAnsi="Times New Roman;serif"/>
                  <w:b w:val="false"/>
                  <w:color w:val="0000FF"/>
                  <w:sz w:val="20"/>
                  <w:u w:val="single"/>
                </w:rPr>
                <w:t>Item 1:</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15">
              <w:r>
                <w:rPr>
                  <w:rStyle w:val="InternetLink"/>
                  <w:rFonts w:ascii="Times New Roman;serif" w:hAnsi="Times New Roman;serif"/>
                  <w:b w:val="false"/>
                  <w:color w:val="0000FF"/>
                  <w:sz w:val="20"/>
                  <w:u w:val="single"/>
                </w:rPr>
                <w:t>Legal Proceedings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15">
              <w:r>
                <w:rPr>
                  <w:rStyle w:val="InternetLink"/>
                  <w:rFonts w:ascii="Times New Roman;serif" w:hAnsi="Times New Roman;serif"/>
                  <w:b w:val="false"/>
                  <w:color w:val="0000FF"/>
                  <w:sz w:val="20"/>
                  <w:u w:val="single"/>
                </w:rPr>
                <w:t>39</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18">
              <w:r>
                <w:rPr>
                  <w:rStyle w:val="InternetLink"/>
                  <w:rFonts w:ascii="Times New Roman;serif" w:hAnsi="Times New Roman;serif"/>
                  <w:b w:val="false"/>
                  <w:color w:val="0000FF"/>
                  <w:sz w:val="20"/>
                  <w:u w:val="single"/>
                </w:rPr>
                <w:t>Item 1A:</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18">
              <w:r>
                <w:rPr>
                  <w:rStyle w:val="InternetLink"/>
                  <w:rFonts w:ascii="Times New Roman;serif" w:hAnsi="Times New Roman;serif"/>
                  <w:b w:val="false"/>
                  <w:color w:val="0000FF"/>
                  <w:sz w:val="20"/>
                  <w:u w:val="single"/>
                </w:rPr>
                <w:t>Risk Factors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18">
              <w:r>
                <w:rPr>
                  <w:rStyle w:val="InternetLink"/>
                  <w:rFonts w:ascii="Times New Roman;serif" w:hAnsi="Times New Roman;serif"/>
                  <w:b w:val="false"/>
                  <w:color w:val="0000FF"/>
                  <w:sz w:val="20"/>
                  <w:u w:val="single"/>
                </w:rPr>
                <w:t>39</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1">
              <w:r>
                <w:rPr>
                  <w:rStyle w:val="InternetLink"/>
                  <w:rFonts w:ascii="Times New Roman;serif" w:hAnsi="Times New Roman;serif"/>
                  <w:b w:val="false"/>
                  <w:color w:val="0000FF"/>
                  <w:sz w:val="20"/>
                  <w:u w:val="single"/>
                </w:rPr>
                <w:t>Item 2:</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1">
              <w:r>
                <w:rPr>
                  <w:rStyle w:val="InternetLink"/>
                  <w:rFonts w:ascii="Times New Roman;serif" w:hAnsi="Times New Roman;serif"/>
                  <w:b w:val="false"/>
                  <w:color w:val="0000FF"/>
                  <w:sz w:val="20"/>
                  <w:u w:val="single"/>
                </w:rPr>
                <w:t>Unregistered Sales of Equity Securities and Use of Proceeds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21">
              <w:r>
                <w:rPr>
                  <w:rStyle w:val="InternetLink"/>
                  <w:rFonts w:ascii="Times New Roman;serif" w:hAnsi="Times New Roman;serif"/>
                  <w:b w:val="false"/>
                  <w:color w:val="0000FF"/>
                  <w:sz w:val="20"/>
                  <w:u w:val="single"/>
                </w:rPr>
                <w:t>39</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4">
              <w:r>
                <w:rPr>
                  <w:rStyle w:val="InternetLink"/>
                  <w:rFonts w:ascii="Times New Roman;serif" w:hAnsi="Times New Roman;serif"/>
                  <w:b w:val="false"/>
                  <w:color w:val="0000FF"/>
                  <w:sz w:val="20"/>
                  <w:u w:val="single"/>
                </w:rPr>
                <w:t>Item 3:</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4">
              <w:r>
                <w:rPr>
                  <w:rStyle w:val="InternetLink"/>
                  <w:rFonts w:ascii="Times New Roman;serif" w:hAnsi="Times New Roman;serif"/>
                  <w:b w:val="false"/>
                  <w:color w:val="0000FF"/>
                  <w:sz w:val="20"/>
                  <w:u w:val="single"/>
                </w:rPr>
                <w:t>Defaults Upon Senior Securities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30">
              <w:r>
                <w:rPr>
                  <w:rStyle w:val="InternetLink"/>
                  <w:rFonts w:ascii="Times New Roman;serif" w:hAnsi="Times New Roman;serif"/>
                  <w:b w:val="false"/>
                  <w:color w:val="0000FF"/>
                  <w:sz w:val="20"/>
                  <w:u w:val="single"/>
                </w:rPr>
                <w:t>40</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7">
              <w:r>
                <w:rPr>
                  <w:rStyle w:val="InternetLink"/>
                  <w:rFonts w:ascii="Times New Roman;serif" w:hAnsi="Times New Roman;serif"/>
                  <w:b w:val="false"/>
                  <w:color w:val="0000FF"/>
                  <w:sz w:val="20"/>
                  <w:u w:val="single"/>
                </w:rPr>
                <w:t>Item 4:</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27">
              <w:r>
                <w:rPr>
                  <w:rStyle w:val="InternetLink"/>
                  <w:rFonts w:ascii="Times New Roman;serif" w:hAnsi="Times New Roman;serif"/>
                  <w:b w:val="false"/>
                  <w:color w:val="0000FF"/>
                  <w:sz w:val="20"/>
                  <w:u w:val="single"/>
                </w:rPr>
                <w:t>Mine Safety Disclosures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30">
              <w:r>
                <w:rPr>
                  <w:rStyle w:val="InternetLink"/>
                  <w:rFonts w:ascii="Times New Roman;serif" w:hAnsi="Times New Roman;serif"/>
                  <w:b w:val="false"/>
                  <w:color w:val="0000FF"/>
                  <w:sz w:val="20"/>
                  <w:u w:val="single"/>
                </w:rPr>
                <w:t>40</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30">
              <w:r>
                <w:rPr>
                  <w:rStyle w:val="InternetLink"/>
                  <w:rFonts w:ascii="Times New Roman;serif" w:hAnsi="Times New Roman;serif"/>
                  <w:b w:val="false"/>
                  <w:color w:val="0000FF"/>
                  <w:sz w:val="20"/>
                  <w:u w:val="single"/>
                </w:rPr>
                <w:t>Item 5:</w:t>
              </w:r>
            </w:hyperlink>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30">
              <w:r>
                <w:rPr>
                  <w:rStyle w:val="InternetLink"/>
                  <w:rFonts w:ascii="Times New Roman;serif" w:hAnsi="Times New Roman;serif"/>
                  <w:b w:val="false"/>
                  <w:color w:val="0000FF"/>
                  <w:sz w:val="20"/>
                  <w:u w:val="single"/>
                </w:rPr>
                <w:t>Other Information</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30">
              <w:r>
                <w:rPr>
                  <w:rStyle w:val="InternetLink"/>
                  <w:rFonts w:ascii="Times New Roman;serif" w:hAnsi="Times New Roman;serif"/>
                  <w:b w:val="false"/>
                  <w:color w:val="0000FF"/>
                  <w:sz w:val="20"/>
                  <w:u w:val="single"/>
                </w:rPr>
                <w:t>40</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Item 6:</w:t>
            </w:r>
          </w:p>
        </w:tc>
        <w:tc>
          <w:tcPr>
            <w:tcW w:w="79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Exhibits</w:t>
            </w:r>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36">
              <w:r>
                <w:rPr>
                  <w:rStyle w:val="InternetLink"/>
                  <w:rFonts w:ascii="Times New Roman;serif" w:hAnsi="Times New Roman;serif"/>
                  <w:b w:val="false"/>
                  <w:color w:val="0000FF"/>
                  <w:sz w:val="20"/>
                  <w:u w:val="single"/>
                </w:rPr>
                <w:t>41</w:t>
              </w:r>
            </w:hyperlink>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a6629f50747461da968a27f0f9803ec_139">
              <w:r>
                <w:rPr>
                  <w:rStyle w:val="InternetLink"/>
                  <w:rFonts w:ascii="Times New Roman;serif" w:hAnsi="Times New Roman;serif"/>
                  <w:b w:val="false"/>
                  <w:color w:val="0000FF"/>
                  <w:sz w:val="20"/>
                  <w:u w:val="single"/>
                </w:rPr>
                <w:t>Signatures</w:t>
              </w:r>
            </w:hyperlink>
          </w:p>
        </w:tc>
        <w:tc>
          <w:tcPr>
            <w:tcW w:w="111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6629f50747461da968a27f0f9803ec_139">
              <w:r>
                <w:rPr>
                  <w:rStyle w:val="InternetLink"/>
                  <w:rFonts w:ascii="Times New Roman;serif" w:hAnsi="Times New Roman;serif"/>
                  <w:b w:val="false"/>
                  <w:color w:val="0000FF"/>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PITNEY BOWES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in thousands, except per share amounts)</w:t>
      </w:r>
    </w:p>
    <w:tbl>
      <w:tblPr>
        <w:tblW w:w="9374" w:type="dxa"/>
        <w:jc w:val="left"/>
        <w:tblInd w:w="0" w:type="dxa"/>
        <w:tblLayout w:type="fixed"/>
        <w:tblCellMar>
          <w:top w:w="28" w:type="dxa"/>
          <w:left w:w="28" w:type="dxa"/>
          <w:bottom w:w="28" w:type="dxa"/>
          <w:right w:w="28" w:type="dxa"/>
        </w:tblCellMar>
      </w:tblPr>
      <w:tblGrid>
        <w:gridCol w:w="1553"/>
        <w:gridCol w:w="1292"/>
        <w:gridCol w:w="13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284,517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591,087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87,523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161,651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451,498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928,911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financing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net pension and postretirement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386,007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145,965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0.36</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0.75</w:t>
            </w: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71"/>
        <w:gridCol w:w="1633"/>
        <w:gridCol w:w="1649"/>
        <w:gridCol w:w="196"/>
        <w:gridCol w:w="664"/>
        <w:gridCol w:w="109"/>
        <w:gridCol w:w="109"/>
        <w:gridCol w:w="109"/>
        <w:gridCol w:w="109"/>
        <w:gridCol w:w="196"/>
        <w:gridCol w:w="649"/>
        <w:gridCol w:w="109"/>
        <w:gridCol w:w="109"/>
        <w:gridCol w:w="109"/>
        <w:gridCol w:w="109"/>
        <w:gridCol w:w="196"/>
        <w:gridCol w:w="751"/>
        <w:gridCol w:w="109"/>
        <w:gridCol w:w="109"/>
        <w:gridCol w:w="109"/>
        <w:gridCol w:w="109"/>
        <w:gridCol w:w="196"/>
        <w:gridCol w:w="736"/>
        <w:gridCol w:w="160"/>
      </w:tblGrid>
      <w:tr>
        <w:trPr/>
        <w:tc>
          <w:tcPr>
            <w:tcW w:w="1871"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net of tax of $85, $238, $(22) and $333, respectively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investment securities, net of tax of $74, $221, $(75) and $1,161, respectively</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Amortization of pension and postretirement costs, net of tax of $2,435, $1,699, $4,912 and $3,365, respectively</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106,752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amount)</w:t>
      </w:r>
    </w:p>
    <w:p>
      <w:pPr>
        <w:pStyle w:val="TextBody"/>
        <w:bidi w:val="0"/>
        <w:spacing w:before="0" w:after="0"/>
        <w:jc w:val="left"/>
        <w:rPr/>
      </w:pPr>
      <w:r>
        <w:rPr/>
      </w:r>
    </w:p>
    <w:tbl>
      <w:tblPr>
        <w:tblW w:w="9813" w:type="dxa"/>
        <w:jc w:val="center"/>
        <w:tblInd w:w="0" w:type="dxa"/>
        <w:tblLayout w:type="fixed"/>
        <w:tblCellMar>
          <w:top w:w="28" w:type="dxa"/>
          <w:left w:w="28" w:type="dxa"/>
          <w:bottom w:w="28" w:type="dxa"/>
          <w:right w:w="28" w:type="dxa"/>
        </w:tblCellMar>
      </w:tblPr>
      <w:tblGrid>
        <w:gridCol w:w="2454"/>
        <w:gridCol w:w="2147"/>
        <w:gridCol w:w="2164"/>
        <w:gridCol w:w="196"/>
        <w:gridCol w:w="886"/>
        <w:gridCol w:w="109"/>
        <w:gridCol w:w="109"/>
        <w:gridCol w:w="109"/>
        <w:gridCol w:w="109"/>
        <w:gridCol w:w="245"/>
        <w:gridCol w:w="1092"/>
        <w:gridCol w:w="193"/>
      </w:tblGrid>
      <w:tr>
        <w:trPr/>
        <w:tc>
          <w:tcPr>
            <w:tcW w:w="2454"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ASSETS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(includes $14,982 and $38,851, respectively, reported at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266,833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284,887 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investments (includes $1,724 and $1,715, respectively, reported at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 (net of allowance of $6,136 and $7,507,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finance receivables (net of allowance of $10,322 and $14,206,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468,702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 and prepayments (net of allowance of $10,466 in both 2026 and 2025)</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79,223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1,039,875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1,100,499 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175,555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finance receivables (net of allowance of $6,524 and $4,370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550,602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740,417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746,687 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103,268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(includes $181,188 and $185,111, respectively, reported at fair value)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3,019,585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3,168,951 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LIABILITIES AND STOCKHOLDERS’ DEFICIT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743,248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845,378 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at Pitney Bowes Bank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582,630 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29,935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billings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1,417,635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1,547,839 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2,010,756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1,975,888 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 on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97,581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uncertainties and other income tax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93,825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99,757 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Noncurrent customer deposits at Pitney Bowes Bank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191,906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203,884 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3,882,864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3,971,311 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(See Note 13)</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(480,000 shares authorized; 270,338 shares issued)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270,338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2,698,586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2,655,703 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(790,426)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(789,132)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(133,283 and 119,634 shares,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(3,041,777)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(2,939,269)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(863,279)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(802,360)</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3,019,585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3,168,951 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p>
      <w:pPr>
        <w:pStyle w:val="TextBody"/>
        <w:bidi w:val="0"/>
        <w:spacing w:before="0" w:after="0"/>
        <w:jc w:val="left"/>
        <w:rPr/>
      </w:pPr>
      <w:r>
        <w:rPr/>
      </w:r>
    </w:p>
    <w:tbl>
      <w:tblPr>
        <w:tblW w:w="8274" w:type="dxa"/>
        <w:jc w:val="center"/>
        <w:tblInd w:w="0" w:type="dxa"/>
        <w:tblLayout w:type="fixed"/>
        <w:tblCellMar>
          <w:top w:w="28" w:type="dxa"/>
          <w:left w:w="28" w:type="dxa"/>
          <w:bottom w:w="28" w:type="dxa"/>
          <w:right w:w="28" w:type="dxa"/>
        </w:tblCellMar>
      </w:tblPr>
      <w:tblGrid>
        <w:gridCol w:w="2103"/>
        <w:gridCol w:w="1844"/>
        <w:gridCol w:w="1858"/>
        <w:gridCol w:w="196"/>
        <w:gridCol w:w="751"/>
        <w:gridCol w:w="109"/>
        <w:gridCol w:w="109"/>
        <w:gridCol w:w="109"/>
        <w:gridCol w:w="109"/>
        <w:gridCol w:w="196"/>
        <w:gridCol w:w="736"/>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or loss to net cash from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allowance for DIP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fees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redemption/refinancing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disposal of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revaluation of intercompany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acquisitions/divestitures:</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prepayments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and noncurrent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 billings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cash from operating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 of investment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loan receivables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DIP Facility reimbursement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cash from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credit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Premiums and fees paid to redeem/refinance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stockholders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 at Pitney Bowes Bank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from financing activities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284,887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266,833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 Description of Business and Basis of Presentation</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Description of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Pitney Bowes Inc. ("we", "our", or "the company") is a technology-driven company that provides digital shipping solutions, mailing innovation, and financial services to clients around the world - including more than 90 percent of the Fortune 500. Small businesses to large enterprises, and government entities rely on Pitney Bowes to reduce the complexity of sending mail and parcels.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in accordance with accounting principles generally accepted in the United States of America (GAAP) for interim financial information and the instructions to Rule 10-01 of Regulation S-X. Accordingly, they do not include all of the information and footnotes required by GAAP for complete financial statements. In addition, the December 31, 2025 Condensed Consolidated Balance Sheet was derived from audited financial statements but does not include all disclosures required by GAAP. In management's opinion, all adjustments, consisting only of normal recurring adjustments, considered necessary to fairly state our financial position, results of operations and cash flows for the periods presented have been included. Operating results for the periods presented are not necessarily indicative of the results that may be expected for any other interim period or for the year ending December 31, 2026. These statements should be read in conjunction with the financial statements and notes thereto included in our Annual Report to Stockholders on Form 10-K/A for the year ended December 31, 2025 (2025 Annual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we identified an error and recorded an out of period adjustment of $4 million to correct an overstatement of revenue in prior periods. The impact of the adjustment was not material to the consolidated financial statements for any interim or annual periods prior to 2025 and was not material to the 2025 annual period.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Accounting Pronouncements Adopted in 2026</w:t>
      </w:r>
    </w:p>
    <w:p>
      <w:pPr>
        <w:pStyle w:val="TextBody"/>
        <w:bidi w:val="0"/>
        <w:spacing w:lineRule="auto" w:line="288" w:before="0" w:after="120"/>
        <w:jc w:val="both"/>
        <w:rPr/>
      </w:pPr>
      <w:r>
        <w:rPr>
          <w:rFonts w:ascii="Times New Roman;serif" w:hAnsi="Times New Roman;serif"/>
          <w:b w:val="false"/>
          <w:color w:val="000000"/>
          <w:sz w:val="20"/>
        </w:rPr>
        <w:t xml:space="preserve">In the first quarter of 2026, we adopted Financial Accounting Standards Board ("FASB") ASU 2025-05, </w:t>
      </w:r>
      <w:r>
        <w:rPr>
          <w:rFonts w:ascii="Times New Roman;serif" w:hAnsi="Times New Roman;serif"/>
          <w:b w:val="false"/>
          <w:i/>
          <w:color w:val="000000"/>
          <w:sz w:val="20"/>
        </w:rPr>
        <w:t>Financial Instruments - Credit Losses (Topic 326): Measurement of Credit Losses for Accounts Receivable and Contract Assets,</w:t>
      </w:r>
      <w:r>
        <w:rPr>
          <w:color w:val="000000"/>
        </w:rPr>
        <w:t xml:space="preserve"> </w:t>
      </w:r>
      <w:r>
        <w:rPr>
          <w:rFonts w:ascii="Times New Roman;serif" w:hAnsi="Times New Roman;serif"/>
          <w:b w:val="false"/>
          <w:color w:val="000000"/>
          <w:sz w:val="20"/>
        </w:rPr>
        <w:t xml:space="preserve">and elected the practical expedient to assume that the current conditions as of the balance sheet date will remain unchanged for the remaining life of the asset when developing a reasonable and supportable forecast as part of estimating expected credit losses on those assets. The adoption of this standard did not have a material impact on our financial statements. </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0" w:after="120"/>
        <w:jc w:val="both"/>
        <w:rPr/>
      </w:pPr>
      <w:r>
        <w:rPr>
          <w:rFonts w:ascii="Times New Roman;serif" w:hAnsi="Times New Roman;serif"/>
          <w:b w:val="false"/>
          <w:color w:val="000000"/>
          <w:sz w:val="20"/>
        </w:rPr>
        <w:t xml:space="preserve">In November 2025, the FASB issued ASU 2025-08, </w:t>
      </w:r>
      <w:r>
        <w:rPr>
          <w:rFonts w:ascii="Times New Roman;serif" w:hAnsi="Times New Roman;serif"/>
          <w:b w:val="false"/>
          <w:i/>
          <w:color w:val="000000"/>
          <w:sz w:val="20"/>
        </w:rPr>
        <w:t xml:space="preserve">Financial Instruments - Credit Losses (Topic 326): Purchased Loans, </w:t>
      </w:r>
      <w:r>
        <w:rPr>
          <w:rFonts w:ascii="Times New Roman;serif" w:hAnsi="Times New Roman;serif"/>
          <w:b w:val="false"/>
          <w:color w:val="000000"/>
          <w:sz w:val="20"/>
        </w:rPr>
        <w:t xml:space="preserve">which updates the accounting for certain acquired seasoned loans subject to the current expected credit loss model. This standard is effective for fiscal years beginning after December 15, 2026, and interim periods within fiscal years beginning after December 15, 2026, with early adoption permitted. We do not expect this standard to have a material impact on our financial statements. </w:t>
      </w:r>
    </w:p>
    <w:p>
      <w:pPr>
        <w:pStyle w:val="TextBody"/>
        <w:bidi w:val="0"/>
        <w:spacing w:lineRule="auto" w:line="288" w:before="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 xml:space="preserve">which updates the timing of recognition for internal-use software costs. This standard is effective for fiscal years beginning after December 15, 2027, and interim periods within fiscal years beginning after December 15, 2027, with early adoption permitted. We are currently assessing the impact this standard will have on our financial statements. </w:t>
      </w:r>
    </w:p>
    <w:p>
      <w:pPr>
        <w:pStyle w:val="TextBody"/>
        <w:bidi w:val="0"/>
        <w:spacing w:lineRule="auto" w:line="288" w:before="0" w:after="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which requires more detailed information about specified expense categories presented on the face of the income statement. This standard is effective for fiscal years beginning after December 15, 2026 and interim periods within fiscal years beginning after December 15, 2027, with early adoption permitted. The adoption of this standard will not have any impact on our financial statements but will result in additional disclosures. </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 xml:space="preserve">2. Revenue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disaggregate our revenue by source and timing of recognition:</w:t>
      </w:r>
    </w:p>
    <w:tbl>
      <w:tblPr>
        <w:tblW w:w="10205" w:type="dxa"/>
        <w:jc w:val="left"/>
        <w:tblInd w:w="0" w:type="dxa"/>
        <w:tblLayout w:type="fixed"/>
        <w:tblCellMar>
          <w:top w:w="28" w:type="dxa"/>
          <w:left w:w="28" w:type="dxa"/>
          <w:bottom w:w="28" w:type="dxa"/>
          <w:right w:w="28" w:type="dxa"/>
        </w:tblCellMar>
      </w:tblPr>
      <w:tblGrid>
        <w:gridCol w:w="924"/>
        <w:gridCol w:w="700"/>
        <w:gridCol w:w="703"/>
        <w:gridCol w:w="221"/>
        <w:gridCol w:w="884"/>
        <w:gridCol w:w="114"/>
        <w:gridCol w:w="211"/>
        <w:gridCol w:w="841"/>
        <w:gridCol w:w="109"/>
        <w:gridCol w:w="109"/>
        <w:gridCol w:w="316"/>
        <w:gridCol w:w="1263"/>
        <w:gridCol w:w="163"/>
        <w:gridCol w:w="388"/>
        <w:gridCol w:w="1549"/>
        <w:gridCol w:w="200"/>
        <w:gridCol w:w="262"/>
        <w:gridCol w:w="1048"/>
        <w:gridCol w:w="200"/>
      </w:tblGrid>
      <w:tr>
        <w:trPr/>
        <w:tc>
          <w:tcPr>
            <w:tcW w:w="92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510" w:type="dxa"/>
            <w:gridSpan w:val="3"/>
            <w:tcBorders/>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SendTech Solutions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Presort Services</w:t>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Revenue from services and products </w:t>
            </w:r>
          </w:p>
        </w:tc>
        <w:tc>
          <w:tcPr>
            <w:tcW w:w="2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 from leasing transactions and financing</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consolidated revenue</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Major service/product lines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141,949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284,517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284,517</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49,240</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38,283</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87,523</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79,458</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79,458</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191,189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333,757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117,741</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451,498</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leasing transactions and financing</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117,741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117,741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308,930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451,498</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Timing of revenue recognition from services and products</w:t>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at a point in time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62,630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62,630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over time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128,559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271,127</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191,189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333,757</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9"/>
        <w:gridCol w:w="706"/>
        <w:gridCol w:w="710"/>
        <w:gridCol w:w="223"/>
        <w:gridCol w:w="875"/>
        <w:gridCol w:w="115"/>
        <w:gridCol w:w="211"/>
        <w:gridCol w:w="826"/>
        <w:gridCol w:w="109"/>
        <w:gridCol w:w="109"/>
        <w:gridCol w:w="321"/>
        <w:gridCol w:w="1257"/>
        <w:gridCol w:w="165"/>
        <w:gridCol w:w="394"/>
        <w:gridCol w:w="1546"/>
        <w:gridCol w:w="203"/>
        <w:gridCol w:w="265"/>
        <w:gridCol w:w="1040"/>
        <w:gridCol w:w="201"/>
      </w:tblGrid>
      <w:tr>
        <w:trPr/>
        <w:tc>
          <w:tcPr>
            <w:tcW w:w="92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1506" w:type="dxa"/>
            <w:gridSpan w:val="3"/>
            <w:tcBorders/>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SendTech Solutions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Presort Services</w:t>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Revenue from services and products </w:t>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 from leasing transactions and financing</w:t>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consolidated revenue</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Major service/product lines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leasing transactions and financing</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Timing of revenue recognition from services and products</w:t>
            </w:r>
          </w:p>
        </w:tc>
        <w:tc>
          <w:tcPr>
            <w:tcW w:w="109" w:type="dxa"/>
            <w:tcBorders/>
            <w:vAlign w:val="center"/>
          </w:tcPr>
          <w:p>
            <w:pPr>
              <w:pStyle w:val="TableContents"/>
              <w:bidi w:val="0"/>
              <w:spacing w:before="0" w:after="283"/>
              <w:jc w:val="left"/>
              <w:rPr>
                <w:sz w:val="4"/>
                <w:szCs w:val="4"/>
              </w:rPr>
            </w:pPr>
            <w:r>
              <w:rPr>
                <w:sz w:val="4"/>
                <w:szCs w:val="4"/>
              </w:rPr>
            </w:r>
          </w:p>
        </w:tc>
        <w:tc>
          <w:tcPr>
            <w:tcW w:w="1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at a point in time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over time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194,379 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tbl>
      <w:tblPr>
        <w:tblW w:w="10205" w:type="dxa"/>
        <w:jc w:val="center"/>
        <w:tblInd w:w="0" w:type="dxa"/>
        <w:tblLayout w:type="fixed"/>
        <w:tblCellMar>
          <w:top w:w="28" w:type="dxa"/>
          <w:left w:w="28" w:type="dxa"/>
          <w:bottom w:w="28" w:type="dxa"/>
          <w:right w:w="28" w:type="dxa"/>
        </w:tblCellMar>
      </w:tblPr>
      <w:tblGrid>
        <w:gridCol w:w="924"/>
        <w:gridCol w:w="700"/>
        <w:gridCol w:w="703"/>
        <w:gridCol w:w="221"/>
        <w:gridCol w:w="884"/>
        <w:gridCol w:w="114"/>
        <w:gridCol w:w="211"/>
        <w:gridCol w:w="841"/>
        <w:gridCol w:w="109"/>
        <w:gridCol w:w="109"/>
        <w:gridCol w:w="316"/>
        <w:gridCol w:w="1263"/>
        <w:gridCol w:w="163"/>
        <w:gridCol w:w="388"/>
        <w:gridCol w:w="1549"/>
        <w:gridCol w:w="200"/>
        <w:gridCol w:w="262"/>
        <w:gridCol w:w="1048"/>
        <w:gridCol w:w="200"/>
      </w:tblGrid>
      <w:tr>
        <w:trPr/>
        <w:tc>
          <w:tcPr>
            <w:tcW w:w="92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10" w:type="dxa"/>
            <w:gridSpan w:val="3"/>
            <w:tcBorders/>
          </w:tcPr>
          <w:p>
            <w:pPr>
              <w:pStyle w:val="TableContents"/>
              <w:bidi w:val="0"/>
              <w:spacing w:before="0" w:after="283"/>
              <w:jc w:val="left"/>
              <w:rPr>
                <w:sz w:val="4"/>
                <w:szCs w:val="4"/>
              </w:rPr>
            </w:pPr>
            <w:r>
              <w:rPr>
                <w:sz w:val="4"/>
                <w:szCs w:val="4"/>
              </w:rPr>
            </w:r>
          </w:p>
        </w:tc>
      </w:tr>
      <w:tr>
        <w:trPr/>
        <w:tc>
          <w:tcPr>
            <w:tcW w:w="2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SendTech Solutions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Presort Services</w:t>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Revenue from services and products </w:t>
            </w:r>
          </w:p>
        </w:tc>
        <w:tc>
          <w:tcPr>
            <w:tcW w:w="2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 from leasing transactions and financing</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consolidated revenue</w:t>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Major service/product lines</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285,053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591,087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591,087</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101,812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101,812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74,361</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176,173</w:t>
            </w: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161,651</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161,651</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386,865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692,899</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236,012</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928,911</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leasing transactions and financing</w:t>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236,012</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236,012</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622,877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928,911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Timing of revenue recognition from services and products</w:t>
            </w:r>
          </w:p>
        </w:tc>
        <w:tc>
          <w:tcPr>
            <w:tcW w:w="109" w:type="dxa"/>
            <w:tcBorders/>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at a point in time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128,177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128,177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over time</w:t>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258,688</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564,722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386,865</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692,899</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32"/>
        <w:gridCol w:w="709"/>
        <w:gridCol w:w="712"/>
        <w:gridCol w:w="223"/>
        <w:gridCol w:w="875"/>
        <w:gridCol w:w="115"/>
        <w:gridCol w:w="211"/>
        <w:gridCol w:w="826"/>
        <w:gridCol w:w="109"/>
        <w:gridCol w:w="109"/>
        <w:gridCol w:w="318"/>
        <w:gridCol w:w="1247"/>
        <w:gridCol w:w="164"/>
        <w:gridCol w:w="395"/>
        <w:gridCol w:w="1549"/>
        <w:gridCol w:w="204"/>
        <w:gridCol w:w="265"/>
        <w:gridCol w:w="1041"/>
        <w:gridCol w:w="201"/>
      </w:tblGrid>
      <w:tr>
        <w:trPr/>
        <w:tc>
          <w:tcPr>
            <w:tcW w:w="93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c>
          <w:tcPr>
            <w:tcW w:w="1507" w:type="dxa"/>
            <w:gridSpan w:val="3"/>
            <w:tcBorders/>
          </w:tcPr>
          <w:p>
            <w:pPr>
              <w:pStyle w:val="TableContents"/>
              <w:bidi w:val="0"/>
              <w:spacing w:before="0" w:after="283"/>
              <w:jc w:val="left"/>
              <w:rPr>
                <w:sz w:val="4"/>
                <w:szCs w:val="4"/>
              </w:rPr>
            </w:pPr>
            <w:r>
              <w:rPr>
                <w:sz w:val="4"/>
                <w:szCs w:val="4"/>
              </w:rPr>
            </w:r>
          </w:p>
        </w:tc>
      </w:tr>
      <w:tr>
        <w:trPr/>
        <w:tc>
          <w:tcPr>
            <w:tcW w:w="2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SendTech Solutions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Presort Services</w:t>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 from products and services</w:t>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Revenue from leasing transactions and financing</w:t>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consolidated revenue</w:t>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Major service/product lines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184,070 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955,329 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leasing transactions and financing</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 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627,322 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955,329 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Timing of revenue recognition from services and products</w:t>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at a point in time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Services/products transferred over time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388,249 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716,256 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Our performance obligations for revenue from services and products are as follows: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Services revenue includes revenues from digital shipping and mailing technology solutions and the maintenance, professional and subscription services related to those solutions, mail processing services and cross-border solutions. Revenues for mail processing services and cross-border solutions are recognized over time using an output method based on the number of parcels or mail pieces either processed or delivered, depending on the service type, since that measure best depicts the value of goods and services transferred to the client over the contract period. Contract terms for these services initially range from one to five years and contain annual renewal options. Revenue for shipping subscription services is recognized ratably over the contract period as the client obtains equal benefit from these services throughout the period. Revenue for maintenance and subscription services is recognized ratably over the contract period, which ranges from one to five years, and revenue for professional services is recognized when services are provided.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Products revenue generally includes the sale of mailing and shipping equipment and related supplies. We recognize revenue upon delivery for self-install equipment and supplies and upon acceptance or installation for other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Financing and other revenue includes revenue from sales-type and operating leases, finance income, fees and income and losses from investment activity at the Pitney Bowes Bank.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Advance Billings </w:t>
      </w:r>
    </w:p>
    <w:tbl>
      <w:tblPr>
        <w:tblW w:w="9950" w:type="dxa"/>
        <w:jc w:val="left"/>
        <w:tblInd w:w="0" w:type="dxa"/>
        <w:tblLayout w:type="fixed"/>
        <w:tblCellMar>
          <w:top w:w="28" w:type="dxa"/>
          <w:left w:w="28" w:type="dxa"/>
          <w:bottom w:w="28" w:type="dxa"/>
          <w:right w:w="28" w:type="dxa"/>
        </w:tblCellMar>
      </w:tblPr>
      <w:tblGrid>
        <w:gridCol w:w="916"/>
        <w:gridCol w:w="808"/>
        <w:gridCol w:w="811"/>
        <w:gridCol w:w="769"/>
        <w:gridCol w:w="769"/>
        <w:gridCol w:w="772"/>
        <w:gridCol w:w="109"/>
        <w:gridCol w:w="109"/>
        <w:gridCol w:w="109"/>
        <w:gridCol w:w="224"/>
        <w:gridCol w:w="784"/>
        <w:gridCol w:w="116"/>
        <w:gridCol w:w="109"/>
        <w:gridCol w:w="109"/>
        <w:gridCol w:w="109"/>
        <w:gridCol w:w="301"/>
        <w:gridCol w:w="1029"/>
        <w:gridCol w:w="155"/>
        <w:gridCol w:w="109"/>
        <w:gridCol w:w="109"/>
        <w:gridCol w:w="109"/>
        <w:gridCol w:w="302"/>
        <w:gridCol w:w="992"/>
        <w:gridCol w:w="221"/>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Increase/ (decrease)</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current</w:t>
            </w:r>
          </w:p>
        </w:tc>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Advance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60,539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Advance billings, noncurrent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Advance billings from contracts with customers are recorded when cash payments are due in advance of our performance. Revenue is recognized ratably over the contract term. Items in advance billings primarily relate to maintenance service agreements on mailing equipment. Revenue recognized during the period includes $42 million of advance billings at the beginning of the period. Current advance billings at June 30, 2026 and December 31, 2025 does not include $11 million and $6 million, respectively, from leasing transactions. </w:t>
      </w:r>
    </w:p>
    <w:p>
      <w:pPr>
        <w:pStyle w:val="TextBody"/>
        <w:bidi w:val="0"/>
        <w:spacing w:before="60" w:after="283"/>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Future Performance Obligations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Future performance obligations primarily include maintenance and subscription services bundled with our leasing contracts. The transaction prices allocated to future performance obligations will be recognized as follows:</w:t>
      </w:r>
    </w:p>
    <w:tbl>
      <w:tblPr>
        <w:tblW w:w="8045"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276"/>
        <w:gridCol w:w="1081"/>
        <w:gridCol w:w="14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SendTech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amounts do not include revenue for performance obligations under contracts with terms less than 12 months or revenue for performance obligations where revenue is recognized based on the amount billable to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00"/>
        <w:jc w:val="left"/>
        <w:rPr>
          <w:rFonts w:ascii="Times New Roman;serif" w:hAnsi="Times New Roman;serif"/>
          <w:b/>
          <w:i/>
          <w:color w:val="000000"/>
          <w:sz w:val="24"/>
        </w:rPr>
      </w:pPr>
      <w:r>
        <w:rPr>
          <w:rFonts w:ascii="Times New Roman;serif" w:hAnsi="Times New Roman;serif"/>
          <w:b/>
          <w:i/>
          <w:color w:val="000000"/>
          <w:sz w:val="24"/>
        </w:rPr>
        <w:t>3. Segment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reportable segments are SendTech Solutions and Presort Services. SendTech Solutions includes the revenue and related expenses from physical and digital mailing and shipping technology solutions, financing, services, supplies and other applications to help simplify and save on the sending, tracking and receiving of letters, parcels and flats. Presort Services includes the revenue and related expenses from sortation services to qualify large volumes of First Class Mail, First Class Flats, Marketing Mail and Marketing Mail Flats/Bound Printed Matter for postal worksharing discounts.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Management, including the Chief Executive Officer, who is the Chief Operating Decision Maker (CODM), measures segment profitability and performance using adjusted segment earnings before interest and taxes (EBIT). Adjusted segment EBIT is calculated as segment revenues less the related costs and expenses attributable to the segment. Adjusted segment EBIT excludes interest, taxes, general corporate expenses, restructuring charges, and other items not allocated to our segments. Effective January 1, 2026, we are excluding from Adjusted segment EBIT, pension expense related to U.S. and Canada pension plans that we have taken steps to terminate. Prior periods were not recast. Management believes that adjusted segment EBIT provides a useful measure of operating performance and underlying trends of the business. Adjusted segment EBIT may not be indicative of our overall consolidated performance and therefore should be read in conjunction with our consolidated results of operations. Information about our reportable segments is shown in the tables below.</w:t>
      </w:r>
    </w:p>
    <w:tbl>
      <w:tblPr>
        <w:tblW w:w="7395" w:type="dxa"/>
        <w:jc w:val="left"/>
        <w:tblInd w:w="0" w:type="dxa"/>
        <w:tblLayout w:type="fixed"/>
        <w:tblCellMar>
          <w:top w:w="28" w:type="dxa"/>
          <w:left w:w="28" w:type="dxa"/>
          <w:bottom w:w="28" w:type="dxa"/>
          <w:right w:w="28" w:type="dxa"/>
        </w:tblCellMar>
      </w:tblPr>
      <w:tblGrid>
        <w:gridCol w:w="635"/>
        <w:gridCol w:w="558"/>
        <w:gridCol w:w="562"/>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SendTech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Presort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451,498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7694" w:type="dxa"/>
        <w:jc w:val="left"/>
        <w:tblInd w:w="0" w:type="dxa"/>
        <w:tblLayout w:type="fixed"/>
        <w:tblCellMar>
          <w:top w:w="28" w:type="dxa"/>
          <w:left w:w="28" w:type="dxa"/>
          <w:bottom w:w="28" w:type="dxa"/>
          <w:right w:w="28" w:type="dxa"/>
        </w:tblCellMar>
      </w:tblPr>
      <w:tblGrid>
        <w:gridCol w:w="743"/>
        <w:gridCol w:w="653"/>
        <w:gridCol w:w="658"/>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SendTech Solutions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308,930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622,877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Presort Services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EBIT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tbl>
      <w:tblPr>
        <w:tblW w:w="10080" w:type="dxa"/>
        <w:jc w:val="left"/>
        <w:tblInd w:w="0" w:type="dxa"/>
        <w:tblLayout w:type="fixed"/>
        <w:tblCellMar>
          <w:top w:w="28" w:type="dxa"/>
          <w:left w:w="28" w:type="dxa"/>
          <w:bottom w:w="28" w:type="dxa"/>
          <w:right w:w="28" w:type="dxa"/>
        </w:tblCellMar>
      </w:tblPr>
      <w:tblGrid>
        <w:gridCol w:w="1607"/>
        <w:gridCol w:w="1412"/>
        <w:gridCol w:w="1421"/>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Adjusted Segment EBIT</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SendTech Solutions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Presort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segment EBIT</w:t>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142,684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295,392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2"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segment EBIT to income or loss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debt redemption/refinancing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 on intercompany loans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in connection with Ecommerce Restructuring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expense of plans to be terminated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Strategic review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145,965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4. Earnings per Share (EPS)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 of basic and diluted EPS is presented below. </w:t>
      </w:r>
    </w:p>
    <w:tbl>
      <w:tblPr>
        <w:tblW w:w="10205" w:type="dxa"/>
        <w:jc w:val="left"/>
        <w:tblInd w:w="0" w:type="dxa"/>
        <w:tblLayout w:type="fixed"/>
        <w:tblCellMar>
          <w:top w:w="28" w:type="dxa"/>
          <w:left w:w="28" w:type="dxa"/>
          <w:bottom w:w="28" w:type="dxa"/>
          <w:right w:w="28" w:type="dxa"/>
        </w:tblCellMar>
      </w:tblPr>
      <w:tblGrid>
        <w:gridCol w:w="1893"/>
        <w:gridCol w:w="1668"/>
        <w:gridCol w:w="1682"/>
        <w:gridCol w:w="196"/>
        <w:gridCol w:w="664"/>
        <w:gridCol w:w="109"/>
        <w:gridCol w:w="109"/>
        <w:gridCol w:w="109"/>
        <w:gridCol w:w="109"/>
        <w:gridCol w:w="196"/>
        <w:gridCol w:w="649"/>
        <w:gridCol w:w="109"/>
        <w:gridCol w:w="109"/>
        <w:gridCol w:w="109"/>
        <w:gridCol w:w="109"/>
        <w:gridCol w:w="196"/>
        <w:gridCol w:w="751"/>
        <w:gridCol w:w="109"/>
        <w:gridCol w:w="109"/>
        <w:gridCol w:w="109"/>
        <w:gridCol w:w="109"/>
        <w:gridCol w:w="196"/>
        <w:gridCol w:w="646"/>
        <w:gridCol w:w="160"/>
      </w:tblGrid>
      <w:tr>
        <w:trPr/>
        <w:tc>
          <w:tcPr>
            <w:tcW w:w="189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9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Weighted-average shares used in basic EPS </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136,685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Dilutive effect of common stock equivalents </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diluted EPS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143,864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equivalents excluded from calculation of diluted earnings per share because their impact would be anti-dilutive:</w:t>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160"/>
        <w:jc w:val="both"/>
        <w:rPr/>
      </w:pPr>
      <w:r>
        <w:rPr/>
      </w:r>
    </w:p>
    <w:p>
      <w:pPr>
        <w:pStyle w:val="TextBody"/>
        <w:bidi w:val="0"/>
        <w:spacing w:before="10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5. Inventories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determined on the first-in, first-out (FIFO) basis, or net realizable value. Inventories consisted of the following:</w:t>
      </w:r>
    </w:p>
    <w:tbl>
      <w:tblPr>
        <w:tblW w:w="4726" w:type="dxa"/>
        <w:jc w:val="left"/>
        <w:tblInd w:w="0" w:type="dxa"/>
        <w:tblLayout w:type="fixed"/>
        <w:tblCellMar>
          <w:top w:w="28" w:type="dxa"/>
          <w:left w:w="28" w:type="dxa"/>
          <w:bottom w:w="28" w:type="dxa"/>
          <w:right w:w="28" w:type="dxa"/>
        </w:tblCellMar>
      </w:tblPr>
      <w:tblGrid>
        <w:gridCol w:w="804"/>
        <w:gridCol w:w="705"/>
        <w:gridCol w:w="710"/>
        <w:gridCol w:w="211"/>
        <w:gridCol w:w="736"/>
        <w:gridCol w:w="109"/>
        <w:gridCol w:w="109"/>
        <w:gridCol w:w="109"/>
        <w:gridCol w:w="109"/>
        <w:gridCol w:w="218"/>
        <w:gridCol w:w="747"/>
        <w:gridCol w:w="159"/>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service parts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6. Finance Assets and Lessor Operating Leases</w:t>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Finance Assets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Finance receivables are comprised of sales-type leases, secured loans and unsecured loans. Sales-type leases and secured loans are financing options for the purchase or lease of Pitney Bowes' or other manufacturers' equipment and are generally due in installments over periods ranging from three to five years. Unsecured loans are revolving credit lines offered to our clients for postage, supplies and working capital purposes. Unsecured loans are generally due monthly; however, clients may rollover outstanding balances. Interest is recognized on finance receivables using the effective interest method. Annual fees are recognized ratably over the period covered and client acquisition costs are expensed as incurred. All finance receivables are in our SendTech Solutions segment and we segregate finance receivables into a North America portfolio and an International portfolio.</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Finance receivables consisted of the following:</w:t>
      </w:r>
    </w:p>
    <w:tbl>
      <w:tblPr>
        <w:tblW w:w="10205" w:type="dxa"/>
        <w:jc w:val="left"/>
        <w:tblInd w:w="0" w:type="dxa"/>
        <w:tblLayout w:type="fixed"/>
        <w:tblCellMar>
          <w:top w:w="28" w:type="dxa"/>
          <w:left w:w="28" w:type="dxa"/>
          <w:bottom w:w="28" w:type="dxa"/>
          <w:right w:w="28" w:type="dxa"/>
        </w:tblCellMar>
      </w:tblPr>
      <w:tblGrid>
        <w:gridCol w:w="736"/>
        <w:gridCol w:w="518"/>
        <w:gridCol w:w="520"/>
        <w:gridCol w:w="203"/>
        <w:gridCol w:w="781"/>
        <w:gridCol w:w="113"/>
        <w:gridCol w:w="109"/>
        <w:gridCol w:w="109"/>
        <w:gridCol w:w="109"/>
        <w:gridCol w:w="216"/>
        <w:gridCol w:w="729"/>
        <w:gridCol w:w="121"/>
        <w:gridCol w:w="109"/>
        <w:gridCol w:w="109"/>
        <w:gridCol w:w="109"/>
        <w:gridCol w:w="196"/>
        <w:gridCol w:w="88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58"/>
      </w:tblGrid>
      <w:tr>
        <w:trPr/>
        <w:tc>
          <w:tcPr>
            <w:tcW w:w="73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Sales-type lease receivables</w:t>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finance receivables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831,762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98,393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930,155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984,533 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Unguaranteed residual values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31,953</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5,271</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income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(256,648)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sales-type lease receivables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597,898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73,263</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671,161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720,925 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Loan receivables</w:t>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receivables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351,011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3,073</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354,084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loan receivables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345,087</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3,056</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348,143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380,650 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 finance receivables</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942,985</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76,319</w:t>
            </w: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1,019,304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1,101,575 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Maturities of gross finance receivables at June 30, 2026 were as follows:</w:t>
      </w:r>
    </w:p>
    <w:tbl>
      <w:tblPr>
        <w:tblW w:w="9793" w:type="dxa"/>
        <w:jc w:val="left"/>
        <w:tblInd w:w="0" w:type="dxa"/>
        <w:tblLayout w:type="fixed"/>
        <w:tblCellMar>
          <w:top w:w="28" w:type="dxa"/>
          <w:left w:w="28" w:type="dxa"/>
          <w:bottom w:w="28" w:type="dxa"/>
          <w:right w:w="28" w:type="dxa"/>
        </w:tblCellMar>
      </w:tblPr>
      <w:tblGrid>
        <w:gridCol w:w="467"/>
        <w:gridCol w:w="410"/>
        <w:gridCol w:w="412"/>
        <w:gridCol w:w="221"/>
        <w:gridCol w:w="865"/>
        <w:gridCol w:w="114"/>
        <w:gridCol w:w="109"/>
        <w:gridCol w:w="109"/>
        <w:gridCol w:w="109"/>
        <w:gridCol w:w="216"/>
        <w:gridCol w:w="738"/>
        <w:gridCol w:w="112"/>
        <w:gridCol w:w="109"/>
        <w:gridCol w:w="109"/>
        <w:gridCol w:w="109"/>
        <w:gridCol w:w="211"/>
        <w:gridCol w:w="826"/>
        <w:gridCol w:w="109"/>
        <w:gridCol w:w="109"/>
        <w:gridCol w:w="109"/>
        <w:gridCol w:w="109"/>
        <w:gridCol w:w="221"/>
        <w:gridCol w:w="865"/>
        <w:gridCol w:w="114"/>
        <w:gridCol w:w="109"/>
        <w:gridCol w:w="109"/>
        <w:gridCol w:w="109"/>
        <w:gridCol w:w="240"/>
        <w:gridCol w:w="701"/>
        <w:gridCol w:w="125"/>
        <w:gridCol w:w="109"/>
        <w:gridCol w:w="109"/>
        <w:gridCol w:w="109"/>
        <w:gridCol w:w="211"/>
        <w:gridCol w:w="82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Sales-type Lease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2026</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831,762 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351,011 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Aging of Receivables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aging of gross finance receivables was as follows:</w:t>
      </w:r>
    </w:p>
    <w:tbl>
      <w:tblPr>
        <w:tblW w:w="9653" w:type="dxa"/>
        <w:jc w:val="left"/>
        <w:tblInd w:w="0" w:type="dxa"/>
        <w:tblLayout w:type="fixed"/>
        <w:tblCellMar>
          <w:top w:w="28" w:type="dxa"/>
          <w:left w:w="28" w:type="dxa"/>
          <w:bottom w:w="28" w:type="dxa"/>
          <w:right w:w="28" w:type="dxa"/>
        </w:tblCellMar>
      </w:tblPr>
      <w:tblGrid>
        <w:gridCol w:w="892"/>
        <w:gridCol w:w="782"/>
        <w:gridCol w:w="785"/>
        <w:gridCol w:w="218"/>
        <w:gridCol w:w="869"/>
        <w:gridCol w:w="112"/>
        <w:gridCol w:w="109"/>
        <w:gridCol w:w="109"/>
        <w:gridCol w:w="109"/>
        <w:gridCol w:w="212"/>
        <w:gridCol w:w="742"/>
        <w:gridCol w:w="112"/>
        <w:gridCol w:w="109"/>
        <w:gridCol w:w="109"/>
        <w:gridCol w:w="109"/>
        <w:gridCol w:w="218"/>
        <w:gridCol w:w="869"/>
        <w:gridCol w:w="112"/>
        <w:gridCol w:w="109"/>
        <w:gridCol w:w="109"/>
        <w:gridCol w:w="109"/>
        <w:gridCol w:w="236"/>
        <w:gridCol w:w="707"/>
        <w:gridCol w:w="123"/>
        <w:gridCol w:w="109"/>
        <w:gridCol w:w="109"/>
        <w:gridCol w:w="109"/>
        <w:gridCol w:w="211"/>
        <w:gridCol w:w="99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amounts 0 - 90 days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823,840</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97,533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347,458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2,695</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1,271,526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amounts &gt; 90 days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7,922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831,762</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98,393</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351,011</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3,073</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1,284,239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37" w:type="dxa"/>
        <w:jc w:val="left"/>
        <w:tblInd w:w="0" w:type="dxa"/>
        <w:tblLayout w:type="fixed"/>
        <w:tblCellMar>
          <w:top w:w="28" w:type="dxa"/>
          <w:left w:w="28" w:type="dxa"/>
          <w:bottom w:w="28" w:type="dxa"/>
          <w:right w:w="28" w:type="dxa"/>
        </w:tblCellMar>
      </w:tblPr>
      <w:tblGrid>
        <w:gridCol w:w="892"/>
        <w:gridCol w:w="782"/>
        <w:gridCol w:w="7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652"/>
        <w:gridCol w:w="116"/>
        <w:gridCol w:w="109"/>
        <w:gridCol w:w="109"/>
        <w:gridCol w:w="109"/>
        <w:gridCol w:w="211"/>
        <w:gridCol w:w="97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amounts 0 - 90 days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amounts &gt; 90 days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Allowance for Credit Losses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an allowance for credit losses based on historical loss experience, the nature of our portfolios, adverse situations that may affect a client's ability to pay, current economic conditions and outlook based on reasonable and supportable forecasts. We continually evaluate the adequacy of the allowance for credit losses and adjust as necessary. The assumptions used in determining an estimate of credit losses are inherently subjective and actual results may differ significantly from estimated reserves.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credit approval limits based on the client's credit quality and the type of equipment financed. We cease financing revenue recognition for lease receivables and unsecured loan receivables that are more than 90 days past due. Revenue recognition is resumed when the client's payments reduce the account aging to less than 60 days past due. Finance receivables are written off against the allowance after all collection efforts have been exhausted and the account is deemed uncollectible. We believe that our credit risk is low because of the geographic and industry diversification of our clients and small account balances for most of our clients.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for finance receivables was as follows:</w:t>
      </w:r>
    </w:p>
    <w:tbl>
      <w:tblPr>
        <w:tblW w:w="9399" w:type="dxa"/>
        <w:jc w:val="left"/>
        <w:tblInd w:w="0" w:type="dxa"/>
        <w:tblLayout w:type="fixed"/>
        <w:tblCellMar>
          <w:top w:w="28" w:type="dxa"/>
          <w:left w:w="28" w:type="dxa"/>
          <w:bottom w:w="28" w:type="dxa"/>
          <w:right w:w="28" w:type="dxa"/>
        </w:tblCellMar>
      </w:tblPr>
      <w:tblGrid>
        <w:gridCol w:w="892"/>
        <w:gridCol w:w="781"/>
        <w:gridCol w:w="787"/>
        <w:gridCol w:w="243"/>
        <w:gridCol w:w="831"/>
        <w:gridCol w:w="125"/>
        <w:gridCol w:w="109"/>
        <w:gridCol w:w="109"/>
        <w:gridCol w:w="109"/>
        <w:gridCol w:w="236"/>
        <w:gridCol w:w="707"/>
        <w:gridCol w:w="123"/>
        <w:gridCol w:w="109"/>
        <w:gridCol w:w="109"/>
        <w:gridCol w:w="109"/>
        <w:gridCol w:w="266"/>
        <w:gridCol w:w="796"/>
        <w:gridCol w:w="137"/>
        <w:gridCol w:w="109"/>
        <w:gridCol w:w="109"/>
        <w:gridCol w:w="109"/>
        <w:gridCol w:w="286"/>
        <w:gridCol w:w="632"/>
        <w:gridCol w:w="148"/>
        <w:gridCol w:w="109"/>
        <w:gridCol w:w="109"/>
        <w:gridCol w:w="109"/>
        <w:gridCol w:w="211"/>
        <w:gridCol w:w="73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Sales-type Lease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charged to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9,169</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5,924</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Sales-type Lease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Loan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charged to expense</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Write-offs </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write-offs of gross finance receivables by year of origination. </w:t>
      </w:r>
    </w:p>
    <w:tbl>
      <w:tblPr>
        <w:tblW w:w="10205" w:type="dxa"/>
        <w:jc w:val="left"/>
        <w:tblInd w:w="0" w:type="dxa"/>
        <w:tblLayout w:type="fixed"/>
        <w:tblCellMar>
          <w:top w:w="28" w:type="dxa"/>
          <w:left w:w="28" w:type="dxa"/>
          <w:bottom w:w="28" w:type="dxa"/>
          <w:right w:w="28" w:type="dxa"/>
        </w:tblCellMar>
      </w:tblPr>
      <w:tblGrid>
        <w:gridCol w:w="337"/>
        <w:gridCol w:w="296"/>
        <w:gridCol w:w="298"/>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62"/>
        <w:gridCol w:w="785"/>
        <w:gridCol w:w="135"/>
        <w:gridCol w:w="109"/>
        <w:gridCol w:w="109"/>
        <w:gridCol w:w="109"/>
        <w:gridCol w:w="211"/>
        <w:gridCol w:w="631"/>
        <w:gridCol w:w="15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3,707</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473" w:type="dxa"/>
            <w:gridSpan w:val="42"/>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6217"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324"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7"/>
        <w:gridCol w:w="296"/>
        <w:gridCol w:w="29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89"/>
        <w:gridCol w:w="847"/>
        <w:gridCol w:w="150"/>
        <w:gridCol w:w="109"/>
        <w:gridCol w:w="109"/>
        <w:gridCol w:w="109"/>
        <w:gridCol w:w="211"/>
        <w:gridCol w:w="616"/>
        <w:gridCol w:w="156"/>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8488" w:type="dxa"/>
            <w:gridSpan w:val="42"/>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6262" w:type="dxa"/>
            <w:gridSpan w:val="30"/>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310"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Credit Quality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extension and management of credit lines to new and existing clients uses a combination of a client's credit score, where available, a detailed manual review of their financial condition and payment history, or an automated process. Once credit is granted, the payment performance of the client is managed through automated collections processes and is supplemented with direct follow-up should an account become delinquent. We have robust automated collections and extensive portfolio management processes to ensure that our global strategy is executed, collection resources are allocated and enhanced tools and processes are implemented as needed.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our finance receivables are within the North American portfolio. We use a third-party to score the majority of this portfolio on a quarterly basis using a proprietary commercial credit score. The relative scores are determined based on a number of factors, including financial information, payment history, company type and ownership structure. We stratify the credit scores of our clients into low, medium and high-risk accounts. Due to timing and other issues, our entire portfolio may not be scored at period end. We report these amounts as "Not Scored"; however, absence of a score is not indicative of the credit quality of the account. The credit score is used to predict the payment behaviors of our clients and the probability that an account will become greater than 90 days past due during the subsequent 12-month period.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Low risk accounts are companies with very good credit scores and a predicted delinquency rate of less than 5%.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Medium risk accounts are companies with average to good credit scores and a predicted delinquency rate between 5% and 10%.</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High risk accounts are companies with poor credit scores, are delinquent or are at risk of becoming delinquent. The predicted delinquency rate would be greater than 10%.</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do not use a third-party to score our International portfolio because the cost to do so is prohibitive as there is no single credit score model that covers all countries. Accordingly, the entire International portfolio is reported in the Not Scored category. Most of the International credit applications are subjected to an automated review process. Credit applications that are manually reviewed include obtaining client financial information, credit reports and other available financial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shows gross finance receivables by relative risk class and year of origination based on the relative scores of the accounts within each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tbl>
      <w:tblPr>
        <w:tblW w:w="12583" w:type="dxa"/>
        <w:jc w:val="center"/>
        <w:tblInd w:w="0" w:type="dxa"/>
        <w:tblLayout w:type="fixed"/>
        <w:tblCellMar>
          <w:top w:w="28" w:type="dxa"/>
          <w:left w:w="28" w:type="dxa"/>
          <w:bottom w:w="28" w:type="dxa"/>
          <w:right w:w="28" w:type="dxa"/>
        </w:tblCellMar>
      </w:tblPr>
      <w:tblGrid>
        <w:gridCol w:w="293"/>
        <w:gridCol w:w="257"/>
        <w:gridCol w:w="26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126,609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987,564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Medium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29,405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Scored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123,908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119,241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183,663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166,966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163,872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Type Lease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Loan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Medium</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Scored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1,371,531 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Lease Income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Lease income from sales-type leases, excluding variable lease payments, was as follows:</w:t>
      </w:r>
    </w:p>
    <w:tbl>
      <w:tblPr>
        <w:tblW w:w="8879" w:type="dxa"/>
        <w:jc w:val="left"/>
        <w:tblInd w:w="0" w:type="dxa"/>
        <w:tblLayout w:type="fixed"/>
        <w:tblCellMar>
          <w:top w:w="28" w:type="dxa"/>
          <w:left w:w="28" w:type="dxa"/>
          <w:bottom w:w="28" w:type="dxa"/>
          <w:right w:w="28" w:type="dxa"/>
        </w:tblCellMar>
      </w:tblPr>
      <w:tblGrid>
        <w:gridCol w:w="1250"/>
        <w:gridCol w:w="1097"/>
        <w:gridCol w:w="1102"/>
        <w:gridCol w:w="211"/>
        <w:gridCol w:w="736"/>
        <w:gridCol w:w="109"/>
        <w:gridCol w:w="109"/>
        <w:gridCol w:w="109"/>
        <w:gridCol w:w="109"/>
        <w:gridCol w:w="211"/>
        <w:gridCol w:w="721"/>
        <w:gridCol w:w="109"/>
        <w:gridCol w:w="109"/>
        <w:gridCol w:w="109"/>
        <w:gridCol w:w="109"/>
        <w:gridCol w:w="211"/>
        <w:gridCol w:w="841"/>
        <w:gridCol w:w="109"/>
        <w:gridCol w:w="109"/>
        <w:gridCol w:w="109"/>
        <w:gridCol w:w="109"/>
        <w:gridCol w:w="211"/>
        <w:gridCol w:w="82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recognized at commencement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income from sales-type leases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117,629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Lessor Operating Leases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lease mailing equipment under operating leases with terms of one to five years. Revenue from operating leases for both the three months ended June 30, 2026 and 2025 was $14 million, and revenue from operating leases for both the six months ended June 30, 2026 and 2025 was $29 million. Maturities of operating leases are as follows:</w:t>
      </w:r>
    </w:p>
    <w:tbl>
      <w:tblPr>
        <w:tblW w:w="2375" w:type="dxa"/>
        <w:jc w:val="left"/>
        <w:tblInd w:w="0" w:type="dxa"/>
        <w:tblLayout w:type="fixed"/>
        <w:tblCellMar>
          <w:top w:w="28" w:type="dxa"/>
          <w:left w:w="28" w:type="dxa"/>
          <w:bottom w:w="28" w:type="dxa"/>
          <w:right w:w="28" w:type="dxa"/>
        </w:tblCellMar>
      </w:tblPr>
      <w:tblGrid>
        <w:gridCol w:w="467"/>
        <w:gridCol w:w="410"/>
        <w:gridCol w:w="412"/>
        <w:gridCol w:w="211"/>
        <w:gridCol w:w="721"/>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0"/>
        <w:jc w:val="left"/>
        <w:rPr/>
      </w:pPr>
      <w:r>
        <w:rPr>
          <w:rFonts w:ascii="Times New Roman;serif" w:hAnsi="Times New Roman;serif"/>
          <w:b/>
          <w:i/>
          <w:color w:val="000000"/>
          <w:sz w:val="24"/>
        </w:rPr>
        <w:t>7. Intangible Assets and Goodwill</w:t>
      </w:r>
      <w:r>
        <w:rPr>
          <w:color w:val="000000"/>
        </w:rPr>
        <w:t xml:space="preserve"> </w:t>
      </w:r>
    </w:p>
    <w:tbl>
      <w:tblPr>
        <w:tblW w:w="93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9391" w:type="dxa"/>
        <w:jc w:val="left"/>
        <w:tblInd w:w="0" w:type="dxa"/>
        <w:tblLayout w:type="fixed"/>
        <w:tblCellMar>
          <w:top w:w="28" w:type="dxa"/>
          <w:left w:w="28" w:type="dxa"/>
          <w:bottom w:w="28" w:type="dxa"/>
          <w:right w:w="28" w:type="dxa"/>
        </w:tblCellMar>
      </w:tblPr>
      <w:tblGrid>
        <w:gridCol w:w="642"/>
        <w:gridCol w:w="563"/>
        <w:gridCol w:w="565"/>
        <w:gridCol w:w="196"/>
        <w:gridCol w:w="661"/>
        <w:gridCol w:w="109"/>
        <w:gridCol w:w="109"/>
        <w:gridCol w:w="109"/>
        <w:gridCol w:w="109"/>
        <w:gridCol w:w="219"/>
        <w:gridCol w:w="739"/>
        <w:gridCol w:w="123"/>
        <w:gridCol w:w="109"/>
        <w:gridCol w:w="109"/>
        <w:gridCol w:w="109"/>
        <w:gridCol w:w="196"/>
        <w:gridCol w:w="661"/>
        <w:gridCol w:w="109"/>
        <w:gridCol w:w="109"/>
        <w:gridCol w:w="109"/>
        <w:gridCol w:w="109"/>
        <w:gridCol w:w="196"/>
        <w:gridCol w:w="646"/>
        <w:gridCol w:w="109"/>
        <w:gridCol w:w="109"/>
        <w:gridCol w:w="109"/>
        <w:gridCol w:w="109"/>
        <w:gridCol w:w="196"/>
        <w:gridCol w:w="721"/>
        <w:gridCol w:w="109"/>
        <w:gridCol w:w="109"/>
        <w:gridCol w:w="109"/>
        <w:gridCol w:w="109"/>
        <w:gridCol w:w="196"/>
        <w:gridCol w:w="646"/>
        <w:gridCol w:w="154"/>
      </w:tblGrid>
      <w:tr>
        <w:trPr/>
        <w:tc>
          <w:tcPr>
            <w:tcW w:w="64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w:t>
              <w:br/>
              <w:t>Carrying</w:t>
              <w:br/>
              <w:t>Amount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(20,092)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&amp; technology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$1 million for both the three months ended June 30, 2026 and 2025 and $2 million for both the six months ended June 30, 2026 and 2025.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as of June 30, 2026 is shown in the table below. Actual amortization expense may differ due to, among other things, fluctuations in foreign currency exchange rates, acquisitions, divestitures and impairment charges.</w:t>
      </w:r>
    </w:p>
    <w:tbl>
      <w:tblPr>
        <w:tblW w:w="2285" w:type="dxa"/>
        <w:jc w:val="left"/>
        <w:tblInd w:w="0" w:type="dxa"/>
        <w:tblLayout w:type="fixed"/>
        <w:tblCellMar>
          <w:top w:w="28" w:type="dxa"/>
          <w:left w:w="28" w:type="dxa"/>
          <w:bottom w:w="28" w:type="dxa"/>
          <w:right w:w="28" w:type="dxa"/>
        </w:tblCellMar>
      </w:tblPr>
      <w:tblGrid>
        <w:gridCol w:w="467"/>
        <w:gridCol w:w="410"/>
        <w:gridCol w:w="412"/>
        <w:gridCol w:w="196"/>
        <w:gridCol w:w="64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Changes in the carrying value of goodwill by reporting segment are shown in the table below.</w:t>
      </w:r>
    </w:p>
    <w:tbl>
      <w:tblPr>
        <w:tblW w:w="6990"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109"/>
        <w:gridCol w:w="279"/>
        <w:gridCol w:w="1050"/>
        <w:gridCol w:w="155"/>
        <w:gridCol w:w="109"/>
        <w:gridCol w:w="109"/>
        <w:gridCol w:w="109"/>
        <w:gridCol w:w="109"/>
        <w:gridCol w:w="109"/>
        <w:gridCol w:w="109"/>
        <w:gridCol w:w="109"/>
        <w:gridCol w:w="279"/>
        <w:gridCol w:w="900"/>
        <w:gridCol w:w="155"/>
        <w:gridCol w:w="109"/>
        <w:gridCol w:w="109"/>
        <w:gridCol w:w="109"/>
        <w:gridCol w:w="196"/>
        <w:gridCol w:w="75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SendTech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516,654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Presort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223,763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746,687 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(6,270)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740,417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8. Fair Value Measurements and Derivative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certain financial assets and liabilities at fair value on a recurring basis. Fair value is a market-based measure considered from the perspective of a market participant rather than an entity-specific measure. An entity is required to classify certain assets and liabilities measured at fair value based on the following fair value hierarchy that prioritizes the inputs used to measure fair value: </w:t>
      </w:r>
    </w:p>
    <w:p>
      <w:pPr>
        <w:pStyle w:val="TextBody"/>
        <w:bidi w:val="0"/>
        <w:spacing w:lineRule="auto" w:line="288" w:before="0" w:after="160"/>
        <w:ind w:left="0" w:right="0" w:hanging="900"/>
        <w:jc w:val="both"/>
        <w:rPr/>
      </w:pPr>
      <w:r>
        <w:rPr>
          <w:rFonts w:ascii="Times New Roman;serif" w:hAnsi="Times New Roman;serif"/>
          <w:b w:val="false"/>
          <w:color w:val="000000"/>
          <w:sz w:val="20"/>
          <w:u w:val="single"/>
        </w:rPr>
        <w:t>Level 1</w:t>
      </w:r>
      <w:r>
        <w:rPr>
          <w:color w:val="000000"/>
        </w:rPr>
        <w:t xml:space="preserve"> –    </w:t>
      </w:r>
      <w:r>
        <w:rPr>
          <w:rFonts w:ascii="Times New Roman;serif" w:hAnsi="Times New Roman;serif"/>
          <w:b w:val="false"/>
          <w:color w:val="000000"/>
          <w:sz w:val="20"/>
        </w:rPr>
        <w:t>Unadjusted quoted prices in active markets for identical assets and liabilities.</w:t>
      </w:r>
    </w:p>
    <w:p>
      <w:pPr>
        <w:pStyle w:val="TextBody"/>
        <w:bidi w:val="0"/>
        <w:spacing w:lineRule="auto" w:line="288" w:before="0" w:after="160"/>
        <w:ind w:left="0" w:right="0" w:hanging="900"/>
        <w:jc w:val="both"/>
        <w:rPr/>
      </w:pPr>
      <w:r>
        <w:rPr>
          <w:rFonts w:ascii="Times New Roman;serif" w:hAnsi="Times New Roman;serif"/>
          <w:b w:val="false"/>
          <w:color w:val="000000"/>
          <w:sz w:val="20"/>
          <w:u w:val="single"/>
        </w:rPr>
        <w:t>Level 2</w:t>
      </w:r>
      <w:r>
        <w:rPr>
          <w:color w:val="000000"/>
        </w:rPr>
        <w:t xml:space="preserve"> –    </w:t>
      </w:r>
      <w:r>
        <w:rPr>
          <w:rFonts w:ascii="Times New Roman;serif" w:hAnsi="Times New Roman;serif"/>
          <w:b w:val="false"/>
          <w:color w:val="000000"/>
          <w:sz w:val="20"/>
        </w:rPr>
        <w:t>Quoted prices for identical assets and liabilities in markets that are not active, quoted prices for similar assets and liabilities in active markets or other inputs that are observable or can be corroborated by observable market data for substantially the full term of the assets or liabilities.</w:t>
      </w:r>
    </w:p>
    <w:p>
      <w:pPr>
        <w:pStyle w:val="TextBody"/>
        <w:bidi w:val="0"/>
        <w:spacing w:lineRule="auto" w:line="288" w:before="0" w:after="160"/>
        <w:ind w:left="0" w:right="0" w:hanging="900"/>
        <w:jc w:val="both"/>
        <w:rPr/>
      </w:pPr>
      <w:r>
        <w:rPr>
          <w:rFonts w:ascii="Times New Roman;serif" w:hAnsi="Times New Roman;serif"/>
          <w:b w:val="false"/>
          <w:color w:val="000000"/>
          <w:sz w:val="20"/>
          <w:u w:val="single"/>
        </w:rPr>
        <w:t>Level 3</w:t>
      </w:r>
      <w:r>
        <w:rPr>
          <w:color w:val="000000"/>
        </w:rPr>
        <w:t xml:space="preserve">– </w:t>
      </w:r>
      <w:r>
        <w:rPr>
          <w:rFonts w:ascii="Times New Roman;serif" w:hAnsi="Times New Roman;serif"/>
          <w:b w:val="false"/>
          <w:color w:val="000000"/>
          <w:sz w:val="20"/>
        </w:rPr>
        <w:t>Unobservable inputs that are supported by little or no market activity, may be derived from internally developed methodologies based on management’s best estimate of fair value and that are significant to the fair value of the asset or liability.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assets and liabilities are classified in their entirety based on the lowest level of input that is significant to the fair value measurement. The assessment of the significance of a particular input to the fair value measurement requires judgment and may affect its placement within the fair value hierarchy.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the financial assets and liabilities accounted for at fair value on a recurring basis by level within the fair value hierarchy. </w:t>
      </w:r>
    </w:p>
    <w:tbl>
      <w:tblPr>
        <w:tblW w:w="8099" w:type="dxa"/>
        <w:jc w:val="left"/>
        <w:tblInd w:w="0" w:type="dxa"/>
        <w:tblLayout w:type="fixed"/>
        <w:tblCellMar>
          <w:top w:w="28" w:type="dxa"/>
          <w:left w:w="28" w:type="dxa"/>
          <w:bottom w:w="28" w:type="dxa"/>
          <w:right w:w="28" w:type="dxa"/>
        </w:tblCellMar>
      </w:tblPr>
      <w:tblGrid>
        <w:gridCol w:w="1074"/>
        <w:gridCol w:w="941"/>
        <w:gridCol w:w="954"/>
        <w:gridCol w:w="211"/>
        <w:gridCol w:w="736"/>
        <w:gridCol w:w="109"/>
        <w:gridCol w:w="109"/>
        <w:gridCol w:w="109"/>
        <w:gridCol w:w="109"/>
        <w:gridCol w:w="211"/>
        <w:gridCol w:w="841"/>
        <w:gridCol w:w="109"/>
        <w:gridCol w:w="109"/>
        <w:gridCol w:w="109"/>
        <w:gridCol w:w="109"/>
        <w:gridCol w:w="211"/>
        <w:gridCol w:w="406"/>
        <w:gridCol w:w="109"/>
        <w:gridCol w:w="109"/>
        <w:gridCol w:w="109"/>
        <w:gridCol w:w="109"/>
        <w:gridCol w:w="211"/>
        <w:gridCol w:w="841"/>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055" w:type="dxa"/>
        <w:jc w:val="left"/>
        <w:tblInd w:w="0" w:type="dxa"/>
        <w:tblLayout w:type="fixed"/>
        <w:tblCellMar>
          <w:top w:w="28" w:type="dxa"/>
          <w:left w:w="28" w:type="dxa"/>
          <w:bottom w:w="28" w:type="dxa"/>
          <w:right w:w="28" w:type="dxa"/>
        </w:tblCellMar>
      </w:tblPr>
      <w:tblGrid>
        <w:gridCol w:w="1073"/>
        <w:gridCol w:w="942"/>
        <w:gridCol w:w="955"/>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Money market funds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debt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valuation of financial assets and liabilities is based on a market approach using inputs that are observable, or can be corroborated by observable data, in an active marketplace. The following information relates to our classification within the fair value hierarchy:</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Money Market Funds:</w:t>
      </w:r>
      <w:r>
        <w:rPr>
          <w:color w:val="000000"/>
        </w:rPr>
        <w:t xml:space="preserve"> </w:t>
      </w:r>
      <w:r>
        <w:rPr>
          <w:rFonts w:ascii="Times New Roman;serif" w:hAnsi="Times New Roman;serif"/>
          <w:b w:val="false"/>
          <w:color w:val="000000"/>
          <w:sz w:val="20"/>
        </w:rPr>
        <w:t>Money market funds typically invest in securities issued by the U.S. government and its agencies and other highly liquid, low risk securities. The fair value of money market funds is based on the net asset value as reported daily by the underlying money market fund and serves as the basis for subscriptions and redemptions. Accordingly, money market funds are classified as Level 1.</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Mutual Funds</w:t>
      </w:r>
      <w:r>
        <w:rPr>
          <w:rFonts w:ascii="Times New Roman;serif" w:hAnsi="Times New Roman;serif"/>
          <w:b w:val="false"/>
          <w:color w:val="000000"/>
          <w:sz w:val="20"/>
        </w:rPr>
        <w:t xml:space="preserve">: Comprised of mutual funds investing in equity securities of U.S. and foreign companies and a variety of fixed income securities. Mutual fund investments are primarily held in our deferred compensation plan (see Deferred Compensation Obligation below). The fair value of mutual funds is based on the net asset value as reported daily by the underlying mutual fund and serves as the basis for subscriptions and redemptions. Accordingly, mutual funds are classified as Level 1.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Government Securities:</w:t>
      </w:r>
      <w:r>
        <w:rPr>
          <w:color w:val="000000"/>
        </w:rPr>
        <w:t xml:space="preserve"> </w:t>
      </w:r>
      <w:r>
        <w:rPr>
          <w:rFonts w:ascii="Times New Roman;serif" w:hAnsi="Times New Roman;serif"/>
          <w:b w:val="false"/>
          <w:color w:val="000000"/>
          <w:sz w:val="20"/>
        </w:rPr>
        <w:t xml:space="preserve">Government securities consist primarily of municipal bonds and U.S. agency securities. Government securities are classified as Level 1 when unadjusted quoted prices in active markets are available and as Level 2 when fair value is determined using quoted market prices for similar securities or by benchmarking models which derive prices based on observable transactions for comparable securities.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Corporate Debt Securities:</w:t>
      </w:r>
      <w:r>
        <w:rPr>
          <w:color w:val="000000"/>
        </w:rPr>
        <w:t xml:space="preserve"> </w:t>
      </w:r>
      <w:r>
        <w:rPr>
          <w:rFonts w:ascii="Times New Roman;serif" w:hAnsi="Times New Roman;serif"/>
          <w:b w:val="false"/>
          <w:color w:val="000000"/>
          <w:sz w:val="20"/>
        </w:rPr>
        <w:t>Corporate debt securities are valued using recently executed comparable transactions, market price quotations or bond spreads for the same maturity as the security. Accordingly, these securities are classified as Level 2.</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 xml:space="preserve">Mortgage-Backed Securities: </w:t>
      </w:r>
      <w:r>
        <w:rPr>
          <w:rFonts w:ascii="Times New Roman;serif" w:hAnsi="Times New Roman;serif"/>
          <w:b w:val="false"/>
          <w:color w:val="000000"/>
          <w:sz w:val="20"/>
        </w:rPr>
        <w:t xml:space="preserve">Comprised of U.S Government agency mortgage-backed securities issued by the Federal Home Loan Mortgage Corporation (Freddie Mac), Federal National Mortgage Association (Fannie Mae), Governmental National Mortgage Association (Ginnie Mae), and the Federal Housing Administration and commercial mortgage-backed securities. Fair value for these securities is determined based on prices of comparable securities, external pricing indices or external price/spread data. Accordingly, these securities are classified as Level 2.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Asset-Backed Securities:</w:t>
      </w:r>
      <w:r>
        <w:rPr>
          <w:color w:val="000000"/>
        </w:rPr>
        <w:t xml:space="preserve"> </w:t>
      </w:r>
      <w:r>
        <w:rPr>
          <w:rFonts w:ascii="Times New Roman;serif" w:hAnsi="Times New Roman;serif"/>
          <w:b w:val="false"/>
          <w:color w:val="000000"/>
          <w:sz w:val="20"/>
        </w:rPr>
        <w:t xml:space="preserve">Asset-backed securities are classified as Level 2 as fair value for these securities is determined based on prices of comparable securities, external pricing indices or external price/spread data. </w:t>
      </w: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 xml:space="preserve">Deferred Compensation Obligation: </w:t>
      </w:r>
      <w:r>
        <w:rPr>
          <w:rFonts w:ascii="Times New Roman;serif" w:hAnsi="Times New Roman;serif"/>
          <w:b w:val="false"/>
          <w:color w:val="000000"/>
          <w:sz w:val="20"/>
        </w:rPr>
        <w:t xml:space="preserve">we offer a deferred compensation plan that allows certain eligible employees to defer a portion of their variable compensation annually and invest their deferred compensation among a variety of investment options. The deferred compensation obligation represents the aggregate value of the participants' accounts at the end of the reporting period. The fair value of the deferred compensation obligation is determined based on the underlying asset values and is classified as Level 2. The deferred compensation obligation is reported in accounts payable and accrued liabilities on our Condensed Consolidated Balance Sheet. </w:t>
      </w:r>
    </w:p>
    <w:p>
      <w:pPr>
        <w:pStyle w:val="TextBody"/>
        <w:bidi w:val="0"/>
        <w:spacing w:before="120" w:after="6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Available-For-Sale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securities classified as available-for-sale are recorded at fair value. Changes in fair value due to market conditions are recorded in accumulated other comprehensive loss (AOCL), and changes in fair value due to credit conditions are recorded in earnings. There were no changes in fair value charged to earnings in the three months ended June 30, 2026 or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consisted of the following:</w:t>
      </w:r>
    </w:p>
    <w:tbl>
      <w:tblPr>
        <w:tblW w:w="9663" w:type="dxa"/>
        <w:jc w:val="left"/>
        <w:tblInd w:w="0" w:type="dxa"/>
        <w:tblLayout w:type="fixed"/>
        <w:tblCellMar>
          <w:top w:w="28" w:type="dxa"/>
          <w:left w:w="28" w:type="dxa"/>
          <w:bottom w:w="28" w:type="dxa"/>
          <w:right w:w="28" w:type="dxa"/>
        </w:tblCellMar>
      </w:tblPr>
      <w:tblGrid>
        <w:gridCol w:w="858"/>
        <w:gridCol w:w="753"/>
        <w:gridCol w:w="758"/>
        <w:gridCol w:w="218"/>
        <w:gridCol w:w="869"/>
        <w:gridCol w:w="112"/>
        <w:gridCol w:w="109"/>
        <w:gridCol w:w="109"/>
        <w:gridCol w:w="109"/>
        <w:gridCol w:w="504"/>
        <w:gridCol w:w="972"/>
        <w:gridCol w:w="264"/>
        <w:gridCol w:w="109"/>
        <w:gridCol w:w="109"/>
        <w:gridCol w:w="109"/>
        <w:gridCol w:w="332"/>
        <w:gridCol w:w="1252"/>
        <w:gridCol w:w="171"/>
        <w:gridCol w:w="109"/>
        <w:gridCol w:w="109"/>
        <w:gridCol w:w="109"/>
        <w:gridCol w:w="283"/>
        <w:gridCol w:w="1130"/>
        <w:gridCol w:w="206"/>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(189)</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18,956</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(5,223)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13,733</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49,083</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(5,818)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43,265</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104,353</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85,560</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19,950</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194,256</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(30,044)</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164,232</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tbl>
      <w:tblPr>
        <w:tblW w:w="9391" w:type="dxa"/>
        <w:jc w:val="center"/>
        <w:tblInd w:w="0" w:type="dxa"/>
        <w:tblLayout w:type="fixed"/>
        <w:tblCellMar>
          <w:top w:w="28" w:type="dxa"/>
          <w:left w:w="28" w:type="dxa"/>
          <w:bottom w:w="28" w:type="dxa"/>
          <w:right w:w="28" w:type="dxa"/>
        </w:tblCellMar>
      </w:tblPr>
      <w:tblGrid>
        <w:gridCol w:w="858"/>
        <w:gridCol w:w="753"/>
        <w:gridCol w:w="758"/>
        <w:gridCol w:w="212"/>
        <w:gridCol w:w="833"/>
        <w:gridCol w:w="109"/>
        <w:gridCol w:w="109"/>
        <w:gridCol w:w="109"/>
        <w:gridCol w:w="109"/>
        <w:gridCol w:w="445"/>
        <w:gridCol w:w="986"/>
        <w:gridCol w:w="233"/>
        <w:gridCol w:w="109"/>
        <w:gridCol w:w="109"/>
        <w:gridCol w:w="109"/>
        <w:gridCol w:w="320"/>
        <w:gridCol w:w="1209"/>
        <w:gridCol w:w="165"/>
        <w:gridCol w:w="109"/>
        <w:gridCol w:w="109"/>
        <w:gridCol w:w="109"/>
        <w:gridCol w:w="271"/>
        <w:gridCol w:w="1061"/>
        <w:gridCol w:w="197"/>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Estimated fair value</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available-for-sale securities is reported on our Condensed Consolidated Balance Sheet as follows:</w:t>
      </w:r>
    </w:p>
    <w:tbl>
      <w:tblPr>
        <w:tblW w:w="5448" w:type="dxa"/>
        <w:jc w:val="left"/>
        <w:tblInd w:w="0" w:type="dxa"/>
        <w:tblLayout w:type="fixed"/>
        <w:tblCellMar>
          <w:top w:w="28" w:type="dxa"/>
          <w:left w:w="28" w:type="dxa"/>
          <w:bottom w:w="28" w:type="dxa"/>
          <w:right w:w="28" w:type="dxa"/>
        </w:tblCellMar>
      </w:tblPr>
      <w:tblGrid>
        <w:gridCol w:w="723"/>
        <w:gridCol w:w="635"/>
        <w:gridCol w:w="637"/>
        <w:gridCol w:w="109"/>
        <w:gridCol w:w="109"/>
        <w:gridCol w:w="109"/>
        <w:gridCol w:w="109"/>
        <w:gridCol w:w="211"/>
        <w:gridCol w:w="841"/>
        <w:gridCol w:w="109"/>
        <w:gridCol w:w="109"/>
        <w:gridCol w:w="109"/>
        <w:gridCol w:w="109"/>
        <w:gridCol w:w="271"/>
        <w:gridCol w:w="1061"/>
        <w:gridCol w:w="19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162,508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164,232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securities in a loss position were as follows:</w:t>
      </w:r>
    </w:p>
    <w:tbl>
      <w:tblPr>
        <w:tblW w:w="9870" w:type="dxa"/>
        <w:jc w:val="center"/>
        <w:tblInd w:w="0" w:type="dxa"/>
        <w:tblLayout w:type="fixed"/>
        <w:tblCellMar>
          <w:top w:w="28" w:type="dxa"/>
          <w:left w:w="28" w:type="dxa"/>
          <w:bottom w:w="28" w:type="dxa"/>
          <w:right w:w="28" w:type="dxa"/>
        </w:tblCellMar>
      </w:tblPr>
      <w:tblGrid>
        <w:gridCol w:w="1118"/>
        <w:gridCol w:w="984"/>
        <w:gridCol w:w="987"/>
        <w:gridCol w:w="211"/>
        <w:gridCol w:w="841"/>
        <w:gridCol w:w="109"/>
        <w:gridCol w:w="109"/>
        <w:gridCol w:w="109"/>
        <w:gridCol w:w="109"/>
        <w:gridCol w:w="350"/>
        <w:gridCol w:w="1223"/>
        <w:gridCol w:w="181"/>
        <w:gridCol w:w="109"/>
        <w:gridCol w:w="109"/>
        <w:gridCol w:w="109"/>
        <w:gridCol w:w="211"/>
        <w:gridCol w:w="826"/>
        <w:gridCol w:w="109"/>
        <w:gridCol w:w="109"/>
        <w:gridCol w:w="109"/>
        <w:gridCol w:w="109"/>
        <w:gridCol w:w="338"/>
        <w:gridCol w:w="1155"/>
        <w:gridCol w:w="246"/>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Greater than 12 continuous months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5,818</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18,793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30,023</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than 12 continuous months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substantially all securities in the investment portfolio were in an unrealized loss position. However, we have not recorded an allowance for credit loss or an impairment charge as we have the ability and intent to hold these securities until recovery of the unrealized losses and expect to receive the stated principal and interest at maturity.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Scheduled maturities of available-for-sale securities at June 30, 2026 were as follows:</w:t>
      </w:r>
    </w:p>
    <w:tbl>
      <w:tblPr>
        <w:tblW w:w="5696" w:type="dxa"/>
        <w:jc w:val="center"/>
        <w:tblInd w:w="0" w:type="dxa"/>
        <w:tblLayout w:type="fixed"/>
        <w:tblCellMar>
          <w:top w:w="28" w:type="dxa"/>
          <w:left w:w="28" w:type="dxa"/>
          <w:bottom w:w="28" w:type="dxa"/>
          <w:right w:w="28" w:type="dxa"/>
        </w:tblCellMar>
      </w:tblPr>
      <w:tblGrid>
        <w:gridCol w:w="923"/>
        <w:gridCol w:w="811"/>
        <w:gridCol w:w="815"/>
        <w:gridCol w:w="221"/>
        <w:gridCol w:w="865"/>
        <w:gridCol w:w="114"/>
        <w:gridCol w:w="109"/>
        <w:gridCol w:w="109"/>
        <w:gridCol w:w="109"/>
        <w:gridCol w:w="287"/>
        <w:gridCol w:w="1124"/>
        <w:gridCol w:w="209"/>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5 years through 10 years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194,256 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Actual maturities may not coincide with scheduled maturities as certain securities contain early redemption features and/or allow for the prepayment of obligations.</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Held-to-Maturity Securities</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carrying value and fair value of investments classified as held-to-maturity is as follows:</w:t>
      </w:r>
    </w:p>
    <w:tbl>
      <w:tblPr>
        <w:tblW w:w="7520" w:type="dxa"/>
        <w:jc w:val="left"/>
        <w:tblInd w:w="0" w:type="dxa"/>
        <w:tblLayout w:type="fixed"/>
        <w:tblCellMar>
          <w:top w:w="28" w:type="dxa"/>
          <w:left w:w="28" w:type="dxa"/>
          <w:bottom w:w="28" w:type="dxa"/>
          <w:right w:w="28" w:type="dxa"/>
        </w:tblCellMar>
      </w:tblPr>
      <w:tblGrid>
        <w:gridCol w:w="701"/>
        <w:gridCol w:w="615"/>
        <w:gridCol w:w="618"/>
        <w:gridCol w:w="109"/>
        <w:gridCol w:w="242"/>
        <w:gridCol w:w="847"/>
        <w:gridCol w:w="125"/>
        <w:gridCol w:w="109"/>
        <w:gridCol w:w="109"/>
        <w:gridCol w:w="109"/>
        <w:gridCol w:w="211"/>
        <w:gridCol w:w="736"/>
        <w:gridCol w:w="109"/>
        <w:gridCol w:w="109"/>
        <w:gridCol w:w="109"/>
        <w:gridCol w:w="109"/>
        <w:gridCol w:w="231"/>
        <w:gridCol w:w="790"/>
        <w:gridCol w:w="119"/>
        <w:gridCol w:w="109"/>
        <w:gridCol w:w="109"/>
        <w:gridCol w:w="109"/>
        <w:gridCol w:w="211"/>
        <w:gridCol w:w="72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21,284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4,367</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25,651</w:t>
            </w: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carrying value of held-to-maturity securities is reported on our Condensed Consolidated Balance Sheet as follows:</w:t>
      </w:r>
    </w:p>
    <w:tbl>
      <w:tblPr>
        <w:tblW w:w="5412" w:type="dxa"/>
        <w:jc w:val="left"/>
        <w:tblInd w:w="0" w:type="dxa"/>
        <w:tblLayout w:type="fixed"/>
        <w:tblCellMar>
          <w:top w:w="28" w:type="dxa"/>
          <w:left w:w="28" w:type="dxa"/>
          <w:bottom w:w="28" w:type="dxa"/>
          <w:right w:w="28" w:type="dxa"/>
        </w:tblCellMar>
      </w:tblPr>
      <w:tblGrid>
        <w:gridCol w:w="723"/>
        <w:gridCol w:w="635"/>
        <w:gridCol w:w="637"/>
        <w:gridCol w:w="109"/>
        <w:gridCol w:w="109"/>
        <w:gridCol w:w="109"/>
        <w:gridCol w:w="109"/>
        <w:gridCol w:w="224"/>
        <w:gridCol w:w="784"/>
        <w:gridCol w:w="116"/>
        <w:gridCol w:w="109"/>
        <w:gridCol w:w="109"/>
        <w:gridCol w:w="109"/>
        <w:gridCol w:w="297"/>
        <w:gridCol w:w="1016"/>
        <w:gridCol w:w="21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10,197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15,454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25,651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Scheduled maturities of held-to-maturity securities at June 30, 2026 were as follows:</w:t>
      </w:r>
    </w:p>
    <w:tbl>
      <w:tblPr>
        <w:tblW w:w="4998" w:type="dxa"/>
        <w:jc w:val="left"/>
        <w:tblInd w:w="0" w:type="dxa"/>
        <w:tblLayout w:type="fixed"/>
        <w:tblCellMar>
          <w:top w:w="28" w:type="dxa"/>
          <w:left w:w="28" w:type="dxa"/>
          <w:bottom w:w="28" w:type="dxa"/>
          <w:right w:w="28" w:type="dxa"/>
        </w:tblCellMar>
      </w:tblPr>
      <w:tblGrid>
        <w:gridCol w:w="858"/>
        <w:gridCol w:w="754"/>
        <w:gridCol w:w="758"/>
        <w:gridCol w:w="246"/>
        <w:gridCol w:w="842"/>
        <w:gridCol w:w="127"/>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include cash equivalents, accounts receivables, finance receivables, accounts payable and debt. The carrying values of cash equivalents, accounts receivables, finance receivables and accounts payable approximate fair value. The inputs used to estimate fair value of cash equivalents, accounts receivables, finance receivables and accounts payable were Level 2. </w:t>
      </w:r>
    </w:p>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inputs used to estimate the fair value of debt were Level 2 and included recently executed transactions and market price quotations. </w:t>
      </w:r>
    </w:p>
    <w:tbl>
      <w:tblPr>
        <w:tblW w:w="4501" w:type="dxa"/>
        <w:jc w:val="left"/>
        <w:tblInd w:w="0" w:type="dxa"/>
        <w:tblLayout w:type="fixed"/>
        <w:tblCellMar>
          <w:top w:w="28" w:type="dxa"/>
          <w:left w:w="28" w:type="dxa"/>
          <w:bottom w:w="28" w:type="dxa"/>
          <w:right w:w="28" w:type="dxa"/>
        </w:tblCellMar>
      </w:tblPr>
      <w:tblGrid>
        <w:gridCol w:w="482"/>
        <w:gridCol w:w="425"/>
        <w:gridCol w:w="427"/>
        <w:gridCol w:w="211"/>
        <w:gridCol w:w="991"/>
        <w:gridCol w:w="109"/>
        <w:gridCol w:w="109"/>
        <w:gridCol w:w="109"/>
        <w:gridCol w:w="109"/>
        <w:gridCol w:w="240"/>
        <w:gridCol w:w="1114"/>
        <w:gridCol w:w="175"/>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1,968,425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1,954,304 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00"/>
        <w:jc w:val="left"/>
        <w:rPr>
          <w:rFonts w:ascii="Times New Roman;serif" w:hAnsi="Times New Roman;serif"/>
          <w:b/>
          <w:i/>
          <w:color w:val="000000"/>
          <w:sz w:val="24"/>
        </w:rPr>
      </w:pPr>
      <w:r>
        <w:rPr>
          <w:rFonts w:ascii="Times New Roman;serif" w:hAnsi="Times New Roman;serif"/>
          <w:b/>
          <w:i/>
          <w:color w:val="000000"/>
          <w:sz w:val="24"/>
        </w:rPr>
        <w:t xml:space="preserve">9. Restructuring Charges </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Activity in our restructuring reserves was as follows:</w:t>
      </w:r>
    </w:p>
    <w:tbl>
      <w:tblPr>
        <w:tblW w:w="6222" w:type="dxa"/>
        <w:jc w:val="left"/>
        <w:tblInd w:w="0" w:type="dxa"/>
        <w:tblLayout w:type="fixed"/>
        <w:tblCellMar>
          <w:top w:w="28" w:type="dxa"/>
          <w:left w:w="28" w:type="dxa"/>
          <w:bottom w:w="28" w:type="dxa"/>
          <w:right w:w="28" w:type="dxa"/>
        </w:tblCellMar>
      </w:tblPr>
      <w:tblGrid>
        <w:gridCol w:w="892"/>
        <w:gridCol w:w="781"/>
        <w:gridCol w:w="787"/>
        <w:gridCol w:w="211"/>
        <w:gridCol w:w="736"/>
        <w:gridCol w:w="109"/>
        <w:gridCol w:w="109"/>
        <w:gridCol w:w="109"/>
        <w:gridCol w:w="109"/>
        <w:gridCol w:w="211"/>
        <w:gridCol w:w="631"/>
        <w:gridCol w:w="109"/>
        <w:gridCol w:w="109"/>
        <w:gridCol w:w="109"/>
        <w:gridCol w:w="109"/>
        <w:gridCol w:w="211"/>
        <w:gridCol w:w="736"/>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charged to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tbl>
      <w:tblPr>
        <w:tblW w:w="4027" w:type="dxa"/>
        <w:jc w:val="left"/>
        <w:tblInd w:w="0" w:type="dxa"/>
        <w:tblLayout w:type="fixed"/>
        <w:tblCellMar>
          <w:top w:w="28" w:type="dxa"/>
          <w:left w:w="28" w:type="dxa"/>
          <w:bottom w:w="28" w:type="dxa"/>
          <w:right w:w="28" w:type="dxa"/>
        </w:tblCellMar>
      </w:tblPr>
      <w:tblGrid>
        <w:gridCol w:w="908"/>
        <w:gridCol w:w="795"/>
        <w:gridCol w:w="802"/>
        <w:gridCol w:w="211"/>
        <w:gridCol w:w="721"/>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Amounts charged to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Components of restructuring expense were as follows:</w:t>
      </w:r>
    </w:p>
    <w:tbl>
      <w:tblPr>
        <w:tblW w:w="9136" w:type="dxa"/>
        <w:jc w:val="left"/>
        <w:tblInd w:w="0" w:type="dxa"/>
        <w:tblLayout w:type="fixed"/>
        <w:tblCellMar>
          <w:top w:w="28" w:type="dxa"/>
          <w:left w:w="28" w:type="dxa"/>
          <w:bottom w:w="28" w:type="dxa"/>
          <w:right w:w="28" w:type="dxa"/>
        </w:tblCellMar>
      </w:tblPr>
      <w:tblGrid>
        <w:gridCol w:w="607"/>
        <w:gridCol w:w="534"/>
        <w:gridCol w:w="538"/>
        <w:gridCol w:w="592"/>
        <w:gridCol w:w="1772"/>
        <w:gridCol w:w="306"/>
        <w:gridCol w:w="109"/>
        <w:gridCol w:w="2611"/>
        <w:gridCol w:w="109"/>
        <w:gridCol w:w="109"/>
        <w:gridCol w:w="109"/>
        <w:gridCol w:w="109"/>
        <w:gridCol w:w="109"/>
        <w:gridCol w:w="211"/>
        <w:gridCol w:w="721"/>
        <w:gridCol w:w="109"/>
        <w:gridCol w:w="109"/>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c>
          <w:tcPr>
            <w:tcW w:w="2067" w:type="dxa"/>
            <w:gridSpan w:val="12"/>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Plan</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2024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3,337</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2025</w:t>
            </w:r>
          </w:p>
        </w:tc>
        <w:tc>
          <w:tcPr>
            <w:tcW w:w="2067" w:type="dxa"/>
            <w:gridSpan w:val="12"/>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Plan</w:t>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2024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8,427</w:t>
            </w: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8,449</w:t>
            </w:r>
            <w:r>
              <w:rPr>
                <w:color w:val="000000"/>
              </w:rPr>
              <w:t>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2025 Plan was completed at the end of the second quarter of 2026. Under the 2025 Plan, we eliminated approximately 550 positions and incurred cumulative charges of $45 million. </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10. Debt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Total debt consisted of the following: </w:t>
      </w:r>
    </w:p>
    <w:tbl>
      <w:tblPr>
        <w:tblW w:w="7844" w:type="dxa"/>
        <w:jc w:val="center"/>
        <w:tblInd w:w="0" w:type="dxa"/>
        <w:tblLayout w:type="fixed"/>
        <w:tblCellMar>
          <w:top w:w="28" w:type="dxa"/>
          <w:left w:w="28" w:type="dxa"/>
          <w:bottom w:w="28" w:type="dxa"/>
          <w:right w:w="28" w:type="dxa"/>
        </w:tblCellMar>
      </w:tblPr>
      <w:tblGrid>
        <w:gridCol w:w="1104"/>
        <w:gridCol w:w="966"/>
        <w:gridCol w:w="975"/>
        <w:gridCol w:w="434"/>
        <w:gridCol w:w="434"/>
        <w:gridCol w:w="437"/>
        <w:gridCol w:w="109"/>
        <w:gridCol w:w="109"/>
        <w:gridCol w:w="109"/>
        <w:gridCol w:w="211"/>
        <w:gridCol w:w="991"/>
        <w:gridCol w:w="109"/>
        <w:gridCol w:w="109"/>
        <w:gridCol w:w="109"/>
        <w:gridCol w:w="109"/>
        <w:gridCol w:w="240"/>
        <w:gridCol w:w="1114"/>
        <w:gridCol w:w="175"/>
      </w:tblGrid>
      <w:tr>
        <w:trPr/>
        <w:tc>
          <w:tcPr>
            <w:tcW w:w="110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March 2027</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March 2029</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due August 2030</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March 2031</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March 2032</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January 2037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due March 2043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SOFR + 2.10%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96,700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2,066,839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2,026,212 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costs, net</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2,033,894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1,993,038 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long-term debt</w:t>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2,010,756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1,975,888 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issued an additional aggregate $150 million of the Notes due March 2029 with identical terms to the prior notes outstanding. In the second quarter of 2026, we borrowed an additional $150 million under the Term Loan due March 2028 and extended the maturity date to March 2031. The proceeds of the additional term loan borrowing were used to repay the Notes due March 2027.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access to a $450 million revolving credit facility (increased from $400 million in the first quarter of 2026). In the second quarter of 2026, we further amended the revolving credit facility to extend the maturity date to March 2031 and updated certain covenants. This credit facility requires that we maintain (with maintenance tested quarterly) (i) a Consolidated Interest Coverage Ratio (as defined in the credit facility agreement) of not less than 2.00 to 1.00, (ii) a Consolidated Secured Net Leverage Ratio (as defined in the credit facility agreement) of no greater than 3.00 to 1.00 and (iii) a Consolidated Total Net Leverage Ratio (as defined in the credit facility agreement) of no greater than (a) 4.75 to 1.00 for the fiscal quarters ending June 30, 2026, September 30, 2026 and December 31, 2026, (b) 4.50 to 1.00 for the fiscal quarters ending March 31, 2027, June 30, 2027, September 30, 2027 and December 31, 2027, (c) 4.25 to 1.00 for the fiscal quarters ending March 31, 2028, June 30, 2028, September 30, 2028 and December 31, 2028 and (d) 4.00 to 1.00 for each fiscal quarter ending on or after March 31, 2029. At June 30, 2026, we were in compliance with these financial covenants. During the quarter, we borrowed $97 million under this credit facility, which was outstanding at June 30, 2026. At July 30, 2026, this amount has been fully repaid. At June 30, 2026, we have remaining borrowing capacity of $330 million. Borrowings under this credit facility are secured by assets of the Company.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facility also contains provisions whereby if, on any day prior to December 14, 2028, the Notes due March 2029 have not been redeemed in full and liquidity is less than an amount equal to the amount to redeem the Notes due March 2029 plus $100 million, the Term loan due March 2031 and any borrowings under the revolving credit facility would become due on such date. Further, if on any day prior to May 16, 2030, the Convertible Notes due August 2030 have not been redeemed in full and liquidity is less than an amount equal to the amount to redeem the Convertible Notes due August 2030 plus $100 million, the Term loan due March 2031 and any borrowings under the revolving credit facility would become due on such date.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outstanding an aggregate $230 million convertible senior notes (the "Convertible Notes"). Prior to May 15, 2030, the Convertible Notes will be convertible only upon satisfaction of certain conditions and during certain periods, and, thereafter, the Convertible Notes will be convertible at any time until the close of business on the second scheduled trading day immediately preceding the maturity date. The conversion rate is 70.3835 shares of common stock per $1,000 principal amount, or $14.21 per share, subject to adjustment.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Notes may be converted by the bondholders at any time if the last reported sale price of the Company’s Common Stock has been at least 130% of the conversion price then in effect for at least 20 trading days (whether or not consecutive) during any 30 consecutive trading day period (including the last trading day of such period).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redeem the Convertible Notes prior to August 21, 2028. On or after August 21, 2028, we may redeem for cash all or any portion of the Convertible Notes, at our option, if the last reported sale price of the Company’s Common Stock has been at least 130%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to be redeemed, plus accrued and unpaid interest.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subject to certain conditions, holders may require that we repurchase for cash all or part of their Convertible Notes at a repurchase price equal to 100% of the principal amount to be repurchased, plus accrued and unpaid interest. In addition, if a make-whole fundamental change (as defined in the Indenture) occurs, or if we send a notice of redemption, we may be required to increase the conversion rate for any Convertible Notes converted in connection with such make-whole fundamental change or notice of redemption by a specified number of shares of its Common Stock.</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Notes are senior unsecured obligations of the Company and are guaranteed jointly and severally, on a senior unsecured basis, by each of the Company’s existing and future wholly owned U.S. subsidiaries that guarantee the Company’s existing credit agreement, existing senior notes or any other series of capital market debt with an aggregate principal amount outstanding in excess of $150 million.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Conversions of the Convertible Notes will be settled by paying cash up to the aggregate principal amount of the Convertible Notes being converted and by delivering shares of our common stock in respect of the remainder, if any, of our conversion obligation in excess of the aggregate principal amount of the Convertible Notes being converted.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Convertible Notes offering, we entered into privately negotiated capped call transactions (the "Capped Call Transactions") with certain of the initial purchasers or their respective affiliates and certain other financial institutions. The Capped Call Transactions are expected to reduce the potential dilution of our common stock upon conversion of any Convertible Notes. </w:t>
      </w:r>
    </w:p>
    <w:tbl>
      <w:tblPr>
        <w:tblW w:w="5431" w:type="dxa"/>
        <w:jc w:val="left"/>
        <w:tblInd w:w="0" w:type="dxa"/>
        <w:tblLayout w:type="fixed"/>
        <w:tblCellMar>
          <w:top w:w="28" w:type="dxa"/>
          <w:left w:w="28" w:type="dxa"/>
          <w:bottom w:w="28" w:type="dxa"/>
          <w:right w:w="28" w:type="dxa"/>
        </w:tblCellMar>
      </w:tblPr>
      <w:tblGrid>
        <w:gridCol w:w="1706"/>
        <w:gridCol w:w="1500"/>
        <w:gridCol w:w="1504"/>
        <w:gridCol w:w="211"/>
        <w:gridCol w:w="211"/>
        <w:gridCol w:w="299"/>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covered, subject to certain adjustments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16,188</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Strike price, subject to certain adjustments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$14.21</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 price, subject to certain adjustments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$22.29</w:t>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11. Pensions and Other Benefit Programs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benefit cost were as follows:</w:t>
      </w:r>
    </w:p>
    <w:tbl>
      <w:tblPr>
        <w:tblW w:w="10205" w:type="dxa"/>
        <w:jc w:val="center"/>
        <w:tblInd w:w="0" w:type="dxa"/>
        <w:tblLayout w:type="fixed"/>
        <w:tblCellMar>
          <w:top w:w="28" w:type="dxa"/>
          <w:left w:w="28" w:type="dxa"/>
          <w:bottom w:w="28" w:type="dxa"/>
          <w:right w:w="28" w:type="dxa"/>
        </w:tblCellMar>
      </w:tblPr>
      <w:tblGrid>
        <w:gridCol w:w="1007"/>
        <w:gridCol w:w="672"/>
        <w:gridCol w:w="663"/>
        <w:gridCol w:w="211"/>
        <w:gridCol w:w="736"/>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09"/>
        <w:gridCol w:w="109"/>
        <w:gridCol w:w="109"/>
        <w:gridCol w:w="109"/>
        <w:gridCol w:w="249"/>
        <w:gridCol w:w="747"/>
        <w:gridCol w:w="128"/>
        <w:gridCol w:w="128"/>
        <w:gridCol w:w="128"/>
        <w:gridCol w:w="128"/>
        <w:gridCol w:w="249"/>
        <w:gridCol w:w="729"/>
        <w:gridCol w:w="190"/>
      </w:tblGrid>
      <w:tr>
        <w:trPr/>
        <w:tc>
          <w:tcPr>
            <w:tcW w:w="100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Nonpension Postretirement Benefit Plans</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benefit plans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2,794</w:t>
            </w:r>
            <w:r>
              <w:rPr>
                <w:color w:val="000000"/>
              </w:rPr>
              <w:t>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Nonpension Postretirement Benefit Plans</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1,886</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(gain)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benefit plans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6,399</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5,891</w:t>
            </w:r>
            <w:r>
              <w:rPr>
                <w:color w:val="000000"/>
              </w:rPr>
              <w:t>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1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 xml:space="preserve">12. Income Taxes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and six months ended June 30, 2026 is 23.8% and 26.0% respectively, and includes a benefit of $2 million for stock compensation in both periods. The effective tax rate for the three months ended June 30, 2025 is 23.7% and includes a benefit of $2 million for the resolution of tax matters. The effective tax rate for the six months ended June 30, 2025 is 24.0% and includes a benefit of $2 million for stock compensation and a benefit of $2 million for the resolution of tax matters.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regard to U.S. Federal income tax, the Internal Revenue Service examination of our consolidated U.S. income tax returns for tax years prior to 2022 are closed to audit. With regard to U.S. state and local returns, most jurisdictions are closed through 2019. For our significant non-U.S. jurisdictions, Canada is closed to examination through 2020 except for a specific issue (the issue is in appeals for 2016 and 2017 and under current examination for 2018 and 2019), India is currently under review for 2022 through 2024, and France, Germany and the U.K. are closed through 2019, 2020 and 2023,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60"/>
        <w:jc w:val="left"/>
        <w:rPr>
          <w:rFonts w:ascii="Times New Roman;serif" w:hAnsi="Times New Roman;serif"/>
          <w:b/>
          <w:i/>
          <w:color w:val="000000"/>
          <w:sz w:val="24"/>
        </w:rPr>
      </w:pPr>
      <w:r>
        <w:rPr>
          <w:rFonts w:ascii="Times New Roman;serif" w:hAnsi="Times New Roman;serif"/>
          <w:b/>
          <w:i/>
          <w:color w:val="000000"/>
          <w:sz w:val="24"/>
        </w:rPr>
        <w:t>13. Commitments and Contingencies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in the ordinary course of business as well as in connection with our 2024 GEC Chapter 11 cases, we are involved in litigation pertaining to, among other things, contractual rights under vendor, insurance or other contracts; intellectual property or patent rights; equipment, service, payment or other disputes with clients; or disputes with employees. Some of these actions may be brought as a purported class action on behalf of a purported class of customers, employees, or others.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a dispute regarding agreements called “Equipment Supplements” with a former vendor for GEC that has resulted in three separate litigations. Trilogy Leasing Co., LLC (“Trilogy”) and its parent company Kingsbridge Holdings, LLC, filed suit against Pitney Bowes Inc. and Pitney Bowes Presort Services, LLC in November 2024, seeking $95 million in lease payments and additional interest and fees. That suit is pending in the Northern District of Illinois. In addition, we had intervened in a case filed against Trilogy in the United States Bankruptcy Court for the Southern District of Texas by one of the GEC Debtors, challenging the amount of damages potentially recoverable by Trilogy. The parties have agreed that this Texas case is now moot and the bankruptcy Court has now dismissed the Texas case for lack of jurisdiction at our request. We have now raised the same arguments against the damage claims in the Illinois action.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Due to uncertainties inherent in litigation, any actions could have a material adverse effect on our financial position, results of operations or cash flows; however, in management's opinion, the final outcome of outstanding matters will not have a material adverse effect on our financial position, results of operations or cash flows, taking into account established accruals for estimated liabilities.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14. Stockholders’ Deficit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stockholders’ deficit were as follows:</w:t>
      </w:r>
    </w:p>
    <w:tbl>
      <w:tblPr>
        <w:tblW w:w="10205" w:type="dxa"/>
        <w:jc w:val="left"/>
        <w:tblInd w:w="0" w:type="dxa"/>
        <w:tblLayout w:type="fixed"/>
        <w:tblCellMar>
          <w:top w:w="28" w:type="dxa"/>
          <w:left w:w="28" w:type="dxa"/>
          <w:bottom w:w="28" w:type="dxa"/>
          <w:right w:w="28" w:type="dxa"/>
        </w:tblCellMar>
      </w:tblPr>
      <w:tblGrid>
        <w:gridCol w:w="807"/>
        <w:gridCol w:w="526"/>
        <w:gridCol w:w="469"/>
        <w:gridCol w:w="109"/>
        <w:gridCol w:w="109"/>
        <w:gridCol w:w="109"/>
        <w:gridCol w:w="109"/>
        <w:gridCol w:w="203"/>
        <w:gridCol w:w="781"/>
        <w:gridCol w:w="113"/>
        <w:gridCol w:w="109"/>
        <w:gridCol w:w="109"/>
        <w:gridCol w:w="109"/>
        <w:gridCol w:w="109"/>
        <w:gridCol w:w="109"/>
        <w:gridCol w:w="207"/>
        <w:gridCol w:w="940"/>
        <w:gridCol w:w="115"/>
        <w:gridCol w:w="109"/>
        <w:gridCol w:w="109"/>
        <w:gridCol w:w="109"/>
        <w:gridCol w:w="323"/>
        <w:gridCol w:w="1239"/>
        <w:gridCol w:w="181"/>
        <w:gridCol w:w="109"/>
        <w:gridCol w:w="109"/>
        <w:gridCol w:w="109"/>
        <w:gridCol w:w="196"/>
        <w:gridCol w:w="905"/>
        <w:gridCol w:w="109"/>
        <w:gridCol w:w="109"/>
        <w:gridCol w:w="109"/>
        <w:gridCol w:w="109"/>
        <w:gridCol w:w="196"/>
        <w:gridCol w:w="770"/>
        <w:gridCol w:w="163"/>
      </w:tblGrid>
      <w:tr>
        <w:trPr/>
        <w:tc>
          <w:tcPr>
            <w:tcW w:w="8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deficit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270,338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2,689,224</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(792,299)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(3,060,835)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(893,572)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49,908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49,908</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1,873</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1,873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 ($0.10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(13,572)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(36,768)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35,089</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9,794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9,794</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(52,799)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270,338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2,698,586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(790,426)</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(3,041,777)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(863,279)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18"/>
        <w:gridCol w:w="542"/>
        <w:gridCol w:w="487"/>
        <w:gridCol w:w="109"/>
        <w:gridCol w:w="109"/>
        <w:gridCol w:w="109"/>
        <w:gridCol w:w="109"/>
        <w:gridCol w:w="203"/>
        <w:gridCol w:w="764"/>
        <w:gridCol w:w="113"/>
        <w:gridCol w:w="109"/>
        <w:gridCol w:w="109"/>
        <w:gridCol w:w="109"/>
        <w:gridCol w:w="109"/>
        <w:gridCol w:w="109"/>
        <w:gridCol w:w="205"/>
        <w:gridCol w:w="912"/>
        <w:gridCol w:w="113"/>
        <w:gridCol w:w="109"/>
        <w:gridCol w:w="109"/>
        <w:gridCol w:w="109"/>
        <w:gridCol w:w="323"/>
        <w:gridCol w:w="1242"/>
        <w:gridCol w:w="181"/>
        <w:gridCol w:w="109"/>
        <w:gridCol w:w="109"/>
        <w:gridCol w:w="109"/>
        <w:gridCol w:w="196"/>
        <w:gridCol w:w="907"/>
        <w:gridCol w:w="109"/>
        <w:gridCol w:w="109"/>
        <w:gridCol w:w="109"/>
        <w:gridCol w:w="109"/>
        <w:gridCol w:w="196"/>
        <w:gridCol w:w="772"/>
        <w:gridCol w:w="160"/>
      </w:tblGrid>
      <w:tr>
        <w:trPr/>
        <w:tc>
          <w:tcPr>
            <w:tcW w:w="81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deficit</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(811,575)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(535,884)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 ($0.07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(75,274)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270,338 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2,669,992 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(764,276)</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(536,809)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tbl>
      <w:tblPr>
        <w:tblW w:w="10205" w:type="dxa"/>
        <w:jc w:val="center"/>
        <w:tblInd w:w="0" w:type="dxa"/>
        <w:tblLayout w:type="fixed"/>
        <w:tblCellMar>
          <w:top w:w="28" w:type="dxa"/>
          <w:left w:w="28" w:type="dxa"/>
          <w:bottom w:w="28" w:type="dxa"/>
          <w:right w:w="28" w:type="dxa"/>
        </w:tblCellMar>
      </w:tblPr>
      <w:tblGrid>
        <w:gridCol w:w="850"/>
        <w:gridCol w:w="483"/>
        <w:gridCol w:w="469"/>
        <w:gridCol w:w="109"/>
        <w:gridCol w:w="109"/>
        <w:gridCol w:w="109"/>
        <w:gridCol w:w="109"/>
        <w:gridCol w:w="203"/>
        <w:gridCol w:w="781"/>
        <w:gridCol w:w="113"/>
        <w:gridCol w:w="109"/>
        <w:gridCol w:w="109"/>
        <w:gridCol w:w="109"/>
        <w:gridCol w:w="109"/>
        <w:gridCol w:w="109"/>
        <w:gridCol w:w="207"/>
        <w:gridCol w:w="940"/>
        <w:gridCol w:w="115"/>
        <w:gridCol w:w="109"/>
        <w:gridCol w:w="109"/>
        <w:gridCol w:w="109"/>
        <w:gridCol w:w="323"/>
        <w:gridCol w:w="1239"/>
        <w:gridCol w:w="181"/>
        <w:gridCol w:w="109"/>
        <w:gridCol w:w="109"/>
        <w:gridCol w:w="109"/>
        <w:gridCol w:w="196"/>
        <w:gridCol w:w="905"/>
        <w:gridCol w:w="109"/>
        <w:gridCol w:w="109"/>
        <w:gridCol w:w="109"/>
        <w:gridCol w:w="109"/>
        <w:gridCol w:w="196"/>
        <w:gridCol w:w="770"/>
        <w:gridCol w:w="163"/>
      </w:tblGrid>
      <w:tr>
        <w:trPr/>
        <w:tc>
          <w:tcPr>
            <w:tcW w:w="8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deficit</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270,338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2,655,703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(789,132)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(2,939,269)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(802,360)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108,046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108,046</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 ($0.19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(26,891)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(26,891)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(51,344)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85,938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34,594</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13,072</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13,072</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(188,446)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(188,446)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270,338</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2,698,586</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(790,426)</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(3,041,777)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(863,279)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59"/>
        <w:gridCol w:w="500"/>
        <w:gridCol w:w="487"/>
        <w:gridCol w:w="109"/>
        <w:gridCol w:w="109"/>
        <w:gridCol w:w="109"/>
        <w:gridCol w:w="109"/>
        <w:gridCol w:w="203"/>
        <w:gridCol w:w="764"/>
        <w:gridCol w:w="113"/>
        <w:gridCol w:w="109"/>
        <w:gridCol w:w="109"/>
        <w:gridCol w:w="109"/>
        <w:gridCol w:w="109"/>
        <w:gridCol w:w="109"/>
        <w:gridCol w:w="205"/>
        <w:gridCol w:w="912"/>
        <w:gridCol w:w="113"/>
        <w:gridCol w:w="109"/>
        <w:gridCol w:w="109"/>
        <w:gridCol w:w="109"/>
        <w:gridCol w:w="323"/>
        <w:gridCol w:w="1242"/>
        <w:gridCol w:w="181"/>
        <w:gridCol w:w="109"/>
        <w:gridCol w:w="109"/>
        <w:gridCol w:w="109"/>
        <w:gridCol w:w="196"/>
        <w:gridCol w:w="907"/>
        <w:gridCol w:w="109"/>
        <w:gridCol w:w="109"/>
        <w:gridCol w:w="109"/>
        <w:gridCol w:w="109"/>
        <w:gridCol w:w="196"/>
        <w:gridCol w:w="772"/>
        <w:gridCol w:w="161"/>
      </w:tblGrid>
      <w:tr>
        <w:trPr/>
        <w:tc>
          <w:tcPr>
            <w:tcW w:w="8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deficit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2,671,868 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(839,171)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(2,681,468)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(578,433)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paid ($0.13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(55,954)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270,338 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2,669,992 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(764,276)</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(536,809)</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15. Accumulated Other Comprehensive Loss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Reclassifications out of AOCL were as follows:</w:t>
      </w:r>
    </w:p>
    <w:tbl>
      <w:tblPr>
        <w:tblW w:w="8283" w:type="dxa"/>
        <w:jc w:val="center"/>
        <w:tblInd w:w="0" w:type="dxa"/>
        <w:tblLayout w:type="fixed"/>
        <w:tblCellMar>
          <w:top w:w="28" w:type="dxa"/>
          <w:left w:w="28" w:type="dxa"/>
          <w:bottom w:w="28" w:type="dxa"/>
          <w:right w:w="28" w:type="dxa"/>
        </w:tblCellMar>
      </w:tblPr>
      <w:tblGrid>
        <w:gridCol w:w="1185"/>
        <w:gridCol w:w="1040"/>
        <w:gridCol w:w="1045"/>
        <w:gridCol w:w="201"/>
        <w:gridCol w:w="650"/>
        <w:gridCol w:w="112"/>
        <w:gridCol w:w="112"/>
        <w:gridCol w:w="112"/>
        <w:gridCol w:w="112"/>
        <w:gridCol w:w="201"/>
        <w:gridCol w:w="650"/>
        <w:gridCol w:w="112"/>
        <w:gridCol w:w="109"/>
        <w:gridCol w:w="109"/>
        <w:gridCol w:w="109"/>
        <w:gridCol w:w="196"/>
        <w:gridCol w:w="721"/>
        <w:gridCol w:w="109"/>
        <w:gridCol w:w="109"/>
        <w:gridCol w:w="109"/>
        <w:gridCol w:w="109"/>
        <w:gridCol w:w="196"/>
        <w:gridCol w:w="721"/>
        <w:gridCol w:w="154"/>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 (Loss) Reclassified from AOCL</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 revenue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Pension and postretirement benefit plans</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Prior service costs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Actuarial losses </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Settlement </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(10,231)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(7,796)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AOCL, net of tax were as follows:</w:t>
      </w:r>
    </w:p>
    <w:tbl>
      <w:tblPr>
        <w:tblW w:w="10205" w:type="dxa"/>
        <w:jc w:val="center"/>
        <w:tblInd w:w="0" w:type="dxa"/>
        <w:tblLayout w:type="fixed"/>
        <w:tblCellMar>
          <w:top w:w="28" w:type="dxa"/>
          <w:left w:w="28" w:type="dxa"/>
          <w:bottom w:w="28" w:type="dxa"/>
          <w:right w:w="28" w:type="dxa"/>
        </w:tblCellMar>
      </w:tblPr>
      <w:tblGrid>
        <w:gridCol w:w="1072"/>
        <w:gridCol w:w="748"/>
        <w:gridCol w:w="712"/>
        <w:gridCol w:w="109"/>
        <w:gridCol w:w="109"/>
        <w:gridCol w:w="300"/>
        <w:gridCol w:w="1077"/>
        <w:gridCol w:w="167"/>
        <w:gridCol w:w="109"/>
        <w:gridCol w:w="109"/>
        <w:gridCol w:w="109"/>
        <w:gridCol w:w="396"/>
        <w:gridCol w:w="1522"/>
        <w:gridCol w:w="223"/>
        <w:gridCol w:w="109"/>
        <w:gridCol w:w="109"/>
        <w:gridCol w:w="109"/>
        <w:gridCol w:w="319"/>
        <w:gridCol w:w="1153"/>
        <w:gridCol w:w="177"/>
        <w:gridCol w:w="109"/>
        <w:gridCol w:w="109"/>
        <w:gridCol w:w="109"/>
        <w:gridCol w:w="196"/>
        <w:gridCol w:w="782"/>
        <w:gridCol w:w="162"/>
      </w:tblGrid>
      <w:tr>
        <w:trPr/>
        <w:tc>
          <w:tcPr>
            <w:tcW w:w="107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for 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(22,569)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(713,098)</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(789,132)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Reclassifications into earnings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14,331</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14,331</w:t>
            </w: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other comprehensive (loss)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14,331</w:t>
            </w:r>
            <w:r>
              <w:rPr>
                <w:color w:val="000000"/>
              </w:rPr>
              <w:t>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(15,386)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(22,808)</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(698,767)</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(68,851)</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(790,426)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20"/>
        <w:gridCol w:w="793"/>
        <w:gridCol w:w="759"/>
        <w:gridCol w:w="109"/>
        <w:gridCol w:w="109"/>
        <w:gridCol w:w="293"/>
        <w:gridCol w:w="1051"/>
        <w:gridCol w:w="163"/>
        <w:gridCol w:w="109"/>
        <w:gridCol w:w="109"/>
        <w:gridCol w:w="109"/>
        <w:gridCol w:w="362"/>
        <w:gridCol w:w="1489"/>
        <w:gridCol w:w="201"/>
        <w:gridCol w:w="109"/>
        <w:gridCol w:w="109"/>
        <w:gridCol w:w="109"/>
        <w:gridCol w:w="292"/>
        <w:gridCol w:w="1182"/>
        <w:gridCol w:w="162"/>
        <w:gridCol w:w="109"/>
        <w:gridCol w:w="109"/>
        <w:gridCol w:w="109"/>
        <w:gridCol w:w="196"/>
        <w:gridCol w:w="782"/>
        <w:gridCol w:w="161"/>
      </w:tblGrid>
      <w:tr>
        <w:trPr/>
        <w:tc>
          <w:tcPr>
            <w:tcW w:w="112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Available for 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Foreign currency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(704,818)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(104,756)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(839,171)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income before reclassifications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into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(25,899)</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(694,629)</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(43,748)</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(764,276)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PITNEY BOWES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 table amounts in thousands unless otherwise noted,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i/>
          <w:color w:val="000000"/>
          <w:sz w:val="24"/>
        </w:rPr>
      </w:pPr>
      <w:r>
        <w:rPr>
          <w:rFonts w:ascii="Times New Roman;serif" w:hAnsi="Times New Roman;serif"/>
          <w:b/>
          <w:i/>
          <w:color w:val="000000"/>
          <w:sz w:val="24"/>
        </w:rPr>
        <w:t>16. Supplemental Financial Statement Information</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Activity in the allowance for credit losses, other than finance receivables (see Note 6 for further information) is presented below.</w:t>
      </w:r>
    </w:p>
    <w:tbl>
      <w:tblPr>
        <w:tblW w:w="5500" w:type="dxa"/>
        <w:jc w:val="center"/>
        <w:tblInd w:w="0" w:type="dxa"/>
        <w:tblLayout w:type="fixed"/>
        <w:tblCellMar>
          <w:top w:w="28" w:type="dxa"/>
          <w:left w:w="28" w:type="dxa"/>
          <w:bottom w:w="28" w:type="dxa"/>
          <w:right w:w="28" w:type="dxa"/>
        </w:tblCellMar>
      </w:tblPr>
      <w:tblGrid>
        <w:gridCol w:w="1005"/>
        <w:gridCol w:w="883"/>
        <w:gridCol w:w="887"/>
        <w:gridCol w:w="109"/>
        <w:gridCol w:w="109"/>
        <w:gridCol w:w="109"/>
        <w:gridCol w:w="109"/>
        <w:gridCol w:w="196"/>
        <w:gridCol w:w="661"/>
        <w:gridCol w:w="109"/>
        <w:gridCol w:w="109"/>
        <w:gridCol w:w="109"/>
        <w:gridCol w:w="109"/>
        <w:gridCol w:w="196"/>
        <w:gridCol w:w="64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charged to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recoveries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assets and prepayments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Amounts charged to expense in 2025 includes a credit of $8 million related to a DIP Facility reimbursement.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for the three months ended June 30, 2026 and 2025 includes $2 million and $1 million of interest income, respectively and interest expense, net for the six months ended June 30, 2026 and 2025 includes $4 million and $3 million of interest income, respectively.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Other expense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expense (income) is as follows:</w:t>
      </w:r>
    </w:p>
    <w:tbl>
      <w:tblPr>
        <w:tblW w:w="8642" w:type="dxa"/>
        <w:jc w:val="left"/>
        <w:tblInd w:w="0" w:type="dxa"/>
        <w:tblLayout w:type="fixed"/>
        <w:tblCellMar>
          <w:top w:w="28" w:type="dxa"/>
          <w:left w:w="28" w:type="dxa"/>
          <w:bottom w:w="28" w:type="dxa"/>
          <w:right w:w="28" w:type="dxa"/>
        </w:tblCellMar>
      </w:tblPr>
      <w:tblGrid>
        <w:gridCol w:w="1396"/>
        <w:gridCol w:w="1227"/>
        <w:gridCol w:w="1232"/>
        <w:gridCol w:w="207"/>
        <w:gridCol w:w="604"/>
        <w:gridCol w:w="115"/>
        <w:gridCol w:w="115"/>
        <w:gridCol w:w="115"/>
        <w:gridCol w:w="115"/>
        <w:gridCol w:w="207"/>
        <w:gridCol w:w="668"/>
        <w:gridCol w:w="115"/>
        <w:gridCol w:w="109"/>
        <w:gridCol w:w="109"/>
        <w:gridCol w:w="109"/>
        <w:gridCol w:w="196"/>
        <w:gridCol w:w="571"/>
        <w:gridCol w:w="109"/>
        <w:gridCol w:w="109"/>
        <w:gridCol w:w="109"/>
        <w:gridCol w:w="109"/>
        <w:gridCol w:w="196"/>
        <w:gridCol w:w="64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debt redemption/refinancing</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1,116</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in connection with Ecommerce Restructuring</w:t>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is as follows:</w:t>
      </w:r>
    </w:p>
    <w:tbl>
      <w:tblPr>
        <w:tblW w:w="6391" w:type="dxa"/>
        <w:jc w:val="left"/>
        <w:tblInd w:w="0" w:type="dxa"/>
        <w:tblLayout w:type="fixed"/>
        <w:tblCellMar>
          <w:top w:w="28" w:type="dxa"/>
          <w:left w:w="28" w:type="dxa"/>
          <w:bottom w:w="28" w:type="dxa"/>
          <w:right w:w="28" w:type="dxa"/>
        </w:tblCellMar>
      </w:tblPr>
      <w:tblGrid>
        <w:gridCol w:w="1403"/>
        <w:gridCol w:w="1236"/>
        <w:gridCol w:w="1245"/>
        <w:gridCol w:w="196"/>
        <w:gridCol w:w="661"/>
        <w:gridCol w:w="109"/>
        <w:gridCol w:w="109"/>
        <w:gridCol w:w="109"/>
        <w:gridCol w:w="109"/>
        <w:gridCol w:w="196"/>
        <w:gridCol w:w="646"/>
        <w:gridCol w:w="109"/>
        <w:gridCol w:w="109"/>
        <w:gridCol w:w="154"/>
      </w:tblGrid>
      <w:tr>
        <w:trPr/>
        <w:tc>
          <w:tcPr>
            <w:tcW w:w="140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interest paid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income tax payments,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activity</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assets obtained under capital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entered into leases with aggregate payments of $3 million and terms ranging from five to six years that have not commenced.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pPr>
      <w:r>
        <w:rPr>
          <w:rFonts w:ascii="Times New Roman;serif" w:hAnsi="Times New Roman;serif"/>
          <w:b/>
          <w:color w:val="000000"/>
          <w:sz w:val="20"/>
        </w:rPr>
        <w:t>Item 2: Management’s Discussion and Analysis of</w:t>
      </w:r>
      <w:r>
        <w:rPr>
          <w:color w:val="000000"/>
        </w:rPr>
        <w:t xml:space="preserve"> </w:t>
      </w:r>
      <w:r>
        <w:rPr>
          <w:rFonts w:ascii="Times New Roman;serif" w:hAnsi="Times New Roman;serif"/>
          <w:b/>
          <w:color w:val="000000"/>
          <w:sz w:val="20"/>
        </w:rPr>
        <w:t>Financial Condition and Results of Operations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This Management's Discussion and Analysis of Financial Condition and Results of Operations (MD&amp;A) contains statements that are forward-looking. We caution readers that any forward-looking statements within the meaning of Section 27A of the Securities Act of 1933 (Securities Act) and Section 21E of the Securities Exchange Act of 1934 (Exchange Act) may change based on various factors. Forward-looking statements are neither historical facts nor assurances of future performance. Instead, they are based on current expectations and assumptions, which we believe are reasonable; however, such statements are subject to risks and uncertainties, and actual results could differ materially from those projected or assumed in any of our forward-looking statements. Words such as "estimate," "target," "project," "plan," "believe," "expect," "anticipate," "intend," "will," "forecast," "strategy," "goal," "should," "would," "could," "may" and similar expressions may identify such forward-looking statements. We undertake no obligation to publicly update or revise any forward-looking statements, whether as a result of new information, future events or otherwise, except as required by law. Forward-looking statements in this Form 10-Q speak only as of the date hereof.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Although we believe the expectations reflected in any of our forward-looking statements are reasonable, our results of operations, financial condition and forward-looking statements are subject to change and to inherent risks and uncertainties disclosed or incorporated by reference in our filings with the Securities and Exchange Commission ("SEC"). Other factors which could cause future financial performance to differ materially from expectations, include, without limitation:</w:t>
      </w:r>
    </w:p>
    <w:p>
      <w:pPr>
        <w:pStyle w:val="TextBody"/>
        <w:bidi w:val="0"/>
        <w:spacing w:lineRule="auto" w:line="288" w:before="0" w:after="40"/>
        <w:ind w:left="0" w:right="0" w:hanging="360"/>
        <w:jc w:val="both"/>
        <w:rPr/>
      </w:pPr>
      <w:r>
        <w:rPr>
          <w:color w:val="000000"/>
        </w:rPr>
        <w:t>•</w:t>
      </w:r>
      <w:r>
        <w:rPr>
          <w:rFonts w:ascii="Times New Roman;serif" w:hAnsi="Times New Roman;serif"/>
          <w:b w:val="false"/>
          <w:color w:val="000000"/>
          <w:sz w:val="20"/>
        </w:rPr>
        <w:t>changes in postal regulations or the operations and financial health of posts in the U.S. or other major markets, or changes to the broader postal or shipping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accelerated or sudden decline in physical mail or shipping volumes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loss of some of our larger clients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periods of difficult economic conditions impacting the company and our clients, including inflation and rising prices, changes in interest rates and a slow-down in economic activity, including a global recession, or a prolonged U.S. government shutdown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compete successfully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banking regulations, major bank failures, the loss of our Industrial Bank charter or limitations on our banking activities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in government contracting regulations and compliance challenges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labor and transportation availability and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global supply chain issues adversely impacting our third-party suppliers' ability to provide us with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trade policies, tariffs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senior management and Board of Directors, loss of key employees and ability to attract and retain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expenses and potential impacts resulting from cyber-attacks or other cybersecurity incidents affecting us or our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inability to comply with data privacy and protection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interruptions or difficulties in the operation of our cloud-based applications and systems or those of our suppliers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credit ratings, capital market disruptions, decline in cash flows, noncompliance with debt covenants or future interest rate increases that may adversely impact our ability to access capital markets at reasonable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indebtedness, including Convertible Notes, and the impact of any conversion, repurchase or redemption of the Convertible Notes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at managing customer credit risk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foreign currency exchange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risks and uncertainties associated with the Ecommerce Restructuring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rates, laws or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inability to protect our intellectual property rights and intellectual property infringement claims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in developing and marketing new products and services and obtaining regulatory approvals, if required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acts of nature and the impact of a pandemic on the Company and the services and solutions we offer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shareholder activism </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Further information about factors that could materially affect us, including our results of operations and financial condition, is contained in Item 1A. "Risk Factors" in our 2025 Annual Report, as supplemented by Part II, Item 1A in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RESULTS OF OPERATIONS</w:t>
      </w:r>
    </w:p>
    <w:tbl>
      <w:tblPr>
        <w:tblW w:w="8742" w:type="dxa"/>
        <w:jc w:val="left"/>
        <w:tblInd w:w="0" w:type="dxa"/>
        <w:tblLayout w:type="fixed"/>
        <w:tblCellMar>
          <w:top w:w="28" w:type="dxa"/>
          <w:left w:w="28" w:type="dxa"/>
          <w:bottom w:w="28" w:type="dxa"/>
          <w:right w:w="28" w:type="dxa"/>
        </w:tblCellMar>
      </w:tblPr>
      <w:tblGrid>
        <w:gridCol w:w="1413"/>
        <w:gridCol w:w="1240"/>
        <w:gridCol w:w="1246"/>
        <w:gridCol w:w="196"/>
        <w:gridCol w:w="751"/>
        <w:gridCol w:w="109"/>
        <w:gridCol w:w="109"/>
        <w:gridCol w:w="109"/>
        <w:gridCol w:w="109"/>
        <w:gridCol w:w="196"/>
        <w:gridCol w:w="736"/>
        <w:gridCol w:w="109"/>
        <w:gridCol w:w="109"/>
        <w:gridCol w:w="109"/>
        <w:gridCol w:w="109"/>
        <w:gridCol w:w="420"/>
        <w:gridCol w:w="420"/>
        <w:gridCol w:w="989"/>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451,498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209,222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pension and postretirement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742" w:type="dxa"/>
        <w:jc w:val="left"/>
        <w:tblInd w:w="0" w:type="dxa"/>
        <w:tblLayout w:type="fixed"/>
        <w:tblCellMar>
          <w:top w:w="28" w:type="dxa"/>
          <w:left w:w="28" w:type="dxa"/>
          <w:bottom w:w="28" w:type="dxa"/>
          <w:right w:w="28" w:type="dxa"/>
        </w:tblCellMar>
      </w:tblPr>
      <w:tblGrid>
        <w:gridCol w:w="1413"/>
        <w:gridCol w:w="1240"/>
        <w:gridCol w:w="1246"/>
        <w:gridCol w:w="196"/>
        <w:gridCol w:w="751"/>
        <w:gridCol w:w="109"/>
        <w:gridCol w:w="109"/>
        <w:gridCol w:w="109"/>
        <w:gridCol w:w="109"/>
        <w:gridCol w:w="196"/>
        <w:gridCol w:w="736"/>
        <w:gridCol w:w="109"/>
        <w:gridCol w:w="109"/>
        <w:gridCol w:w="109"/>
        <w:gridCol w:w="109"/>
        <w:gridCol w:w="420"/>
        <w:gridCol w:w="420"/>
        <w:gridCol w:w="989"/>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928,911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262,123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pension and postretirement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&gt;(100%)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145,965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108,046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Condensed Consolidated Statements of Operations, we allocate a portion of total interest expense to finance interest expense which is included in Cost of financing and other. The amount of total interest expense allocated to finance interest expense is based on the average outstanding finance receivables and our overall effective interest rate for the period. For segment reporting purposes, finance interest expense is excluded from segment results.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segments include SendTech Solutions and Presort Services. Management measures segment profitability and performance using adjusted segment earnings before interest and taxes (EBIT). Adjusted segment EBIT is calculated as segment revenues less the related costs and expenses attributable to the segment. Segment results exclude interest, including finance interest expense, taxes, corporate expenses, restructuring charges and other items not allocated to the segments.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1, 2026, we are excluding from Adjusted segment EBIT expense related to U.S. and Canada pension plans that we have taken steps to terminate. Prior periods were not recast. </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SendTech Solutions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Within SendTech Solutions, we offer physical and digital shipping and mailing technology solutions and other applications to help companies simplify and save on the sending, tracking and receiving of letters, parcels and flats, as well as supplies and maintenance services for these offerings. We also offer financing options for the purchase or lease of Pitney Bowes' or other manufacturers’ equipment or to provide working capital. We also offer an unsecured revolving credit solution that enables clients to make meter rental payments and purchase postage, services and supplies, and an interest-bearing deposit solution to clients who prefer to prepay postage.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for the SendTech Solutions segment was as follows: </w:t>
      </w:r>
    </w:p>
    <w:tbl>
      <w:tblPr>
        <w:tblW w:w="9082" w:type="dxa"/>
        <w:jc w:val="left"/>
        <w:tblInd w:w="0" w:type="dxa"/>
        <w:tblLayout w:type="fixed"/>
        <w:tblCellMar>
          <w:top w:w="28" w:type="dxa"/>
          <w:left w:w="28" w:type="dxa"/>
          <w:bottom w:w="28" w:type="dxa"/>
          <w:right w:w="28" w:type="dxa"/>
        </w:tblCellMar>
      </w:tblPr>
      <w:tblGrid>
        <w:gridCol w:w="1425"/>
        <w:gridCol w:w="1245"/>
        <w:gridCol w:w="1275"/>
        <w:gridCol w:w="196"/>
        <w:gridCol w:w="751"/>
        <w:gridCol w:w="256"/>
        <w:gridCol w:w="109"/>
        <w:gridCol w:w="109"/>
        <w:gridCol w:w="109"/>
        <w:gridCol w:w="196"/>
        <w:gridCol w:w="736"/>
        <w:gridCol w:w="256"/>
        <w:gridCol w:w="109"/>
        <w:gridCol w:w="109"/>
        <w:gridCol w:w="109"/>
        <w:gridCol w:w="420"/>
        <w:gridCol w:w="420"/>
        <w:gridCol w:w="989"/>
        <w:gridCol w:w="109"/>
        <w:gridCol w:w="154"/>
      </w:tblGrid>
      <w:tr>
        <w:trPr/>
        <w:tc>
          <w:tcPr>
            <w:tcW w:w="142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141,949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87,523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79,458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308,930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50,259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41,443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financing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3,396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of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95,098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213,832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69.2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84,034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components of pension and post retirement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3,417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EBIT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122,678</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101,255 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SendTech Solutions revenue decreased $3 million in the second quarter of 2026 compared to the prior year period. Products revenue declined $3 million primarily due to a decline in our international portfolio. Financing and other revenue declined $1 million compared to the prior year period. Services revenue increased $2 million compared to the prior year period primarily driven by higher volumes in a cross-border services contract, which was partially offset by a declining meter population.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increased $8 million and gross margin percentage increased to 69.2% from 66.1% compared to the prior year period primarily driven by favorable product mix and a $5 million tariff refund in 2026.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 declined $15 million compared to the prior period primarily driven by lower employee-related expenses of $6 million, lower professional and outsourcing fees of $2 million, lower marketing expenses of $2 million, lower depreciation and amortization expense of $2 million and lower equipment maintenance expense of $1 million.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segment EBIT was $123 million in the second quarter of 2026 compared to $101 million for the prior year period.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9157" w:type="dxa"/>
        <w:jc w:val="left"/>
        <w:tblInd w:w="0" w:type="dxa"/>
        <w:tblLayout w:type="fixed"/>
        <w:tblCellMar>
          <w:top w:w="28" w:type="dxa"/>
          <w:left w:w="28" w:type="dxa"/>
          <w:bottom w:w="28" w:type="dxa"/>
          <w:right w:w="28" w:type="dxa"/>
        </w:tblCellMar>
      </w:tblPr>
      <w:tblGrid>
        <w:gridCol w:w="1452"/>
        <w:gridCol w:w="1269"/>
        <w:gridCol w:w="1299"/>
        <w:gridCol w:w="196"/>
        <w:gridCol w:w="751"/>
        <w:gridCol w:w="256"/>
        <w:gridCol w:w="109"/>
        <w:gridCol w:w="109"/>
        <w:gridCol w:w="109"/>
        <w:gridCol w:w="196"/>
        <w:gridCol w:w="736"/>
        <w:gridCol w:w="256"/>
        <w:gridCol w:w="109"/>
        <w:gridCol w:w="109"/>
        <w:gridCol w:w="109"/>
        <w:gridCol w:w="420"/>
        <w:gridCol w:w="420"/>
        <w:gridCol w:w="989"/>
        <w:gridCol w:w="109"/>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285,053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280,848 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Products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176,173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161,651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622,877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100,392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90,122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financing and other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6,608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of revenue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197,122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425,755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68.4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66.3 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174,998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7,706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pension and post retirement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EBIT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236,208</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198,282 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SendTech Solutions revenue decreased $4 million in the first half of 2026 compared to the prior year period. Revenue in the first quarter of 2025 includes an unfavorable adjustment of $4 million related to prior periods. Products revenue declined $8 million primarily due to customers opting to extend leases of their existing advanced-technology equipment rather than purchase new equipment as well as a declining meter population. Financing and other revenue declined $1 million compared to the prior year period. Services revenue increased $4 million compared to the prior year period driven by higher volumes in a cross-border services contract and higher subscription revenue which was partially offset by a declining meter population.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Gross margin increased $10 million and gross margin percentage increased to 68.4% from 66.3% compared to the prior year period primarily driven by a $5 million tariff refund in 2026, the unfavorable revenue adjustment of $4 million in the first quarter of 2025 and favorable product mix.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 declined $30 million compared to the prior year period primarily driven by lower employee-related expenses of $11 million, lower professional and outsourcing fees of $6 million, lower marketing expenses of $4 million, lower equipment maintenance expense of $3 million and lower depreciation expense of $3 million.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segment EBIT was $236 million in the first half of 2026 compared to $198 million for the prior year period.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Presort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Presort Services is the largest workshare partner of the USPS and national outsource provider of mail sortation services that allow clients to qualify large volumes of First Class Mail, First Class Flats, Marketing Mail, and Marketing Mail Flats/Bound Printed Matter for postal worksharing discounts.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for the Presort Services segment was as follows: </w:t>
      </w:r>
    </w:p>
    <w:tbl>
      <w:tblPr>
        <w:tblW w:w="9292" w:type="dxa"/>
        <w:jc w:val="left"/>
        <w:tblInd w:w="0" w:type="dxa"/>
        <w:tblLayout w:type="fixed"/>
        <w:tblCellMar>
          <w:top w:w="28" w:type="dxa"/>
          <w:left w:w="28" w:type="dxa"/>
          <w:bottom w:w="28" w:type="dxa"/>
          <w:right w:w="28" w:type="dxa"/>
        </w:tblCellMar>
      </w:tblPr>
      <w:tblGrid>
        <w:gridCol w:w="1503"/>
        <w:gridCol w:w="1318"/>
        <w:gridCol w:w="1334"/>
        <w:gridCol w:w="196"/>
        <w:gridCol w:w="751"/>
        <w:gridCol w:w="256"/>
        <w:gridCol w:w="109"/>
        <w:gridCol w:w="109"/>
        <w:gridCol w:w="109"/>
        <w:gridCol w:w="196"/>
        <w:gridCol w:w="736"/>
        <w:gridCol w:w="256"/>
        <w:gridCol w:w="109"/>
        <w:gridCol w:w="109"/>
        <w:gridCol w:w="109"/>
        <w:gridCol w:w="420"/>
        <w:gridCol w:w="420"/>
        <w:gridCol w:w="989"/>
        <w:gridCol w:w="109"/>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142,568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105,099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37,469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26.3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17,426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net pension and postretirement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EBIT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20,006</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Revenue decreased $8 million in the second quarter of 2026 compared to the prior year period primarily due to a 3% decline in total mail volumes driven by a broader market decline, client losses from the first half of 2025 and pricing actions. The processing of First Class Flats, First Class Mail and Marketing Mail contributed revenue decreases of $3 million, $3 million and $2 million, respectively.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decreased $17 million and gross margin percentage decreased to 26.3% from 36.0% in the prior period primarily due to lower revenue, increased transportation and fuel costs of $7 million and higher employee-related benefits of $3 million.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SG&amp;A expense decreased $1 million compared to the prior year period.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Adjusted segment EBIT was $20 million in the second quarter of 2026 compared to $36 million in the prior year period.</w:t>
      </w:r>
    </w:p>
    <w:tbl>
      <w:tblPr>
        <w:tblW w:w="9366" w:type="dxa"/>
        <w:jc w:val="left"/>
        <w:tblInd w:w="0" w:type="dxa"/>
        <w:tblLayout w:type="fixed"/>
        <w:tblCellMar>
          <w:top w:w="28" w:type="dxa"/>
          <w:left w:w="28" w:type="dxa"/>
          <w:bottom w:w="28" w:type="dxa"/>
          <w:right w:w="28" w:type="dxa"/>
        </w:tblCellMar>
      </w:tblPr>
      <w:tblGrid>
        <w:gridCol w:w="1530"/>
        <w:gridCol w:w="1341"/>
        <w:gridCol w:w="1358"/>
        <w:gridCol w:w="196"/>
        <w:gridCol w:w="751"/>
        <w:gridCol w:w="256"/>
        <w:gridCol w:w="109"/>
        <w:gridCol w:w="109"/>
        <w:gridCol w:w="109"/>
        <w:gridCol w:w="196"/>
        <w:gridCol w:w="736"/>
        <w:gridCol w:w="256"/>
        <w:gridCol w:w="109"/>
        <w:gridCol w:w="109"/>
        <w:gridCol w:w="109"/>
        <w:gridCol w:w="420"/>
        <w:gridCol w:w="420"/>
        <w:gridCol w:w="989"/>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306,034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211,119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94,915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31.0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38.8 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general and administrative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35,657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components of net pension and postretirement costs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EBIT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59,184</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90,719 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Revenue decreased $22 million in the first half of 2026 compared to the prior year period primarily due to a 4% decline in total mail volumes driven by a broader market decline, client losses from the first half of 2025 and pricing actions. The processing of First Class Mail, First Class Flats and Marketing Mail contributed revenue decreases of $13 million, $7 million and $2 million, respectively.</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Gross margin decreased $32 million and gross margin percentage decreased to 31.0% from 38.8% in the prior period primarily due to lower revenue, increased transportation and fuel costs of $9 million and higher employee-related benefits of $4 million.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 decreased $1 million compared to the prior year period primarily driven by lower credit loss provision.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Adjusted segment EBIT was $59 million in the first half of 2026 compared to $91 million in the prior year period.</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CORPORATE EXPENSES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operating expenses are recorded directly or allocated to our reportable segments. Operating expenses not recorded directly or allocated to our reportable segments are reported as corporate expenses, and primarily represent corporate administrative functions such as finance, human resources, legal and information technology.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Corporate expenses were as follows:</w:t>
      </w:r>
    </w:p>
    <w:tbl>
      <w:tblPr>
        <w:tblW w:w="7475" w:type="dxa"/>
        <w:jc w:val="left"/>
        <w:tblInd w:w="0" w:type="dxa"/>
        <w:tblLayout w:type="fixed"/>
        <w:tblCellMar>
          <w:top w:w="28" w:type="dxa"/>
          <w:left w:w="28" w:type="dxa"/>
          <w:bottom w:w="28" w:type="dxa"/>
          <w:right w:w="28" w:type="dxa"/>
        </w:tblCellMar>
      </w:tblPr>
      <w:tblGrid>
        <w:gridCol w:w="548"/>
        <w:gridCol w:w="482"/>
        <w:gridCol w:w="484"/>
        <w:gridCol w:w="109"/>
        <w:gridCol w:w="109"/>
        <w:gridCol w:w="176"/>
        <w:gridCol w:w="176"/>
        <w:gridCol w:w="176"/>
        <w:gridCol w:w="176"/>
        <w:gridCol w:w="316"/>
        <w:gridCol w:w="1068"/>
        <w:gridCol w:w="176"/>
        <w:gridCol w:w="109"/>
        <w:gridCol w:w="109"/>
        <w:gridCol w:w="109"/>
        <w:gridCol w:w="196"/>
        <w:gridCol w:w="646"/>
        <w:gridCol w:w="109"/>
        <w:gridCol w:w="109"/>
        <w:gridCol w:w="109"/>
        <w:gridCol w:w="109"/>
        <w:gridCol w:w="393"/>
        <w:gridCol w:w="393"/>
        <w:gridCol w:w="108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479" w:type="dxa"/>
            <w:gridSpan w:val="12"/>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Actual % change</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26,631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Corporate expenses for the second quarter of 2026 decreased $8 million compared to the prior year period primarily due to lower depreciation expense of $3 million, lower insurance expense of $2 million, lower outsourcing and professional fees of $2 million and lower excise tax of $1 million. </w:t>
      </w:r>
    </w:p>
    <w:p>
      <w:pPr>
        <w:pStyle w:val="TextBody"/>
        <w:bidi w:val="0"/>
        <w:spacing w:before="0" w:after="120"/>
        <w:jc w:val="both"/>
        <w:rPr/>
      </w:pPr>
      <w:r>
        <w:rPr/>
      </w:r>
    </w:p>
    <w:tbl>
      <w:tblPr>
        <w:tblW w:w="7281" w:type="dxa"/>
        <w:jc w:val="left"/>
        <w:tblInd w:w="0" w:type="dxa"/>
        <w:tblLayout w:type="fixed"/>
        <w:tblCellMar>
          <w:top w:w="28" w:type="dxa"/>
          <w:left w:w="28" w:type="dxa"/>
          <w:bottom w:w="28" w:type="dxa"/>
          <w:right w:w="28" w:type="dxa"/>
        </w:tblCellMar>
      </w:tblPr>
      <w:tblGrid>
        <w:gridCol w:w="548"/>
        <w:gridCol w:w="482"/>
        <w:gridCol w:w="484"/>
        <w:gridCol w:w="109"/>
        <w:gridCol w:w="109"/>
        <w:gridCol w:w="161"/>
        <w:gridCol w:w="161"/>
        <w:gridCol w:w="161"/>
        <w:gridCol w:w="161"/>
        <w:gridCol w:w="289"/>
        <w:gridCol w:w="976"/>
        <w:gridCol w:w="161"/>
        <w:gridCol w:w="109"/>
        <w:gridCol w:w="109"/>
        <w:gridCol w:w="109"/>
        <w:gridCol w:w="196"/>
        <w:gridCol w:w="646"/>
        <w:gridCol w:w="109"/>
        <w:gridCol w:w="109"/>
        <w:gridCol w:w="109"/>
        <w:gridCol w:w="109"/>
        <w:gridCol w:w="393"/>
        <w:gridCol w:w="393"/>
        <w:gridCol w:w="108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479" w:type="dxa"/>
            <w:gridSpan w:val="12"/>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Favorable/(Unfavorable)</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Actual % change</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48,962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Corporate expenses for the first half of 2026 decreased $18 million compared to the prior year period primarily due to lower employee-related expenses of $14 million driven by actions taken under our restructuring plans and lower insurance expense of $4 million.</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EXPENSES</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SG&amp;A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SG&amp;A expense decreased $42 million in the second quarter of 2026 compared to the prior year period. In addition to the changes in SG&amp;A expense previously discussed, SG&amp;A also declined $18 million due to lower non-cash foreign currency revaluation gains/losses on intercompany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SG&amp;A expense decreased $74 million in the first half of 2026 compared to the prior year period. In addition to the changes in SG&amp;A expense previously discussed, SG&amp;A also declined $30 million due to lower non-cash foreign currency revaluation gains/losses on intercompany loans partially offset by higher transaction and strategic review costs of $5 million.</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 xml:space="preserve">Restructuring charges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charges decreased $10 million in the second quarter of 2026 and $7 million in the first half of 2026 compared to the prior year periods primarily due to a reduction in the number of actions taken during the current year compared to the prior year. </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We allocate a portion of total interest expense to finance interest expense which is included in Cost of financing and other. Total interest expense is as follows:</w:t>
      </w:r>
    </w:p>
    <w:tbl>
      <w:tblPr>
        <w:tblW w:w="8503" w:type="dxa"/>
        <w:jc w:val="left"/>
        <w:tblInd w:w="0" w:type="dxa"/>
        <w:tblLayout w:type="fixed"/>
        <w:tblCellMar>
          <w:top w:w="28" w:type="dxa"/>
          <w:left w:w="28" w:type="dxa"/>
          <w:bottom w:w="28" w:type="dxa"/>
          <w:right w:w="28" w:type="dxa"/>
        </w:tblCellMar>
      </w:tblPr>
      <w:tblGrid>
        <w:gridCol w:w="911"/>
        <w:gridCol w:w="801"/>
        <w:gridCol w:w="808"/>
        <w:gridCol w:w="197"/>
        <w:gridCol w:w="667"/>
        <w:gridCol w:w="110"/>
        <w:gridCol w:w="110"/>
        <w:gridCol w:w="110"/>
        <w:gridCol w:w="110"/>
        <w:gridCol w:w="197"/>
        <w:gridCol w:w="652"/>
        <w:gridCol w:w="110"/>
        <w:gridCol w:w="109"/>
        <w:gridCol w:w="161"/>
        <w:gridCol w:w="161"/>
        <w:gridCol w:w="161"/>
        <w:gridCol w:w="161"/>
        <w:gridCol w:w="289"/>
        <w:gridCol w:w="976"/>
        <w:gridCol w:w="161"/>
        <w:gridCol w:w="109"/>
        <w:gridCol w:w="109"/>
        <w:gridCol w:w="109"/>
        <w:gridCol w:w="196"/>
        <w:gridCol w:w="646"/>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1" w:type="dxa"/>
            <w:gridSpan w:val="8"/>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28,580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54,572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Allocated finance interest expense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9,028</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18,611</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37,608</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73,183</w:t>
            </w:r>
            <w:r>
              <w:rPr>
                <w:color w:val="000000"/>
              </w:rPr>
              <w:t>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interest expense was flat in the second quarter of 2026 compared to the prior year period and declined $2 million in the first half of 2026 compared to the prior year period primarily due to lower effective interest rates partially offset by higher outstanding debt. The decline in interest expense allocated to finance interest was driven primarily by a decline in finance receivables.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605" cy="14605"/>
                <wp:effectExtent l="0" t="0" r="0" b="0"/>
                <wp:wrapNone/>
                <wp:docPr id="35" name="Frame3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 xml:space="preserve">Other components of net pension and postretirement cost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components of net pension and postretirement cost increased $10 million in the second quarter of 2026 and $19 million in the first half of 2026 compared to the prior year periods primarily due to the lower expected return on pension plan assets year over year driven by the U.S. and Canada buy-in contracts. The amount of other components of net pension and postretirement cost recognized each year will vary based on actuarial assumptions and actual results of our pension plans. See Note 11 to the Condensed Consolidated Financial Statements for further information.</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Other expense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in the second quarter of 2026 increased $7 million compared to the prior year period and decreased $17 million in the first half of 2026 compared to the prior year period driven by changes in gains and losses recognized in connection with debt activity and the Ecommerce Restructuring. See Note 16 to the Condensed Consolidated Financial Statements for further information. </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See Note 12 to the Condensed Consolidated Financial Statements for further information.</w:t>
      </w:r>
    </w:p>
    <w:p>
      <w:pPr>
        <w:pStyle w:val="TextBody"/>
        <w:bidi w:val="0"/>
        <w:spacing w:before="0" w:after="60"/>
        <w:jc w:val="both"/>
        <w:rPr/>
      </w:pPr>
      <w:r>
        <w:rPr/>
      </w: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For full year 2026, we continue to expect low to mid-single digit decline in revenue driven by the continued secular decline in mailing. We expect Adjusted EBIT to be a low-single digit decline to low-single digit growth, primarily driven by higher transportation costs and competitive pricing pressures, partially offset by lower worldwide operating costs from previous and continued cost-cutting actions and stronger than expected results for the first half of 2026. </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transportation market is experiencing significant volatility due to higher third-party carrier spot rates, driver shortages and increases in oil and diesel fuel prices associated with shipping disruptions through the Strait of Hormuz because of the Iran conflict. These factors have impacted our financial results and are expected to continue to adversely impact our financial results in the second half of the year.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will also continue to implement capital allocation strategies to opportunistically reduce debt and lower interest costs, return capital to our shareholders through share repurchases and dividends and pursue other long-term investment opportunities.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16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 of liquidity is cash generated from operations and access to credit markets, including borrowing capacity under our revolving credit facility. At June 30, 2026, we had cash and cash equivalents of $267 million, which includes $58 million held at our foreign subsidiaries used to support their liquidity needs. At this time, we believe that existing cash and cash equivalents, cash generated from operations and borrowing capacity under our revolving credit facility will be sufficient to fund our cash needs and meet our obligations for the next 12 months. </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Flow Summary</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Changes in cash and cash equivalents were as follows:</w:t>
      </w:r>
    </w:p>
    <w:tbl>
      <w:tblPr>
        <w:tblW w:w="9311" w:type="dxa"/>
        <w:jc w:val="left"/>
        <w:tblInd w:w="0" w:type="dxa"/>
        <w:tblLayout w:type="fixed"/>
        <w:tblCellMar>
          <w:top w:w="28" w:type="dxa"/>
          <w:left w:w="28" w:type="dxa"/>
          <w:bottom w:w="28" w:type="dxa"/>
          <w:right w:w="28" w:type="dxa"/>
        </w:tblCellMar>
      </w:tblPr>
      <w:tblGrid>
        <w:gridCol w:w="1840"/>
        <w:gridCol w:w="1619"/>
        <w:gridCol w:w="1625"/>
        <w:gridCol w:w="211"/>
        <w:gridCol w:w="841"/>
        <w:gridCol w:w="109"/>
        <w:gridCol w:w="109"/>
        <w:gridCol w:w="109"/>
        <w:gridCol w:w="109"/>
        <w:gridCol w:w="211"/>
        <w:gridCol w:w="901"/>
        <w:gridCol w:w="109"/>
        <w:gridCol w:w="109"/>
        <w:gridCol w:w="109"/>
        <w:gridCol w:w="109"/>
        <w:gridCol w:w="211"/>
        <w:gridCol w:w="826"/>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197,072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from investing activities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Cash flows from operating activities for the first half of 2026 improved $102 million compared to the prior year period primarily due to higher net income and changes in working capital, primarily driven by lower accrued liability payments and inventory spending and higher receivable collections.</w:t>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from investing activities for the first half of 2026 improved $47 million compared to the prior year period primarily due to lower investments in loan receivables of $65 million partially offset by an $8 million reimbursement in the prior year for the DIP Facility, lower cash from investment activities of $7 million and lower capital expenditures of $4 million. </w:t>
      </w:r>
    </w:p>
    <w:p>
      <w:pPr>
        <w:pStyle w:val="TextBody"/>
        <w:bidi w:val="0"/>
        <w:spacing w:lineRule="auto" w:line="288" w:before="0" w:after="6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flows from financing activities for the first half of 2026 improved $21 million compared to the prior year period. Net cash from debt activities increased $70 million as we received net proceeds of $41 million in 2026 compared to net repayments of $29 million in 2025. Cash flows from financing activities also benefited from higher proceeds from stock option exercises of $29 million and lower fees paid to redeem/refinance debt of $15 million. These improvements were partially offset by higher common stock repurchases of $98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paid dividends of $27 million in the first half of 2026. Each quarter, our Board of Directors considers whether to approve the payment of a dividend. We currently expect to continue paying a quarterly dividend; however, no assurances can be given.</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Debt and Financing Activities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issued an additional aggregate $150 million of the Notes due March 2029 with identical terms to the prior notes outstanding. In the second quarter of 2026, we borrowed an additional $150 million under the Term Loan due March 2028 and extended the maturity date to March 2031. The proceeds of the additional term loan borrowing were used to repay the Notes due March 2027.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access to a $450 million revolving credit facility (increased from $400 million in the first quarter of 2026). In the second quarter of 2026, we further amended the revolving credit facility to extend the maturity date to March 2031 and updated certain covenants. This credit facility requires that we maintain (with maintenance tested quarterly) (i) a Consolidated Interest Coverage Ratio (as defined in the credit facility agreement) of not less than 2.00 to 1.00, (ii) a Consolidated Secured Net Leverage Ratio (as defined in the credit facility agreement) of no greater than 3.00 to 1.00 and (iii) a Consolidated Total Net Leverage Ratio (as defined in the credit facility agreement) of no greater than (a) 4.75 to 1.00 for the fiscal quarters ending June 30, 2026, September 30, 2026 and December 31, 2026, (b) 4.50 to 1.00 for the fiscal quarters ending March 31, 2027, June 30, 2027, September 30, 2027 and December 31, 2027, (c) 4.25 to 1.00 for the fiscal quarters ending March 31, 2028, June 30, 2028, September 30, 2028 and December 31, 2028 and (d) 4.00 to 1.00 for each fiscal quarter ending on or after March 31, 2029. At June 30, 2026, we were in compliance with these financial covenants. During the quarter, we borrowed $97 million under this credit facility, which was outstanding at June 30, 2026. At July 30, 2026, this amount has been fully repaid. At June 30, 2026, we have remaining borrowing capacity of $330 million. Borrowings under this credit facility are secured by assets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facility also contains provisions whereby if, on any day prior to December 14, 2028, the Notes due March 2029 have not been redeemed in full and liquidity is less than an amount equal to the amount to redeem the Notes due March 2029 plus $100 million, the Term loan due March 2031 and any borrowings under the revolving credit facility would become due on such date. Further, if on any day prior to May 16, 2030, the Convertible Notes due August 2030 have not been redeemed in full and liquidity is less than an amount equal to the amount to redeem the Convertible Notes due August 2030 plus $100 million, the Term loan due March 2031 and any borrowings under the revolving credit facility would become due on such date.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outstanding an aggregate $230 million convertible senior notes (the "Convertible Notes"). The Convertible Notes are senior unsecured obligations of the Company and are guaranteed jointly and severally, on a senior unsecured basis, by each of the Company’s existing and future wholly owned U.S. subsidiaries that guarantee the Company’s existing credit agreement, existing senior notes or any other series of capital market debt with an aggregate principal amount outstanding in excess of $150 million.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conversion rate is 70.3835 shares of common stock per $1,000 principal amount, or $14.21 per share, subject to adjustment. Conversions of the Convertible Notes will be settled by paying cash up to the aggregate principal amount of the Convertible Notes being converted and by delivering shares of our common stock in respect of the remainder, if any, of our conversion obligation in excess of the aggregate principal amount of the Convertible Notes being converted.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are focused on reducing our leverage and interest costs, we may incur additional debt or issue additional equity securities in the future. </w:t>
      </w:r>
    </w:p>
    <w:p>
      <w:pPr>
        <w:pStyle w:val="TextBody"/>
        <w:bidi w:val="0"/>
        <w:spacing w:lineRule="auto" w:line="288" w:before="0" w:after="6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there are no off-balance sheet arrangements that have, or are reasonably likely to have, a material effect on our financial condition, results of operations or liquidity. </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Regulatory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regulatory matters disclosed in our 2025 Annual Report.</w:t>
      </w:r>
    </w:p>
    <w:p>
      <w:pPr>
        <w:pStyle w:val="TextBody"/>
        <w:bidi w:val="0"/>
        <w:spacing w:before="0" w:after="0"/>
        <w:jc w:val="both"/>
        <w:rPr/>
      </w:pPr>
      <w:r>
        <w:rPr/>
      </w:r>
    </w:p>
    <w:p>
      <w:pPr>
        <w:pStyle w:val="TextBody"/>
        <w:bidi w:val="0"/>
        <w:spacing w:lineRule="auto" w:line="288" w:before="0" w:after="60"/>
        <w:jc w:val="both"/>
        <w:rPr>
          <w:rFonts w:ascii="Times New Roman;serif" w:hAnsi="Times New Roman;serif"/>
          <w:b/>
          <w:color w:val="000000"/>
          <w:sz w:val="20"/>
          <w:u w:val="single"/>
        </w:rPr>
      </w:pPr>
      <w:r>
        <w:rPr>
          <w:rFonts w:ascii="Times New Roman;serif" w:hAnsi="Times New Roman;serif"/>
          <w:b/>
          <w:color w:val="000000"/>
          <w:sz w:val="20"/>
          <w:u w:val="single"/>
        </w:rPr>
        <w:t>Critical Accounting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to the Critical Accounting Estimates disclosed in our 2025 Annual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disclosures made in our 2025 Annual Report.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in reports filed or submitted under the Exchange Act is recorded, processed, summarized and reported within the time periods specified in the Securities and Exchange Commission’s rules and forms. Disclosure controls and procedures are also designed to reasonably ensure that such information is accumulated and communicated to management, including our Chief Executive Officer (CEO) and Chief Financial Officer (CFO), to allow timely decisions regarding disclosures.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participation of our CEO and CFO, management evaluated our disclosure controls and procedures (as defined in Rule 13a-15(e) and Rule 15d-15(e) under the Exchange Act) and internal controls over financial reporting as of the end of the period covered by this report. Our CEO and CFO concluded that, as of the end of the period covered by this report, such disclosure controls and procedures were effective to ensure that information required to be disclosed in reports filed or submitted under the Exchange Act is recorded, processed, summarized and reported within the required time periods. In addition, no changes in internal control over financial reporting occurred during the quarter covered by this report that materially affected, or are reasonably likely to materially affect, such internal control over financial reporting.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It should be noted that any system of controls is based in part upon certain assumptions designed to obtain reasonable (and not absolute) assurance as to its effectiveness, and there can be no assurance that any design will succeed in achieving its stated goals. Notwithstanding this caution, the CEO and CFO have reasonable assurance that the disclosure controls and procedures were effective as of June 30, 2026.</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160"/>
        <w:jc w:val="left"/>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13 to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to the risk factors identified in Item 1A of our 2025 Annual Report. </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Repurchases of Equity Securities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On February 16, 2026, the Board of Directors authorized an increase to our share repurchase program of $250 million to a total of $750 million. Subject to limitations in our New Credit Agreement, common stock repurchases may be made from time to time in open market or private transactions in such manner as may be deemed advisable from time to time (including, without limitation, pursuant to one or more 10b5-1 trading plans, accelerated share repurchase programs, and any other method that the Company may deem advisable) and may be discontinued at any time. We may also repurchase shares of our common stock to manage the dilution created by shares issued under employee stock plans and for other purposes. The following table provides information about common stock purchases during the three months ended June 30, 2026:</w:t>
      </w:r>
    </w:p>
    <w:tbl>
      <w:tblPr>
        <w:tblW w:w="10205" w:type="dxa"/>
        <w:jc w:val="left"/>
        <w:tblInd w:w="0" w:type="dxa"/>
        <w:tblLayout w:type="fixed"/>
        <w:tblCellMar>
          <w:top w:w="28" w:type="dxa"/>
          <w:left w:w="28" w:type="dxa"/>
          <w:bottom w:w="28" w:type="dxa"/>
          <w:right w:w="28" w:type="dxa"/>
        </w:tblCellMar>
      </w:tblPr>
      <w:tblGrid>
        <w:gridCol w:w="583"/>
        <w:gridCol w:w="512"/>
        <w:gridCol w:w="515"/>
        <w:gridCol w:w="489"/>
        <w:gridCol w:w="488"/>
        <w:gridCol w:w="476"/>
        <w:gridCol w:w="109"/>
        <w:gridCol w:w="109"/>
        <w:gridCol w:w="109"/>
        <w:gridCol w:w="271"/>
        <w:gridCol w:w="794"/>
        <w:gridCol w:w="140"/>
        <w:gridCol w:w="109"/>
        <w:gridCol w:w="109"/>
        <w:gridCol w:w="109"/>
        <w:gridCol w:w="814"/>
        <w:gridCol w:w="790"/>
        <w:gridCol w:w="792"/>
        <w:gridCol w:w="109"/>
        <w:gridCol w:w="109"/>
        <w:gridCol w:w="109"/>
        <w:gridCol w:w="747"/>
        <w:gridCol w:w="747"/>
        <w:gridCol w:w="1066"/>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0" w:type="dxa"/>
            <w:gridSpan w:val="3"/>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w:t>
              <w:br/>
              <w:t>shares purchased</w:t>
              <w:br/>
              <w:t>as part of</w:t>
              <w:br/>
              <w:t>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w:t>
              <w:br/>
              <w:t>dollar value of</w:t>
              <w:br/>
              <w:t>shares that may</w:t>
              <w:br/>
              <w:t>yet be purchased</w:t>
              <w:br/>
              <w:t>under the plans or programs (in</w:t>
              <w:br/>
              <w:t>thousands)</w:t>
            </w:r>
          </w:p>
        </w:tc>
      </w:tr>
      <w:tr>
        <w:trPr/>
        <w:tc>
          <w:tcPr>
            <w:tcW w:w="1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$235,992</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4,310,679 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4,310,679 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$185,956</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181,668 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181,668 </w:t>
            </w:r>
          </w:p>
        </w:tc>
        <w:tc>
          <w:tcPr>
            <w:tcW w:w="7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$183,193</w:t>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$183,193</w:t>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4,492,347 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4,492,347 </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certain directors or officers of the Company entered into, modified or terminated any contracts, instructions or written plans for the sale or purchase of Company securities that were intended to satisfy the affirmative defense conditions of Rule 10b5-1 or that constituted non-Rule 10b5-1 trading arrangements (as defined in Item 408(a) of Regulation S-K of the Exchange Act) as set forth in the table below: </w:t>
      </w:r>
    </w:p>
    <w:tbl>
      <w:tblPr>
        <w:tblW w:w="9420" w:type="dxa"/>
        <w:jc w:val="left"/>
        <w:tblInd w:w="0" w:type="dxa"/>
        <w:tblLayout w:type="fixed"/>
        <w:tblCellMar>
          <w:top w:w="28" w:type="dxa"/>
          <w:left w:w="28" w:type="dxa"/>
          <w:bottom w:w="28" w:type="dxa"/>
          <w:right w:w="28" w:type="dxa"/>
        </w:tblCellMar>
      </w:tblPr>
      <w:tblGrid>
        <w:gridCol w:w="522"/>
        <w:gridCol w:w="458"/>
        <w:gridCol w:w="460"/>
        <w:gridCol w:w="204"/>
        <w:gridCol w:w="204"/>
        <w:gridCol w:w="208"/>
        <w:gridCol w:w="412"/>
        <w:gridCol w:w="412"/>
        <w:gridCol w:w="421"/>
        <w:gridCol w:w="370"/>
        <w:gridCol w:w="370"/>
        <w:gridCol w:w="370"/>
        <w:gridCol w:w="489"/>
        <w:gridCol w:w="489"/>
        <w:gridCol w:w="492"/>
        <w:gridCol w:w="634"/>
        <w:gridCol w:w="634"/>
        <w:gridCol w:w="637"/>
        <w:gridCol w:w="477"/>
        <w:gridCol w:w="477"/>
        <w:gridCol w:w="680"/>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Action</w:t>
            </w:r>
          </w:p>
        </w:tc>
        <w:tc>
          <w:tcPr>
            <w:tcW w:w="12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258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Arrangement</w:t>
            </w:r>
          </w:p>
        </w:tc>
        <w:tc>
          <w:tcPr>
            <w:tcW w:w="190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Shares to be Sold</w:t>
            </w:r>
            <w:r>
              <w:rPr>
                <w:rFonts w:ascii="Times New Roman;serif" w:hAnsi="Times New Roman;serif"/>
                <w:b/>
                <w:color w:val="000000"/>
                <w:sz w:val="10"/>
              </w:rPr>
              <w:t>(3)</w:t>
            </w:r>
          </w:p>
        </w:tc>
        <w:tc>
          <w:tcPr>
            <w:tcW w:w="163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Rule 10b5-1</w:t>
            </w:r>
            <w:r>
              <w:rPr>
                <w:rFonts w:ascii="Times New Roman;serif" w:hAnsi="Times New Roman;serif"/>
                <w:b/>
                <w:color w:val="000000"/>
                <w:sz w:val="10"/>
              </w:rPr>
              <w:t>(1)</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Non-Rule 10b5-1</w:t>
            </w:r>
            <w:r>
              <w:rPr>
                <w:rFonts w:ascii="Times New Roman;serif" w:hAnsi="Times New Roman;serif"/>
                <w:b/>
                <w:color w:val="000000"/>
                <w:sz w:val="10"/>
              </w:rPr>
              <w:t>(2)</w:t>
            </w:r>
          </w:p>
        </w:tc>
        <w:tc>
          <w:tcPr>
            <w:tcW w:w="19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Deborah Pfeiffer</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9, 2026</w:t>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25,000</w:t>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14, 2027</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Everett</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2027</w:t>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1440"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Intended to satisfy the affirmative defense of Rule 10b5-1(c).</w:t>
      </w:r>
    </w:p>
    <w:p>
      <w:pPr>
        <w:pStyle w:val="TextBody"/>
        <w:bidi w:val="0"/>
        <w:spacing w:lineRule="auto" w:line="26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Not intended to satisfy the affirmative defense of Rule 10b5-1(c).</w:t>
      </w:r>
    </w:p>
    <w:p>
      <w:pPr>
        <w:pStyle w:val="TextBody"/>
        <w:bidi w:val="0"/>
        <w:spacing w:lineRule="auto" w:line="268" w:before="0" w:after="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Represents the maximum number of shares that may be sold pursuant to the 10b5-1 trading arrangement. The aggregate share amount shown is subject to certain price-based conditions set forth in the trading arrangement, and the actual number of shares sold will depend on whether the applicable conditions are satisfied during the sale periods specified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7"/>
        <w:gridCol w:w="248"/>
        <w:gridCol w:w="3056"/>
        <w:gridCol w:w="3037"/>
        <w:gridCol w:w="3071"/>
        <w:gridCol w:w="109"/>
        <w:gridCol w:w="157"/>
      </w:tblGrid>
      <w:tr>
        <w:trPr/>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Amended and Restated Certificate of Incorporation of Pitney Bowes Inc. (incorporated by reference to Exhibit 3.2 to the Form 8-K filed with the Commission on May 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Pitney Bowes Inc. Amended and Restated By-laws effective May 6, 2024 (incorporated by reference to Exhibit 3.4 to the Form 8-K filed with the Commission on May 8, 2024)</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First Supplemental Indenture, dated March 2, 2026, among Pitney Bowes Inc., the guarantors party thereto and Truist Bank, as trustee (incorporated by reference to Exhibit 4.2 to the Form 8-K filed with the Commission on March 2,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Form of Additional Notes (included in Exhibit 4.2) (incorporated by reference to Exhibit 4.3 to the Form 8-K filed with the Commission on March 2,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80"/>
                  <w:sz w:val="18"/>
                  <w:u w:val="single"/>
                </w:rPr>
                <w:t>T</w:t>
              </w:r>
            </w:hyperlink>
            <w:hyperlink r:id="rId7">
              <w:r>
                <w:rPr>
                  <w:rStyle w:val="InternetLink"/>
                  <w:rFonts w:ascii="Times New Roman;serif" w:hAnsi="Times New Roman;serif"/>
                  <w:b w:val="false"/>
                  <w:color w:val="000080"/>
                  <w:sz w:val="18"/>
                  <w:u w:val="single"/>
                </w:rPr>
                <w:t xml:space="preserve">hird Amendment, dated as </w:t>
              </w:r>
            </w:hyperlink>
            <w:hyperlink r:id="rId8">
              <w:r>
                <w:rPr>
                  <w:rStyle w:val="InternetLink"/>
                  <w:rFonts w:ascii="Times New Roman;serif" w:hAnsi="Times New Roman;serif"/>
                  <w:b w:val="false"/>
                  <w:color w:val="000080"/>
                  <w:sz w:val="18"/>
                  <w:u w:val="single"/>
                </w:rPr>
                <w:t>of May 18, 2026, among the Co</w:t>
              </w:r>
            </w:hyperlink>
            <w:hyperlink r:id="rId9">
              <w:r>
                <w:rPr>
                  <w:rStyle w:val="InternetLink"/>
                  <w:rFonts w:ascii="Times New Roman;serif" w:hAnsi="Times New Roman;serif"/>
                  <w:b w:val="false"/>
                  <w:color w:val="000080"/>
                  <w:sz w:val="18"/>
                  <w:u w:val="single"/>
                </w:rPr>
                <w:t>mpany, the other Loan Parties party thereto, the Issuing Banks party thereto, the Lenders party thereto and Bank of America, N.A., as administrative agent (incorporated by refere</w:t>
              </w:r>
            </w:hyperlink>
            <w:hyperlink r:id="rId10">
              <w:r>
                <w:rPr>
                  <w:rStyle w:val="InternetLink"/>
                  <w:rFonts w:ascii="Times New Roman;serif" w:hAnsi="Times New Roman;serif"/>
                  <w:b w:val="false"/>
                  <w:color w:val="000080"/>
                  <w:sz w:val="18"/>
                  <w:u w:val="single"/>
                </w:rPr>
                <w:t xml:space="preserve">nce to </w:t>
              </w:r>
            </w:hyperlink>
            <w:hyperlink r:id="rId11">
              <w:r>
                <w:rPr>
                  <w:rStyle w:val="InternetLink"/>
                  <w:rFonts w:ascii="Times New Roman;serif" w:hAnsi="Times New Roman;serif"/>
                  <w:b w:val="false"/>
                  <w:color w:val="000080"/>
                  <w:sz w:val="18"/>
                  <w:u w:val="single"/>
                </w:rPr>
                <w:t>Exhibit 10.1 to the Form 8-K filed with the Commission on May 19,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80"/>
                  <w:sz w:val="18"/>
                  <w:u w:val="single"/>
                </w:rPr>
                <w:t>F</w:t>
              </w:r>
            </w:hyperlink>
            <w:hyperlink r:id="rId13">
              <w:r>
                <w:rPr>
                  <w:rStyle w:val="InternetLink"/>
                  <w:rFonts w:ascii="Times New Roman;serif" w:hAnsi="Times New Roman;serif"/>
                  <w:b w:val="false"/>
                  <w:color w:val="000080"/>
                  <w:sz w:val="18"/>
                  <w:u w:val="single"/>
                </w:rPr>
                <w:t>ourth Amendment, dated as of June 23, 202</w:t>
              </w:r>
            </w:hyperlink>
            <w:hyperlink r:id="rId14">
              <w:r>
                <w:rPr>
                  <w:rStyle w:val="InternetLink"/>
                  <w:rFonts w:ascii="Times New Roman;serif" w:hAnsi="Times New Roman;serif"/>
                  <w:b w:val="false"/>
                  <w:color w:val="000080"/>
                  <w:sz w:val="18"/>
                  <w:u w:val="single"/>
                </w:rPr>
                <w:t xml:space="preserve">6, among the Company, the other </w:t>
              </w:r>
            </w:hyperlink>
            <w:hyperlink r:id="rId15">
              <w:r>
                <w:rPr>
                  <w:rStyle w:val="InternetLink"/>
                  <w:rFonts w:ascii="Times New Roman;serif" w:hAnsi="Times New Roman;serif"/>
                  <w:b w:val="false"/>
                  <w:color w:val="000080"/>
                  <w:sz w:val="18"/>
                  <w:u w:val="single"/>
                </w:rPr>
                <w:t xml:space="preserve">Loan Parties </w:t>
              </w:r>
            </w:hyperlink>
            <w:hyperlink r:id="rId16">
              <w:r>
                <w:rPr>
                  <w:rStyle w:val="InternetLink"/>
                  <w:rFonts w:ascii="Times New Roman;serif" w:hAnsi="Times New Roman;serif"/>
                  <w:b w:val="false"/>
                  <w:color w:val="000080"/>
                  <w:sz w:val="18"/>
                  <w:u w:val="single"/>
                </w:rPr>
                <w:t>thereto, the Lenders party thereto</w:t>
              </w:r>
            </w:hyperlink>
            <w:hyperlink r:id="rId17">
              <w:r>
                <w:rPr>
                  <w:rStyle w:val="InternetLink"/>
                  <w:rFonts w:ascii="Times New Roman;serif" w:hAnsi="Times New Roman;serif"/>
                  <w:b w:val="false"/>
                  <w:color w:val="000080"/>
                  <w:sz w:val="18"/>
                  <w:u w:val="single"/>
                </w:rPr>
                <w:t xml:space="preserve"> and Bank of America, N.A., as administrative agent (incorporated by reference to Exhibit 10.1 to the Form 8-K filed with the Com</w:t>
              </w:r>
            </w:hyperlink>
            <w:hyperlink r:id="rId18">
              <w:r>
                <w:rPr>
                  <w:rStyle w:val="InternetLink"/>
                  <w:rFonts w:ascii="Times New Roman;serif" w:hAnsi="Times New Roman;serif"/>
                  <w:b w:val="false"/>
                  <w:color w:val="000080"/>
                  <w:sz w:val="18"/>
                  <w:u w:val="single"/>
                </w:rPr>
                <w:t>mission on Ju</w:t>
              </w:r>
            </w:hyperlink>
            <w:hyperlink r:id="rId19">
              <w:r>
                <w:rPr>
                  <w:rStyle w:val="InternetLink"/>
                  <w:rFonts w:ascii="Times New Roman;serif" w:hAnsi="Times New Roman;serif"/>
                  <w:b w:val="false"/>
                  <w:color w:val="000080"/>
                  <w:sz w:val="18"/>
                  <w:u w:val="single"/>
                </w:rPr>
                <w:t>ne 2</w:t>
              </w:r>
            </w:hyperlink>
            <w:hyperlink r:id="rId20">
              <w:r>
                <w:rPr>
                  <w:rStyle w:val="InternetLink"/>
                  <w:rFonts w:ascii="Times New Roman;serif" w:hAnsi="Times New Roman;serif"/>
                  <w:b w:val="false"/>
                  <w:color w:val="000080"/>
                  <w:sz w:val="18"/>
                  <w:u w:val="single"/>
                </w:rPr>
                <w:t>5, 2026)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bi-20260630ex311.htm">
              <w:r>
                <w:rPr>
                  <w:rStyle w:val="InternetLink"/>
                  <w:rFonts w:ascii="Times New Roman;serif" w:hAnsi="Times New Roman;serif"/>
                  <w:b w:val="false"/>
                  <w:color w:val="0000FF"/>
                  <w:sz w:val="18"/>
                  <w:u w:val="single"/>
                </w:rPr>
                <w:t>Certification of Chief Executive Officer Pursuant to Rules 13a-14(a) and 15d-14(a) under the Securities Exchange Act of 1934, as amended</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bi-20260630ex312.htm">
              <w:r>
                <w:rPr>
                  <w:rStyle w:val="InternetLink"/>
                  <w:rFonts w:ascii="Times New Roman;serif" w:hAnsi="Times New Roman;serif"/>
                  <w:b w:val="false"/>
                  <w:color w:val="0000FF"/>
                  <w:sz w:val="18"/>
                  <w:u w:val="single"/>
                </w:rPr>
                <w:t>Certification of Chief Financial Officer Pursuant to Rules 13a-14(a) and 15d-14(a) under the Securities Exchange Act of 1934, as amended</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bi-20260630ex321.htm">
              <w:r>
                <w:rPr>
                  <w:rStyle w:val="InternetLink"/>
                  <w:rFonts w:ascii="Times New Roman;serif" w:hAnsi="Times New Roman;serif"/>
                  <w:b w:val="false"/>
                  <w:color w:val="0000FF"/>
                  <w:sz w:val="18"/>
                  <w:u w:val="single"/>
                </w:rPr>
                <w:t>Certification of Chief Executive Officer Pursuant to 18 U.S.C. Section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bi-20260630ex322.htm">
              <w:r>
                <w:rPr>
                  <w:rStyle w:val="InternetLink"/>
                  <w:rFonts w:ascii="Times New Roman;serif" w:hAnsi="Times New Roman;serif"/>
                  <w:b w:val="false"/>
                  <w:color w:val="0000FF"/>
                  <w:sz w:val="18"/>
                  <w:u w:val="single"/>
                </w:rPr>
                <w:t>Certification of Chief Financial Officer Pursuant to 18 U.S.C. Section 1350</w:t>
              </w:r>
            </w:hyperlink>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current quarter, formatted in Inline XBRL. (included as Exhibit 101).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 The Exhibits identified above with an asterisk (*) are management contracts or compensatory plans or arrangements.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The Exhibits identified above with two asterisks (**) are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160"/>
        <w:jc w:val="center"/>
        <w:rPr/>
      </w:pPr>
      <w:r>
        <w:rPr>
          <w:rFonts w:ascii="Times New Roman;serif" w:hAnsi="Times New Roman;serif"/>
          <w:b/>
          <w:color w:val="000000"/>
          <w:sz w:val="20"/>
          <w:u w:val="single"/>
        </w:rPr>
        <w:t>Signatures</w:t>
      </w:r>
      <w:r>
        <w:rPr>
          <w:color w:val="000000"/>
        </w:rPr>
        <w:t>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05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546"/>
        <w:gridCol w:w="1546"/>
        <w:gridCol w:w="218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PITNEY BOWES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Paul Evans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Evans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528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 Thomas DeFina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 Thomas DeFina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u w:val="single"/>
        </w:rPr>
      </w:pPr>
      <w:r>
        <w:rPr>
          <w:rFonts w:ascii="Times New Roman;serif" w:hAnsi="Times New Roman;serif"/>
          <w:b/>
          <w:color w:val="000000"/>
          <w:sz w:val="20"/>
          <w:u w:val="single"/>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Kurt Wolf, certify that:</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Pitney Bowes Inc.;</w:t>
      </w:r>
    </w:p>
    <w:p>
      <w:pPr>
        <w:pStyle w:val="TextBody"/>
        <w:bidi w:val="0"/>
        <w:spacing w:before="0" w:after="0"/>
        <w:ind w:left="0" w:right="0" w:hanging="315"/>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3392" w:type="dxa"/>
        <w:jc w:val="center"/>
        <w:tblInd w:w="0" w:type="dxa"/>
        <w:tblLayout w:type="fixed"/>
        <w:tblCellMar>
          <w:top w:w="28" w:type="dxa"/>
          <w:left w:w="28" w:type="dxa"/>
          <w:bottom w:w="28" w:type="dxa"/>
          <w:right w:w="28" w:type="dxa"/>
        </w:tblCellMar>
      </w:tblPr>
      <w:tblGrid>
        <w:gridCol w:w="736"/>
        <w:gridCol w:w="647"/>
        <w:gridCol w:w="656"/>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Kurt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u w:val="single"/>
        </w:rPr>
      </w:pPr>
      <w:r>
        <w:rPr>
          <w:rFonts w:ascii="Times New Roman;serif" w:hAnsi="Times New Roman;serif"/>
          <w:b/>
          <w:color w:val="000000"/>
          <w:sz w:val="20"/>
          <w:u w:val="single"/>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 Paul Evans, certify that:</w:t>
      </w:r>
    </w:p>
    <w:p>
      <w:pPr>
        <w:pStyle w:val="TextBody"/>
        <w:bidi w:val="0"/>
        <w:spacing w:before="0" w:after="0"/>
        <w:ind w:left="0" w:right="0" w:hanging="315"/>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Pitney Bowes Inc.;</w:t>
      </w:r>
    </w:p>
    <w:p>
      <w:pPr>
        <w:pStyle w:val="TextBody"/>
        <w:bidi w:val="0"/>
        <w:spacing w:before="0" w:after="0"/>
        <w:ind w:left="0" w:right="0" w:hanging="315"/>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15"/>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8586" w:type="dxa"/>
        <w:jc w:val="center"/>
        <w:tblInd w:w="0" w:type="dxa"/>
        <w:tblLayout w:type="fixed"/>
        <w:tblCellMar>
          <w:top w:w="28" w:type="dxa"/>
          <w:left w:w="28" w:type="dxa"/>
          <w:bottom w:w="28" w:type="dxa"/>
          <w:right w:w="28" w:type="dxa"/>
        </w:tblCellMar>
      </w:tblPr>
      <w:tblGrid>
        <w:gridCol w:w="2736"/>
        <w:gridCol w:w="2406"/>
        <w:gridCol w:w="2418"/>
        <w:gridCol w:w="109"/>
        <w:gridCol w:w="109"/>
        <w:gridCol w:w="109"/>
        <w:gridCol w:w="109"/>
        <w:gridCol w:w="109"/>
        <w:gridCol w:w="109"/>
        <w:gridCol w:w="109"/>
        <w:gridCol w:w="109"/>
        <w:gridCol w:w="154"/>
      </w:tblGrid>
      <w:tr>
        <w:trPr/>
        <w:tc>
          <w:tcPr>
            <w:tcW w:w="273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u w:val="single"/>
        </w:rPr>
      </w:pPr>
      <w:r>
        <w:rPr>
          <w:rFonts w:ascii="Times New Roman;serif" w:hAnsi="Times New Roman;serif"/>
          <w:b/>
          <w:color w:val="000000"/>
          <w:sz w:val="20"/>
          <w:u w:val="single"/>
        </w:rPr>
        <w:t>Exhibit 32.1</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Pitney Bowes Inc. (the “Company”) on Form 10-Q for the period ended June 30, 2026 as filed with the Securities and Exchange Commission on the date hereof (the “Report”), I, Kurt Wolf, Chief Executive Officer of the Company, certify, to the best of my knowledge, pursuant to 18 U.S.C. Section 1350, as adopted pursuant to Section 906 of the Sarbanes-Oxley Act of 2002, that:</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065" w:type="dxa"/>
        <w:jc w:val="center"/>
        <w:tblInd w:w="0" w:type="dxa"/>
        <w:tblLayout w:type="fixed"/>
        <w:tblCellMar>
          <w:top w:w="28" w:type="dxa"/>
          <w:left w:w="28" w:type="dxa"/>
          <w:bottom w:w="28" w:type="dxa"/>
          <w:right w:w="28" w:type="dxa"/>
        </w:tblCellMar>
      </w:tblPr>
      <w:tblGrid>
        <w:gridCol w:w="736"/>
        <w:gridCol w:w="647"/>
        <w:gridCol w:w="656"/>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Kurt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Kurt Wolf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u w:val="single"/>
        </w:rPr>
      </w:pPr>
      <w:r>
        <w:rPr>
          <w:rFonts w:ascii="Times New Roman;serif" w:hAnsi="Times New Roman;serif"/>
          <w:b/>
          <w:color w:val="000000"/>
          <w:sz w:val="20"/>
          <w:u w:val="single"/>
        </w:rPr>
        <w:t>Exhibit 32.2</w:t>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100" w:after="100"/>
        <w:jc w:val="center"/>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Pitney Bowes Inc. (the “Company”) on Form 10-Q for the period ended June 30, 2026 as filed with the Securities and Exchange Commission on the date hereof (the “Report”), I, Paul Evans, Executive Vice President, Chief Financial Officer and Treasurer of the Company, certify, to the best of my knowledge, pursuant to 18 U.S.C. Section 1350, as adopted pursuant to Section 906 of the Sarbanes-Oxley Act of 2002, that:</w:t>
      </w:r>
    </w:p>
    <w:p>
      <w:pPr>
        <w:pStyle w:val="TextBody"/>
        <w:bidi w:val="0"/>
        <w:spacing w:before="100" w:after="100"/>
        <w:jc w:val="both"/>
        <w:rPr/>
      </w:pPr>
      <w:r>
        <w:rPr/>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100" w:after="1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8586" w:type="dxa"/>
        <w:jc w:val="center"/>
        <w:tblInd w:w="0" w:type="dxa"/>
        <w:tblLayout w:type="fixed"/>
        <w:tblCellMar>
          <w:top w:w="28" w:type="dxa"/>
          <w:left w:w="28" w:type="dxa"/>
          <w:bottom w:w="28" w:type="dxa"/>
          <w:right w:w="28" w:type="dxa"/>
        </w:tblCellMar>
      </w:tblPr>
      <w:tblGrid>
        <w:gridCol w:w="2736"/>
        <w:gridCol w:w="2406"/>
        <w:gridCol w:w="2418"/>
        <w:gridCol w:w="109"/>
        <w:gridCol w:w="109"/>
        <w:gridCol w:w="109"/>
        <w:gridCol w:w="109"/>
        <w:gridCol w:w="109"/>
        <w:gridCol w:w="109"/>
        <w:gridCol w:w="109"/>
        <w:gridCol w:w="109"/>
        <w:gridCol w:w="154"/>
      </w:tblGrid>
      <w:tr>
        <w:trPr/>
        <w:tc>
          <w:tcPr>
            <w:tcW w:w="273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Paul Evans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July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this report pursuant to 18 U.S.C. §1350, and is not being filed for purposes of Section 18 of the Securities Exchange Act of 1934, as amended, and is not to be incorporated by reference into any filing of the Company.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8814/000007881424000031/ex3_2pitneybowesincvf.htm" TargetMode="External"/><Relationship Id="rId3" Type="http://schemas.openxmlformats.org/officeDocument/2006/relationships/hyperlink" Target="https://www.sec.gov/Archives/edgar/data/78814/000007881424000031/exhibit3_4vf.htm" TargetMode="External"/><Relationship Id="rId4" Type="http://schemas.openxmlformats.org/officeDocument/2006/relationships/hyperlink" Target="https://www.sec.gov/Archives/edgar/data/78814/000119312526085439/d30424dex42.htm" TargetMode="External"/><Relationship Id="rId5" Type="http://schemas.openxmlformats.org/officeDocument/2006/relationships/hyperlink" Target="https://www.sec.gov/Archives/edgar/data/78814/000119312526085439/d30424dex42.htm" TargetMode="External"/><Relationship Id="rId6" Type="http://schemas.openxmlformats.org/officeDocument/2006/relationships/hyperlink" Target="https://www.sec.gov/Archives/edgar/data/78814/000162828026036154/pb-thirdamendmentxex1011.htm" TargetMode="External"/><Relationship Id="rId7" Type="http://schemas.openxmlformats.org/officeDocument/2006/relationships/hyperlink" Target="https://www.sec.gov/Archives/edgar/data/78814/000162828026036154/pb-thirdamendmentxex1011.htm" TargetMode="External"/><Relationship Id="rId8" Type="http://schemas.openxmlformats.org/officeDocument/2006/relationships/hyperlink" Target="https://www.sec.gov/Archives/edgar/data/78814/000162828026036154/pb-thirdamendmentxex1011.htm" TargetMode="External"/><Relationship Id="rId9" Type="http://schemas.openxmlformats.org/officeDocument/2006/relationships/hyperlink" Target="https://www.sec.gov/Archives/edgar/data/78814/000162828026036154/pb-thirdamendmentxex1011.htm" TargetMode="External"/><Relationship Id="rId10" Type="http://schemas.openxmlformats.org/officeDocument/2006/relationships/hyperlink" Target="https://www.sec.gov/Archives/edgar/data/78814/000162828026036154/pb-thirdamendmentxex1011.htm" TargetMode="External"/><Relationship Id="rId11" Type="http://schemas.openxmlformats.org/officeDocument/2006/relationships/hyperlink" Target="https://www.sec.gov/Archives/edgar/data/78814/000162828026036154/pb-thirdamendmentxex1011.htm" TargetMode="External"/><Relationship Id="rId12" Type="http://schemas.openxmlformats.org/officeDocument/2006/relationships/hyperlink" Target="https://www.sec.gov/Archives/edgar/data/78814/000119312526281893/d88573dex101.htm" TargetMode="External"/><Relationship Id="rId13" Type="http://schemas.openxmlformats.org/officeDocument/2006/relationships/hyperlink" Target="https://www.sec.gov/Archives/edgar/data/78814/000119312526281893/d88573dex101.htm" TargetMode="External"/><Relationship Id="rId14" Type="http://schemas.openxmlformats.org/officeDocument/2006/relationships/hyperlink" Target="https://www.sec.gov/Archives/edgar/data/78814/000119312526281893/d88573dex101.htm" TargetMode="External"/><Relationship Id="rId15" Type="http://schemas.openxmlformats.org/officeDocument/2006/relationships/hyperlink" Target="https://www.sec.gov/Archives/edgar/data/78814/000119312526281893/d88573dex101.htm" TargetMode="External"/><Relationship Id="rId16" Type="http://schemas.openxmlformats.org/officeDocument/2006/relationships/hyperlink" Target="https://www.sec.gov/Archives/edgar/data/78814/000119312526281893/d88573dex101.htm" TargetMode="External"/><Relationship Id="rId17" Type="http://schemas.openxmlformats.org/officeDocument/2006/relationships/hyperlink" Target="https://www.sec.gov/Archives/edgar/data/78814/000119312526281893/d88573dex101.htm" TargetMode="External"/><Relationship Id="rId18" Type="http://schemas.openxmlformats.org/officeDocument/2006/relationships/hyperlink" Target="https://www.sec.gov/Archives/edgar/data/78814/000119312526281893/d88573dex101.htm" TargetMode="External"/><Relationship Id="rId19" Type="http://schemas.openxmlformats.org/officeDocument/2006/relationships/hyperlink" Target="https://www.sec.gov/Archives/edgar/data/78814/000119312526281893/d88573dex101.htm" TargetMode="External"/><Relationship Id="rId20" Type="http://schemas.openxmlformats.org/officeDocument/2006/relationships/hyperlink" Target="https://www.sec.gov/Archives/edgar/data/78814/000119312526281893/d88573dex101.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17254</Words>
  <Characters>95157</Characters>
  <CharactersWithSpaces>110439</CharactersWithSpaces>
  <Paragraphs>3999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