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48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4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Wolf Kurt James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 WATERVIEW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PITNEY BOWES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PBI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47"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90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2"/>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900" w:type="dxa"/>
            <w:vAlign w:val="bottom"/>
            <w:gridSpan w:val="7"/>
            <w:vMerge w:val="continue"/>
          </w:tcPr>
          <w:p>
            <w:pPr>
              <w:spacing w:after="0"/>
              <w:rPr>
                <w:sz w:val="10"/>
                <w:szCs w:val="10"/>
                <w:color w:val="auto"/>
              </w:rPr>
            </w:pPr>
          </w:p>
        </w:tc>
        <w:tc>
          <w:tcPr>
            <w:tcW w:w="3340" w:type="dxa"/>
            <w:vAlign w:val="bottom"/>
            <w:gridSpan w:val="1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gridSpan w:val="4"/>
          </w:tcPr>
          <w:p>
            <w:pPr>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SHELTON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06484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gridSpan w:val="2"/>
            <w:vMerge w:val="restart"/>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8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7"/>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3"/>
                <w:szCs w:val="13"/>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36"/>
              <w:spacing w:after="0"/>
              <w:rPr>
                <w:sz w:val="20"/>
                <w:szCs w:val="20"/>
                <w:color w:val="auto"/>
              </w:rPr>
            </w:pPr>
            <w:r>
              <w:rPr>
                <w:rFonts w:ascii="Arial" w:cs="Arial" w:eastAsia="Arial" w:hAnsi="Arial"/>
                <w:sz w:val="12"/>
                <w:szCs w:val="12"/>
                <w:b w:val="1"/>
                <w:bCs w:val="1"/>
                <w:color w:val="auto"/>
                <w:w w:val="99"/>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0000FF"/>
              </w:rPr>
              <w:t>64,695</w:t>
            </w:r>
          </w:p>
        </w:tc>
        <w:tc>
          <w:tcPr>
            <w:tcW w:w="32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D</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Hestia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gridSpan w:val="3"/>
            <w:vMerge w:val="restart"/>
          </w:tcPr>
          <w:p>
            <w:pPr>
              <w:ind w:left="640"/>
              <w:spacing w:after="0"/>
              <w:rPr>
                <w:sz w:val="20"/>
                <w:szCs w:val="20"/>
                <w:color w:val="auto"/>
              </w:rPr>
            </w:pPr>
            <w:r>
              <w:rPr>
                <w:rFonts w:ascii="Times New Roman" w:cs="Times New Roman" w:eastAsia="Times New Roman" w:hAnsi="Times New Roman"/>
                <w:sz w:val="17"/>
                <w:szCs w:val="17"/>
                <w:color w:val="0000FF"/>
                <w:w w:val="98"/>
              </w:rPr>
              <w:t>05/22/2026</w:t>
            </w:r>
          </w:p>
        </w:tc>
        <w:tc>
          <w:tcPr>
            <w:tcW w:w="12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05/22/2026</w:t>
            </w: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36,833</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4"/>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15.622</w:t>
            </w:r>
            <w:r>
              <w:rPr>
                <w:rFonts w:ascii="Times New Roman" w:cs="Times New Roman" w:eastAsia="Times New Roman" w:hAnsi="Times New Roman"/>
                <w:sz w:val="22"/>
                <w:szCs w:val="22"/>
                <w:color w:val="008000"/>
                <w:vertAlign w:val="superscript"/>
              </w:rPr>
              <w:t>(2)</w:t>
            </w:r>
          </w:p>
        </w:tc>
        <w:tc>
          <w:tcPr>
            <w:tcW w:w="40" w:type="dxa"/>
            <w:vAlign w:val="bottom"/>
          </w:tcPr>
          <w:p>
            <w:pPr>
              <w:spacing w:after="0"/>
              <w:rPr>
                <w:sz w:val="18"/>
                <w:szCs w:val="18"/>
                <w:color w:val="auto"/>
              </w:rPr>
            </w:pPr>
          </w:p>
        </w:tc>
        <w:tc>
          <w:tcPr>
            <w:tcW w:w="11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5,601,965</w:t>
            </w:r>
          </w:p>
        </w:tc>
        <w:tc>
          <w:tcPr>
            <w:tcW w:w="320" w:type="dxa"/>
            <w:vAlign w:val="bottom"/>
          </w:tcPr>
          <w:p>
            <w:pPr>
              <w:spacing w:after="0"/>
              <w:rPr>
                <w:sz w:val="18"/>
                <w:szCs w:val="18"/>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0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gridSpan w:val="4"/>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gridSpan w:val="3"/>
            <w:vMerge w:val="restart"/>
          </w:tcPr>
          <w:p>
            <w:pPr>
              <w:ind w:left="640"/>
              <w:spacing w:after="0"/>
              <w:rPr>
                <w:sz w:val="20"/>
                <w:szCs w:val="20"/>
                <w:color w:val="auto"/>
              </w:rPr>
            </w:pPr>
            <w:r>
              <w:rPr>
                <w:rFonts w:ascii="Times New Roman" w:cs="Times New Roman" w:eastAsia="Times New Roman" w:hAnsi="Times New Roman"/>
                <w:sz w:val="17"/>
                <w:szCs w:val="17"/>
                <w:color w:val="0000FF"/>
                <w:w w:val="98"/>
              </w:rPr>
              <w:t>05/22/2026</w:t>
            </w:r>
          </w:p>
        </w:tc>
        <w:tc>
          <w:tcPr>
            <w:tcW w:w="12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05/22/2026</w:t>
            </w: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71"/>
              <w:spacing w:after="0"/>
              <w:rPr>
                <w:sz w:val="20"/>
                <w:szCs w:val="20"/>
                <w:color w:val="auto"/>
              </w:rPr>
            </w:pPr>
            <w:r>
              <w:rPr>
                <w:rFonts w:ascii="Times New Roman" w:cs="Times New Roman" w:eastAsia="Times New Roman" w:hAnsi="Times New Roman"/>
                <w:sz w:val="17"/>
                <w:szCs w:val="17"/>
                <w:color w:val="0000FF"/>
              </w:rPr>
              <w:t>3,643</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4"/>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15.622</w:t>
            </w:r>
            <w:r>
              <w:rPr>
                <w:rFonts w:ascii="Times New Roman" w:cs="Times New Roman" w:eastAsia="Times New Roman" w:hAnsi="Times New Roman"/>
                <w:sz w:val="22"/>
                <w:szCs w:val="22"/>
                <w:color w:val="008000"/>
                <w:vertAlign w:val="superscript"/>
              </w:rPr>
              <w:t>(2)</w:t>
            </w:r>
          </w:p>
        </w:tc>
        <w:tc>
          <w:tcPr>
            <w:tcW w:w="40" w:type="dxa"/>
            <w:vAlign w:val="bottom"/>
          </w:tcPr>
          <w:p>
            <w:pPr>
              <w:spacing w:after="0"/>
              <w:rPr>
                <w:sz w:val="18"/>
                <w:szCs w:val="18"/>
                <w:color w:val="auto"/>
              </w:rPr>
            </w:pPr>
          </w:p>
        </w:tc>
        <w:tc>
          <w:tcPr>
            <w:tcW w:w="11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360,210</w:t>
            </w:r>
          </w:p>
        </w:tc>
        <w:tc>
          <w:tcPr>
            <w:tcW w:w="320" w:type="dxa"/>
            <w:vAlign w:val="bottom"/>
          </w:tcPr>
          <w:p>
            <w:pPr>
              <w:spacing w:after="0"/>
              <w:rPr>
                <w:sz w:val="18"/>
                <w:szCs w:val="18"/>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Separately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0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Accounts</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780" w:type="dxa"/>
            <w:vAlign w:val="bottom"/>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exercises and broker-assisted sales transactions reported were effected pursuant to a Rule 10b5-1 trading plan adopted by the Reporting Person on November 10, 2025 during the Company's open window period (the "Trading Plan").</w:t>
      </w:r>
    </w:p>
    <w:p>
      <w:pPr>
        <w:spacing w:after="0" w:line="7"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here is a weighted average price. This transaction was executed in multiple transactions at prices ranging from $15.61 to $15.655,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managing member of (a) Hestia Partners GP, the general partner of Hestia Capital Partners, LP (Hestia Capital), and (b) Hestia LLC, the investment manager of Hestia Capital and certain separately managed accounts (the SMAs). As the managing member of each of Hestia Partners GP and Hestia LLC, the reporting person may be deemed the beneficial owner of the shares directly owned by Hestia Capital and shares held in the SMAs. The reporting person disclaims beneficial ownership of these securities except to the extent of his pecuniary interest therein.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Elisabeth Weinberg,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37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Kurt</w:t>
      </w:r>
      <w:r>
        <w:rPr>
          <w:sz w:val="20"/>
          <w:szCs w:val="20"/>
          <w:color w:val="auto"/>
        </w:rPr>
        <w:tab/>
      </w:r>
      <w:r>
        <w:rPr>
          <w:rFonts w:ascii="Times New Roman" w:cs="Times New Roman" w:eastAsia="Times New Roman" w:hAnsi="Times New Roman"/>
          <w:sz w:val="17"/>
          <w:szCs w:val="17"/>
          <w:color w:val="0000FF"/>
        </w:rPr>
        <w:t>05/26/2026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James Wolf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37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137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93906" TargetMode="External"/><Relationship Id="rId14" Type="http://schemas.openxmlformats.org/officeDocument/2006/relationships/hyperlink" Target="http://www.sec.gov/cgi-bin/browse-edgar?action=getcompany&amp;CIK=00000788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2026-05-26T16:38:54Z</dcterms:created>
  <dcterms:modified xsi:type="dcterms:W3CDTF">2026-05-26T16:38:54Z</dcterms:modified>
</cp:coreProperties>
</file>