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PITNEY BOWES INC /DE/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LSV ASSET MANAGEMENT</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3,848,851.00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7,200,507.00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7,200,507.00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7"/>
        <w:gridCol w:w="8933"/>
        <w:gridCol w:w="155"/>
      </w:tblGrid>
      <w:tr>
        <w:trPr/>
        <w:tc>
          <w:tcPr>
            <w:tcW w:w="1117" w:type="dxa"/>
            <w:tcBorders/>
            <w:vAlign w:val="center"/>
          </w:tcPr>
          <w:p>
            <w:pPr>
              <w:pStyle w:val="TableContents"/>
              <w:bidi w:val="0"/>
              <w:spacing w:before="0" w:after="283"/>
              <w:jc w:val="left"/>
              <w:rPr/>
            </w:pPr>
            <w:r>
              <w:rPr/>
              <w:t>Item 1.</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issuer: </w:t>
            </w:r>
          </w:p>
          <w:p>
            <w:pPr>
              <w:pStyle w:val="TableContents"/>
              <w:bidi w:val="0"/>
              <w:spacing w:before="0" w:after="0"/>
              <w:jc w:val="left"/>
              <w:rPr/>
            </w:pPr>
            <w:r>
              <w:rPr/>
              <w:t>PITNEY BOWES INC /DE/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PITNEY BOWES INC, 27 WATERVIEW DRIVE, SHELTON, CONNECTICUT, 06484</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2.</w:t>
            </w:r>
          </w:p>
        </w:tc>
        <w:tc>
          <w:tcPr>
            <w:tcW w:w="893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Name of person filing: </w:t>
            </w:r>
          </w:p>
          <w:p>
            <w:pPr>
              <w:pStyle w:val="TableContents"/>
              <w:bidi w:val="0"/>
              <w:spacing w:before="0" w:after="0"/>
              <w:jc w:val="left"/>
              <w:rPr/>
            </w:pPr>
            <w:r>
              <w:rPr/>
              <w:t>LSV Asset Management</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155 North Wacker Drive, Suite 4600, Chicago, Illinois, 60606</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jc w:val="left"/>
              <w:rPr/>
            </w:pPr>
            <w:r>
              <w:rPr/>
              <w:t xml:space="preserve">Citizenship: </w:t>
            </w:r>
          </w:p>
          <w:p>
            <w:pPr>
              <w:pStyle w:val="TableContents"/>
              <w:bidi w:val="0"/>
              <w:spacing w:before="0" w:after="0"/>
              <w:jc w:val="left"/>
              <w:rPr/>
            </w:pPr>
            <w:r>
              <w:rPr/>
              <w:t>State of Delaware</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3.</w:t>
            </w:r>
          </w:p>
        </w:tc>
        <w:tc>
          <w:tcPr>
            <w:tcW w:w="893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(d)</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(e)</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(f)</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(g)</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(h)</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(j)</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(k)</w:t>
            </w:r>
          </w:p>
        </w:tc>
        <w:tc>
          <w:tcPr>
            <w:tcW w:w="893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9088" w:type="dxa"/>
            <w:gridSpan w:val="2"/>
            <w:tcBorders/>
            <w:vAlign w:val="center"/>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4.</w:t>
            </w:r>
          </w:p>
        </w:tc>
        <w:tc>
          <w:tcPr>
            <w:tcW w:w="893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(a)</w:t>
            </w:r>
          </w:p>
        </w:tc>
        <w:tc>
          <w:tcPr>
            <w:tcW w:w="893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7,200,507</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(b)</w:t>
            </w:r>
          </w:p>
        </w:tc>
        <w:tc>
          <w:tcPr>
            <w:tcW w:w="893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5.32%  %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(c)</w:t>
            </w:r>
          </w:p>
        </w:tc>
        <w:tc>
          <w:tcPr>
            <w:tcW w:w="893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3,848,851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7,200,507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5.</w:t>
            </w:r>
          </w:p>
        </w:tc>
        <w:tc>
          <w:tcPr>
            <w:tcW w:w="893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6.</w:t>
            </w:r>
          </w:p>
        </w:tc>
        <w:tc>
          <w:tcPr>
            <w:tcW w:w="893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clients of LSV Asset Management, including funds and/or managed accounts, have the right to receive or the power to direct the receipt of dividends from, or the proceeds from the sale of,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7.</w:t>
            </w:r>
          </w:p>
        </w:tc>
        <w:tc>
          <w:tcPr>
            <w:tcW w:w="893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8.</w:t>
            </w:r>
          </w:p>
        </w:tc>
        <w:tc>
          <w:tcPr>
            <w:tcW w:w="893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Item 9.</w:t>
            </w:r>
          </w:p>
        </w:tc>
        <w:tc>
          <w:tcPr>
            <w:tcW w:w="893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7" w:type="dxa"/>
            <w:tcBorders/>
            <w:vAlign w:val="center"/>
          </w:tcPr>
          <w:p>
            <w:pPr>
              <w:pStyle w:val="TableContents"/>
              <w:bidi w:val="0"/>
              <w:spacing w:before="0" w:after="283"/>
              <w:jc w:val="left"/>
              <w:rPr/>
            </w:pPr>
            <w:r>
              <w:rPr/>
              <w:t> </w:t>
            </w:r>
          </w:p>
        </w:tc>
        <w:tc>
          <w:tcPr>
            <w:tcW w:w="893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LSV ASSET MANAGEMENT</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Josh ODonnell</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4350</Characters>
  <CharactersWithSpaces>5195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