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Everett Todd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 WATERVIEW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SHELTON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06484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PITNEY BOWES INC /DE/</w:t>
              </w:r>
            </w:hyperlink>
            <w:r>
              <w:rPr/>
              <w:t xml:space="preserve"> [ </w:t>
            </w:r>
            <w:r>
              <w:rPr>
                <w:rFonts w:ascii="Times;serif" w:hAnsi="Times;serif"/>
                <w:color w:val="0000FF"/>
                <w:sz w:val="24"/>
                <w:shd w:fill="FFFFFF" w:val="clear"/>
              </w:rPr>
              <w:t>PBI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and President of SendTech</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18.068</w:t>
            </w:r>
            <w:r>
              <w:rPr>
                <w:rFonts w:ascii="Times;serif" w:hAnsi="Times;serif"/>
                <w:color w:val="008000"/>
                <w:position w:val="7"/>
                <w:sz w:val="16"/>
                <w:sz w:val="20"/>
                <w:shd w:fill="FFFFFF" w:val="clear"/>
              </w:rPr>
              <w:t>(1)</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96,048</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here is a weighted average price. This transaction was executed in multiple transactions at prices ranging from $18.00 to $18.17,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Elisabeth Weinberg, as attorney-in-fact for Todd A. Everett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12662" TargetMode="External"/><Relationship Id="rId5" Type="http://schemas.openxmlformats.org/officeDocument/2006/relationships/hyperlink" Target="http://www.sec.gov/cgi-bin/browse-edgar?action=getcompany&amp;CIK=00000788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638</Words>
  <Characters>3469</Characters>
  <CharactersWithSpaces>4038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