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00"/>
          </w:cols>
          <w:pgMar w:left="460" w:top="219" w:right="459" w:bottom="2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 Kurt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 WATERVIEW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PITNEY BOWES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245"/>
          </w:cols>
          <w:pgMar w:left="460" w:top="219" w:right="459" w:bottom="211"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140" w:type="dxa"/>
            <w:vAlign w:val="bottom"/>
          </w:tcPr>
          <w:p>
            <w:pPr>
              <w:spacing w:after="0"/>
              <w:rPr>
                <w:sz w:val="2"/>
                <w:szCs w:val="2"/>
                <w:color w:val="auto"/>
              </w:rPr>
            </w:pPr>
          </w:p>
        </w:tc>
        <w:tc>
          <w:tcPr>
            <w:tcW w:w="3760" w:type="dxa"/>
            <w:vAlign w:val="bottom"/>
            <w:gridSpan w:val="5"/>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60" w:type="dxa"/>
            <w:vAlign w:val="bottom"/>
            <w:gridSpan w:val="5"/>
            <w:vMerge w:val="continue"/>
          </w:tcPr>
          <w:p>
            <w:pPr>
              <w:spacing w:after="0"/>
              <w:rPr>
                <w:sz w:val="10"/>
                <w:szCs w:val="10"/>
                <w:color w:val="auto"/>
              </w:rPr>
            </w:pPr>
          </w:p>
        </w:tc>
        <w:tc>
          <w:tcPr>
            <w:tcW w:w="33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SHELTON</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06484</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140" w:type="dxa"/>
            <w:vAlign w:val="bottom"/>
            <w:vMerge w:val="restart"/>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ind w:left="9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jc w:val="center"/>
              <w:ind w:left="8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0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64,695</w:t>
            </w:r>
          </w:p>
        </w:tc>
        <w:tc>
          <w:tcPr>
            <w:tcW w:w="98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vMerge w:val="restart"/>
          </w:tcPr>
          <w:p>
            <w:pPr>
              <w:jc w:val="center"/>
              <w:ind w:left="861"/>
              <w:spacing w:after="0"/>
              <w:rPr>
                <w:sz w:val="20"/>
                <w:szCs w:val="20"/>
                <w:color w:val="auto"/>
              </w:rPr>
            </w:pPr>
            <w:r>
              <w:rPr>
                <w:rFonts w:ascii="Times New Roman" w:cs="Times New Roman" w:eastAsia="Times New Roman" w:hAnsi="Times New Roman"/>
                <w:sz w:val="17"/>
                <w:szCs w:val="17"/>
                <w:color w:val="0000FF"/>
              </w:rPr>
              <w:t>05/06/2026</w:t>
            </w:r>
          </w:p>
        </w:tc>
        <w:tc>
          <w:tcPr>
            <w:tcW w:w="1200" w:type="dxa"/>
            <w:vAlign w:val="bottom"/>
            <w:vMerge w:val="restart"/>
          </w:tcPr>
          <w:p>
            <w:pPr>
              <w:jc w:val="right"/>
              <w:ind w:right="83"/>
              <w:spacing w:after="0"/>
              <w:rPr>
                <w:sz w:val="20"/>
                <w:szCs w:val="20"/>
                <w:color w:val="auto"/>
              </w:rPr>
            </w:pPr>
            <w:r>
              <w:rPr>
                <w:rFonts w:ascii="Times New Roman" w:cs="Times New Roman" w:eastAsia="Times New Roman" w:hAnsi="Times New Roman"/>
                <w:sz w:val="17"/>
                <w:szCs w:val="17"/>
                <w:color w:val="0000FF"/>
              </w:rPr>
              <w:t>05/06/2026</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706,681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14.473</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6,709,298</w:t>
            </w:r>
          </w:p>
        </w:tc>
        <w:tc>
          <w:tcPr>
            <w:tcW w:w="98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vMerge w:val="restart"/>
          </w:tcPr>
          <w:p>
            <w:pPr>
              <w:jc w:val="center"/>
              <w:ind w:left="861"/>
              <w:spacing w:after="0"/>
              <w:rPr>
                <w:sz w:val="20"/>
                <w:szCs w:val="20"/>
                <w:color w:val="auto"/>
              </w:rPr>
            </w:pPr>
            <w:r>
              <w:rPr>
                <w:rFonts w:ascii="Times New Roman" w:cs="Times New Roman" w:eastAsia="Times New Roman" w:hAnsi="Times New Roman"/>
                <w:sz w:val="17"/>
                <w:szCs w:val="17"/>
                <w:color w:val="0000FF"/>
              </w:rPr>
              <w:t>05/06/2026</w:t>
            </w:r>
          </w:p>
        </w:tc>
        <w:tc>
          <w:tcPr>
            <w:tcW w:w="1200" w:type="dxa"/>
            <w:vAlign w:val="bottom"/>
            <w:vMerge w:val="restart"/>
          </w:tcPr>
          <w:p>
            <w:pPr>
              <w:jc w:val="right"/>
              <w:ind w:right="83"/>
              <w:spacing w:after="0"/>
              <w:rPr>
                <w:sz w:val="20"/>
                <w:szCs w:val="20"/>
                <w:color w:val="auto"/>
              </w:rPr>
            </w:pPr>
            <w:r>
              <w:rPr>
                <w:rFonts w:ascii="Times New Roman" w:cs="Times New Roman" w:eastAsia="Times New Roman" w:hAnsi="Times New Roman"/>
                <w:sz w:val="17"/>
                <w:szCs w:val="17"/>
                <w:color w:val="0000FF"/>
              </w:rPr>
              <w:t>05/06/2026</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69,891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14.473</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469,727</w:t>
            </w:r>
          </w:p>
        </w:tc>
        <w:tc>
          <w:tcPr>
            <w:tcW w:w="98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vMerge w:val="restart"/>
          </w:tcPr>
          <w:p>
            <w:pPr>
              <w:jc w:val="center"/>
              <w:ind w:left="861"/>
              <w:spacing w:after="0"/>
              <w:rPr>
                <w:sz w:val="20"/>
                <w:szCs w:val="20"/>
                <w:color w:val="auto"/>
              </w:rPr>
            </w:pPr>
            <w:r>
              <w:rPr>
                <w:rFonts w:ascii="Times New Roman" w:cs="Times New Roman" w:eastAsia="Times New Roman" w:hAnsi="Times New Roman"/>
                <w:sz w:val="17"/>
                <w:szCs w:val="17"/>
                <w:color w:val="0000FF"/>
              </w:rPr>
              <w:t>05/06/2026</w:t>
            </w:r>
          </w:p>
        </w:tc>
        <w:tc>
          <w:tcPr>
            <w:tcW w:w="1200" w:type="dxa"/>
            <w:vAlign w:val="bottom"/>
            <w:vMerge w:val="restart"/>
          </w:tcPr>
          <w:p>
            <w:pPr>
              <w:jc w:val="right"/>
              <w:ind w:right="83"/>
              <w:spacing w:after="0"/>
              <w:rPr>
                <w:sz w:val="20"/>
                <w:szCs w:val="20"/>
                <w:color w:val="auto"/>
              </w:rPr>
            </w:pPr>
            <w:r>
              <w:rPr>
                <w:rFonts w:ascii="Times New Roman" w:cs="Times New Roman" w:eastAsia="Times New Roman" w:hAnsi="Times New Roman"/>
                <w:sz w:val="17"/>
                <w:szCs w:val="17"/>
                <w:color w:val="0000FF"/>
              </w:rPr>
              <w:t>05/06/2026</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172,890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15.014</w:t>
            </w:r>
            <w:r>
              <w:rPr>
                <w:rFonts w:ascii="Times New Roman" w:cs="Times New Roman" w:eastAsia="Times New Roman" w:hAnsi="Times New Roman"/>
                <w:sz w:val="22"/>
                <w:szCs w:val="22"/>
                <w:color w:val="008000"/>
                <w:vertAlign w:val="superscript"/>
              </w:rPr>
              <w:t>(4)</w:t>
            </w: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6,536,408</w:t>
            </w:r>
          </w:p>
        </w:tc>
        <w:tc>
          <w:tcPr>
            <w:tcW w:w="98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vMerge w:val="restart"/>
          </w:tcPr>
          <w:p>
            <w:pPr>
              <w:jc w:val="center"/>
              <w:ind w:left="861"/>
              <w:spacing w:after="0"/>
              <w:rPr>
                <w:sz w:val="20"/>
                <w:szCs w:val="20"/>
                <w:color w:val="auto"/>
              </w:rPr>
            </w:pPr>
            <w:r>
              <w:rPr>
                <w:rFonts w:ascii="Times New Roman" w:cs="Times New Roman" w:eastAsia="Times New Roman" w:hAnsi="Times New Roman"/>
                <w:sz w:val="17"/>
                <w:szCs w:val="17"/>
                <w:color w:val="0000FF"/>
              </w:rPr>
              <w:t>05/06/2026</w:t>
            </w:r>
          </w:p>
        </w:tc>
        <w:tc>
          <w:tcPr>
            <w:tcW w:w="1200" w:type="dxa"/>
            <w:vAlign w:val="bottom"/>
            <w:vMerge w:val="restart"/>
          </w:tcPr>
          <w:p>
            <w:pPr>
              <w:jc w:val="right"/>
              <w:ind w:right="83"/>
              <w:spacing w:after="0"/>
              <w:rPr>
                <w:sz w:val="20"/>
                <w:szCs w:val="20"/>
                <w:color w:val="auto"/>
              </w:rPr>
            </w:pPr>
            <w:r>
              <w:rPr>
                <w:rFonts w:ascii="Times New Roman" w:cs="Times New Roman" w:eastAsia="Times New Roman" w:hAnsi="Times New Roman"/>
                <w:sz w:val="17"/>
                <w:szCs w:val="17"/>
                <w:color w:val="0000FF"/>
              </w:rPr>
              <w:t>05/06/2026</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17,099</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15.014</w:t>
            </w:r>
            <w:r>
              <w:rPr>
                <w:rFonts w:ascii="Times New Roman" w:cs="Times New Roman" w:eastAsia="Times New Roman" w:hAnsi="Times New Roman"/>
                <w:sz w:val="22"/>
                <w:szCs w:val="22"/>
                <w:color w:val="008000"/>
                <w:vertAlign w:val="superscript"/>
              </w:rPr>
              <w:t>(4)</w:t>
            </w: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452,628</w:t>
            </w:r>
          </w:p>
        </w:tc>
        <w:tc>
          <w:tcPr>
            <w:tcW w:w="98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vMerge w:val="restart"/>
          </w:tcPr>
          <w:p>
            <w:pPr>
              <w:jc w:val="center"/>
              <w:ind w:left="861"/>
              <w:spacing w:after="0"/>
              <w:rPr>
                <w:sz w:val="20"/>
                <w:szCs w:val="20"/>
                <w:color w:val="auto"/>
              </w:rPr>
            </w:pPr>
            <w:r>
              <w:rPr>
                <w:rFonts w:ascii="Times New Roman" w:cs="Times New Roman" w:eastAsia="Times New Roman" w:hAnsi="Times New Roman"/>
                <w:sz w:val="17"/>
                <w:szCs w:val="17"/>
                <w:color w:val="0000FF"/>
              </w:rPr>
              <w:t>05/07/2026</w:t>
            </w:r>
          </w:p>
        </w:tc>
        <w:tc>
          <w:tcPr>
            <w:tcW w:w="1200" w:type="dxa"/>
            <w:vAlign w:val="bottom"/>
            <w:vMerge w:val="restart"/>
          </w:tcPr>
          <w:p>
            <w:pPr>
              <w:jc w:val="right"/>
              <w:ind w:right="83"/>
              <w:spacing w:after="0"/>
              <w:rPr>
                <w:sz w:val="20"/>
                <w:szCs w:val="20"/>
                <w:color w:val="auto"/>
              </w:rPr>
            </w:pPr>
            <w:r>
              <w:rPr>
                <w:rFonts w:ascii="Times New Roman" w:cs="Times New Roman" w:eastAsia="Times New Roman" w:hAnsi="Times New Roman"/>
                <w:sz w:val="17"/>
                <w:szCs w:val="17"/>
                <w:color w:val="0000FF"/>
              </w:rPr>
              <w:t>05/07/2026</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543,474</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15.594</w:t>
            </w:r>
            <w:r>
              <w:rPr>
                <w:rFonts w:ascii="Times New Roman" w:cs="Times New Roman" w:eastAsia="Times New Roman" w:hAnsi="Times New Roman"/>
                <w:sz w:val="22"/>
                <w:szCs w:val="22"/>
                <w:color w:val="008000"/>
                <w:vertAlign w:val="superscript"/>
              </w:rPr>
              <w:t>(5)</w:t>
            </w: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5,992,934</w:t>
            </w:r>
          </w:p>
        </w:tc>
        <w:tc>
          <w:tcPr>
            <w:tcW w:w="98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vMerge w:val="restart"/>
          </w:tcPr>
          <w:p>
            <w:pPr>
              <w:jc w:val="center"/>
              <w:ind w:left="861"/>
              <w:spacing w:after="0"/>
              <w:rPr>
                <w:sz w:val="20"/>
                <w:szCs w:val="20"/>
                <w:color w:val="auto"/>
              </w:rPr>
            </w:pPr>
            <w:r>
              <w:rPr>
                <w:rFonts w:ascii="Times New Roman" w:cs="Times New Roman" w:eastAsia="Times New Roman" w:hAnsi="Times New Roman"/>
                <w:sz w:val="17"/>
                <w:szCs w:val="17"/>
                <w:color w:val="0000FF"/>
              </w:rPr>
              <w:t>05/07/2026</w:t>
            </w:r>
          </w:p>
        </w:tc>
        <w:tc>
          <w:tcPr>
            <w:tcW w:w="1200" w:type="dxa"/>
            <w:vAlign w:val="bottom"/>
            <w:vMerge w:val="restart"/>
          </w:tcPr>
          <w:p>
            <w:pPr>
              <w:jc w:val="right"/>
              <w:ind w:right="83"/>
              <w:spacing w:after="0"/>
              <w:rPr>
                <w:sz w:val="20"/>
                <w:szCs w:val="20"/>
                <w:color w:val="auto"/>
              </w:rPr>
            </w:pPr>
            <w:r>
              <w:rPr>
                <w:rFonts w:ascii="Times New Roman" w:cs="Times New Roman" w:eastAsia="Times New Roman" w:hAnsi="Times New Roman"/>
                <w:sz w:val="17"/>
                <w:szCs w:val="17"/>
                <w:color w:val="0000FF"/>
              </w:rPr>
              <w:t>05/07/2026</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53,750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15.594</w:t>
            </w:r>
            <w:r>
              <w:rPr>
                <w:rFonts w:ascii="Times New Roman" w:cs="Times New Roman" w:eastAsia="Times New Roman" w:hAnsi="Times New Roman"/>
                <w:sz w:val="22"/>
                <w:szCs w:val="22"/>
                <w:color w:val="008000"/>
                <w:vertAlign w:val="superscript"/>
              </w:rPr>
              <w:t>(5)</w:t>
            </w: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398,878</w:t>
            </w:r>
          </w:p>
        </w:tc>
        <w:tc>
          <w:tcPr>
            <w:tcW w:w="98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vMerge w:val="restart"/>
          </w:tcPr>
          <w:p>
            <w:pPr>
              <w:jc w:val="center"/>
              <w:ind w:left="861"/>
              <w:spacing w:after="0"/>
              <w:rPr>
                <w:sz w:val="20"/>
                <w:szCs w:val="20"/>
                <w:color w:val="auto"/>
              </w:rPr>
            </w:pPr>
            <w:r>
              <w:rPr>
                <w:rFonts w:ascii="Times New Roman" w:cs="Times New Roman" w:eastAsia="Times New Roman" w:hAnsi="Times New Roman"/>
                <w:sz w:val="17"/>
                <w:szCs w:val="17"/>
                <w:color w:val="0000FF"/>
              </w:rPr>
              <w:t>05/08/2026</w:t>
            </w:r>
          </w:p>
        </w:tc>
        <w:tc>
          <w:tcPr>
            <w:tcW w:w="1200" w:type="dxa"/>
            <w:vAlign w:val="bottom"/>
            <w:vMerge w:val="restart"/>
          </w:tcPr>
          <w:p>
            <w:pPr>
              <w:jc w:val="right"/>
              <w:ind w:right="83"/>
              <w:spacing w:after="0"/>
              <w:rPr>
                <w:sz w:val="20"/>
                <w:szCs w:val="20"/>
                <w:color w:val="auto"/>
              </w:rPr>
            </w:pPr>
            <w:r>
              <w:rPr>
                <w:rFonts w:ascii="Times New Roman" w:cs="Times New Roman" w:eastAsia="Times New Roman" w:hAnsi="Times New Roman"/>
                <w:sz w:val="17"/>
                <w:szCs w:val="17"/>
                <w:color w:val="0000FF"/>
              </w:rPr>
              <w:t>05/08/2026</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354,136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15.686</w:t>
            </w:r>
            <w:r>
              <w:rPr>
                <w:rFonts w:ascii="Times New Roman" w:cs="Times New Roman" w:eastAsia="Times New Roman" w:hAnsi="Times New Roman"/>
                <w:sz w:val="22"/>
                <w:szCs w:val="22"/>
                <w:color w:val="008000"/>
                <w:vertAlign w:val="superscript"/>
              </w:rPr>
              <w:t>(6)</w:t>
            </w: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5,638,798</w:t>
            </w:r>
          </w:p>
        </w:tc>
        <w:tc>
          <w:tcPr>
            <w:tcW w:w="98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900" w:type="dxa"/>
            <w:vAlign w:val="bottom"/>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05/08/2026</w:t>
            </w:r>
          </w:p>
        </w:tc>
        <w:tc>
          <w:tcPr>
            <w:tcW w:w="120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0000FF"/>
              </w:rPr>
              <w:t>05/08/2026</w:t>
            </w:r>
          </w:p>
        </w:tc>
        <w:tc>
          <w:tcPr>
            <w:tcW w:w="800" w:type="dxa"/>
            <w:vAlign w:val="bottom"/>
          </w:tcPr>
          <w:p>
            <w:pPr>
              <w:ind w:left="120"/>
              <w:spacing w:after="0" w:line="233"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35,025</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tcPr>
          <w:p>
            <w:pPr>
              <w:ind w:left="80"/>
              <w:spacing w:after="0" w:line="23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15.686</w:t>
            </w:r>
            <w:r>
              <w:rPr>
                <w:rFonts w:ascii="Times New Roman" w:cs="Times New Roman" w:eastAsia="Times New Roman" w:hAnsi="Times New Roman"/>
                <w:sz w:val="22"/>
                <w:szCs w:val="22"/>
                <w:color w:val="008000"/>
                <w:vertAlign w:val="superscript"/>
              </w:rPr>
              <w:t>(6)</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363,853</w:t>
            </w:r>
          </w:p>
        </w:tc>
        <w:tc>
          <w:tcPr>
            <w:tcW w:w="98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Managed</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80"/>
          </w:cols>
          <w:pgMar w:left="460" w:top="219" w:right="459" w:bottom="21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1"/>
          </w:tcPr>
          <w:p>
            <w:pPr>
              <w:jc w:val="center"/>
              <w:ind w:right="825"/>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7"/>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(Instr. 3, 4</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(Instr. 4)</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5. Number</w:t>
            </w:r>
          </w:p>
        </w:tc>
        <w:tc>
          <w:tcPr>
            <w:tcW w:w="154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9. Number of</w:t>
            </w: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and 5)</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 of</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of</w:t>
            </w:r>
          </w:p>
        </w:tc>
        <w:tc>
          <w:tcPr>
            <w:tcW w:w="154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Security</w:t>
            </w:r>
          </w:p>
        </w:tc>
        <w:tc>
          <w:tcPr>
            <w:tcW w:w="80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or Exercise</w:t>
            </w:r>
          </w:p>
        </w:tc>
        <w:tc>
          <w:tcPr>
            <w:tcW w:w="112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if any</w:t>
            </w:r>
          </w:p>
        </w:tc>
        <w:tc>
          <w:tcPr>
            <w:tcW w:w="680" w:type="dxa"/>
            <w:vAlign w:val="bottom"/>
          </w:tcPr>
          <w:p>
            <w:pPr>
              <w:spacing w:after="0"/>
              <w:rPr>
                <w:sz w:val="6"/>
                <w:szCs w:val="6"/>
                <w:color w:val="auto"/>
              </w:rPr>
            </w:pPr>
          </w:p>
        </w:tc>
        <w:tc>
          <w:tcPr>
            <w:tcW w:w="820" w:type="dxa"/>
            <w:vAlign w:val="bottom"/>
            <w:tcBorders>
              <w:top w:val="single" w:sz="8" w:color="2C2C2C"/>
            </w:tcBorders>
          </w:tcPr>
          <w:p>
            <w:pPr>
              <w:ind w:left="60"/>
              <w:spacing w:after="0" w:line="74" w:lineRule="exact"/>
              <w:rPr>
                <w:sz w:val="20"/>
                <w:szCs w:val="20"/>
                <w:color w:val="auto"/>
              </w:rPr>
            </w:pPr>
            <w:r>
              <w:rPr>
                <w:rFonts w:ascii="Arial" w:cs="Arial" w:eastAsia="Arial" w:hAnsi="Arial"/>
                <w:sz w:val="8"/>
                <w:szCs w:val="8"/>
                <w:b w:val="1"/>
                <w:bCs w:val="1"/>
                <w:color w:val="auto"/>
              </w:rPr>
              <w:t>Code (Instr.</w:t>
            </w:r>
          </w:p>
        </w:tc>
        <w:tc>
          <w:tcPr>
            <w:tcW w:w="740" w:type="dxa"/>
            <w:vAlign w:val="bottom"/>
            <w:tcBorders>
              <w:top w:val="single" w:sz="8" w:color="2C2C2C"/>
            </w:tcBorders>
          </w:tcPr>
          <w:p>
            <w:pPr>
              <w:ind w:left="80"/>
              <w:spacing w:after="0" w:line="74" w:lineRule="exact"/>
              <w:rPr>
                <w:sz w:val="20"/>
                <w:szCs w:val="20"/>
                <w:color w:val="auto"/>
              </w:rPr>
            </w:pPr>
            <w:r>
              <w:rPr>
                <w:rFonts w:ascii="Arial" w:cs="Arial" w:eastAsia="Arial" w:hAnsi="Arial"/>
                <w:sz w:val="8"/>
                <w:szCs w:val="8"/>
                <w:b w:val="1"/>
                <w:bCs w:val="1"/>
                <w:color w:val="auto"/>
              </w:rPr>
              <w:t>Derivative</w:t>
            </w:r>
          </w:p>
        </w:tc>
        <w:tc>
          <w:tcPr>
            <w:tcW w:w="1540" w:type="dxa"/>
            <w:vAlign w:val="bottom"/>
            <w:tcBorders>
              <w:top w:val="single" w:sz="8" w:color="2C2C2C"/>
            </w:tcBorders>
            <w:gridSpan w:val="2"/>
          </w:tcPr>
          <w:p>
            <w:pPr>
              <w:ind w:left="60"/>
              <w:spacing w:after="0" w:line="74" w:lineRule="exact"/>
              <w:rPr>
                <w:sz w:val="20"/>
                <w:szCs w:val="20"/>
                <w:color w:val="auto"/>
              </w:rPr>
            </w:pPr>
            <w:r>
              <w:rPr>
                <w:rFonts w:ascii="Arial" w:cs="Arial" w:eastAsia="Arial" w:hAnsi="Arial"/>
                <w:sz w:val="8"/>
                <w:szCs w:val="8"/>
                <w:b w:val="1"/>
                <w:bCs w:val="1"/>
                <w:color w:val="auto"/>
              </w:rPr>
              <w:t>(Month/Day/Year)</w:t>
            </w:r>
          </w:p>
        </w:tc>
        <w:tc>
          <w:tcPr>
            <w:tcW w:w="980" w:type="dxa"/>
            <w:vAlign w:val="bottom"/>
            <w:tcBorders>
              <w:top w:val="single" w:sz="8" w:color="2C2C2C"/>
            </w:tcBorders>
          </w:tcPr>
          <w:p>
            <w:pPr>
              <w:ind w:left="60"/>
              <w:spacing w:after="0" w:line="74" w:lineRule="exact"/>
              <w:rPr>
                <w:sz w:val="20"/>
                <w:szCs w:val="20"/>
                <w:color w:val="auto"/>
              </w:rPr>
            </w:pPr>
            <w:r>
              <w:rPr>
                <w:rFonts w:ascii="Arial" w:cs="Arial" w:eastAsia="Arial" w:hAnsi="Arial"/>
                <w:sz w:val="8"/>
                <w:szCs w:val="8"/>
                <w:b w:val="1"/>
                <w:bCs w:val="1"/>
                <w:color w:val="auto"/>
              </w:rPr>
              <w:t>Securities</w:t>
            </w:r>
          </w:p>
        </w:tc>
        <w:tc>
          <w:tcPr>
            <w:tcW w:w="80" w:type="dxa"/>
            <w:vAlign w:val="bottom"/>
          </w:tcPr>
          <w:p>
            <w:pPr>
              <w:spacing w:after="0"/>
              <w:rPr>
                <w:sz w:val="6"/>
                <w:szCs w:val="6"/>
                <w:color w:val="auto"/>
              </w:rPr>
            </w:pPr>
          </w:p>
        </w:tc>
        <w:tc>
          <w:tcPr>
            <w:tcW w:w="640" w:type="dxa"/>
            <w:vAlign w:val="bottom"/>
          </w:tcPr>
          <w:p>
            <w:pPr>
              <w:spacing w:after="0" w:line="74" w:lineRule="exact"/>
              <w:rPr>
                <w:sz w:val="20"/>
                <w:szCs w:val="20"/>
                <w:color w:val="auto"/>
              </w:rPr>
            </w:pPr>
            <w:r>
              <w:rPr>
                <w:rFonts w:ascii="Arial" w:cs="Arial" w:eastAsia="Arial" w:hAnsi="Arial"/>
                <w:sz w:val="8"/>
                <w:szCs w:val="8"/>
                <w:b w:val="1"/>
                <w:bCs w:val="1"/>
                <w:color w:val="auto"/>
              </w:rPr>
              <w:t>Security</w:t>
            </w:r>
          </w:p>
        </w:tc>
        <w:tc>
          <w:tcPr>
            <w:tcW w:w="9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Securities</w:t>
            </w:r>
          </w:p>
        </w:tc>
        <w:tc>
          <w:tcPr>
            <w:tcW w:w="7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Form:</w:t>
            </w:r>
          </w:p>
        </w:tc>
        <w:tc>
          <w:tcPr>
            <w:tcW w:w="78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Amount</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Underlying</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Derivative</w:t>
            </w: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of</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40" w:type="dxa"/>
            <w:vAlign w:val="bottom"/>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3 and 4)</w:t>
            </w: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   (D)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Title  Shares</w:t>
            </w:r>
          </w:p>
        </w:tc>
        <w:tc>
          <w:tcPr>
            <w:tcW w:w="64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ind w:left="80"/>
              <w:spacing w:after="0" w:line="80" w:lineRule="exact"/>
              <w:rPr>
                <w:sz w:val="20"/>
                <w:szCs w:val="20"/>
                <w:color w:val="auto"/>
              </w:rPr>
            </w:pPr>
            <w:r>
              <w:rPr>
                <w:rFonts w:ascii="Arial" w:cs="Arial" w:eastAsia="Arial" w:hAnsi="Arial"/>
                <w:sz w:val="8"/>
                <w:szCs w:val="8"/>
                <w:b w:val="1"/>
                <w:bCs w:val="1"/>
                <w:color w:val="auto"/>
              </w:rPr>
              <w:t>of (D)</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(Instr. 3, 4</w:t>
            </w: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(Instr. 4)</w:t>
            </w: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326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32664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19"/>
        </w:trPr>
        <w:tc>
          <w:tcPr>
            <w:tcW w:w="1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008000"/>
              </w:rPr>
              <w:t>1.</w:t>
            </w:r>
          </w:p>
        </w:tc>
        <w:tc>
          <w:tcPr>
            <w:tcW w:w="1042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3"/>
                <w:szCs w:val="13"/>
                <w:color w:val="008000"/>
              </w:rPr>
              <w:t>The stock option exercises and broker-assisted sales transactions reported were effected pursuant to a Rule 10b5-1 trading plan adopted by the Reporting Person on November 10, 2025 during the</w:t>
            </w:r>
          </w:p>
        </w:tc>
        <w:tc>
          <w:tcPr>
            <w:tcW w:w="0" w:type="dxa"/>
            <w:vAlign w:val="bottom"/>
          </w:tcPr>
          <w:p>
            <w:pPr>
              <w:spacing w:after="0"/>
              <w:rPr>
                <w:sz w:val="1"/>
                <w:szCs w:val="1"/>
                <w:color w:val="auto"/>
              </w:rPr>
            </w:pPr>
          </w:p>
        </w:tc>
      </w:tr>
      <w:tr>
        <w:trPr>
          <w:trHeight w:val="147"/>
        </w:trPr>
        <w:tc>
          <w:tcPr>
            <w:tcW w:w="44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008000"/>
              </w:rPr>
              <w:t>Company's open window period (the "Trading Plan").</w:t>
            </w: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0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07"/>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2.</w:t>
            </w:r>
          </w:p>
        </w:tc>
        <w:tc>
          <w:tcPr>
            <w:tcW w:w="4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93"/>
        </w:trPr>
        <w:tc>
          <w:tcPr>
            <w:tcW w:w="120" w:type="dxa"/>
            <w:vAlign w:val="bottom"/>
            <w:vMerge w:val="continue"/>
          </w:tcPr>
          <w:p>
            <w:pPr>
              <w:spacing w:after="0"/>
              <w:rPr>
                <w:sz w:val="8"/>
                <w:szCs w:val="8"/>
                <w:color w:val="auto"/>
              </w:rPr>
            </w:pPr>
          </w:p>
        </w:tc>
        <w:tc>
          <w:tcPr>
            <w:tcW w:w="10420" w:type="dxa"/>
            <w:vAlign w:val="bottom"/>
            <w:gridSpan w:val="4"/>
          </w:tcPr>
          <w:p>
            <w:pPr>
              <w:jc w:val="center"/>
              <w:spacing w:after="0" w:line="93" w:lineRule="exact"/>
              <w:rPr>
                <w:sz w:val="20"/>
                <w:szCs w:val="20"/>
                <w:color w:val="auto"/>
              </w:rPr>
            </w:pPr>
            <w:r>
              <w:rPr>
                <w:rFonts w:ascii="Times New Roman" w:cs="Times New Roman" w:eastAsia="Times New Roman" w:hAnsi="Times New Roman"/>
                <w:sz w:val="10"/>
                <w:szCs w:val="10"/>
                <w:color w:val="008000"/>
              </w:rPr>
              <w:t>This transaction was executed in multiple trades at prices ranging from $13.90 to $14.895. The price reported above reflects the weighted average price. The reporting person hereby undertakes to</w:t>
            </w: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70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07"/>
        </w:trPr>
        <w:tc>
          <w:tcPr>
            <w:tcW w:w="10540" w:type="dxa"/>
            <w:vAlign w:val="bottom"/>
            <w:gridSpan w:val="5"/>
          </w:tcPr>
          <w:p>
            <w:pPr>
              <w:spacing w:after="0" w:line="107" w:lineRule="exact"/>
              <w:rPr>
                <w:sz w:val="20"/>
                <w:szCs w:val="20"/>
                <w:color w:val="auto"/>
              </w:rPr>
            </w:pPr>
            <w:r>
              <w:rPr>
                <w:rFonts w:ascii="Times New Roman" w:cs="Times New Roman" w:eastAsia="Times New Roman" w:hAnsi="Times New Roman"/>
                <w:sz w:val="12"/>
                <w:szCs w:val="12"/>
                <w:color w:val="008000"/>
              </w:rPr>
              <w:t>provide upon request to the SEC staff, the issuer or a security holder of the issuer full information regarding the number of shares and prices at which the transaction was effected.</w:t>
            </w:r>
          </w:p>
        </w:tc>
        <w:tc>
          <w:tcPr>
            <w:tcW w:w="0" w:type="dxa"/>
            <w:vAlign w:val="bottom"/>
          </w:tcPr>
          <w:p>
            <w:pPr>
              <w:spacing w:after="0"/>
              <w:rPr>
                <w:sz w:val="1"/>
                <w:szCs w:val="1"/>
                <w:color w:val="auto"/>
              </w:rPr>
            </w:pPr>
          </w:p>
        </w:tc>
      </w:tr>
      <w:tr>
        <w:trPr>
          <w:trHeight w:val="39"/>
        </w:trPr>
        <w:tc>
          <w:tcPr>
            <w:tcW w:w="1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620" w:type="dxa"/>
            <w:vAlign w:val="bottom"/>
          </w:tcPr>
          <w:p>
            <w:pPr>
              <w:ind w:left="880"/>
              <w:spacing w:after="0" w:line="40" w:lineRule="exact"/>
              <w:rPr>
                <w:sz w:val="20"/>
                <w:szCs w:val="20"/>
                <w:color w:val="auto"/>
              </w:rPr>
            </w:pPr>
            <w:r>
              <w:rPr>
                <w:rFonts w:ascii="Arial" w:cs="Arial" w:eastAsia="Arial" w:hAnsi="Arial"/>
                <w:sz w:val="4"/>
                <w:szCs w:val="4"/>
                <w:b w:val="1"/>
                <w:bCs w:val="1"/>
                <w:color w:val="auto"/>
              </w:rPr>
              <w:t>Date</w:t>
            </w:r>
          </w:p>
        </w:tc>
        <w:tc>
          <w:tcPr>
            <w:tcW w:w="74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Expiration</w:t>
            </w:r>
          </w:p>
        </w:tc>
        <w:tc>
          <w:tcPr>
            <w:tcW w:w="370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of</w:t>
            </w:r>
          </w:p>
        </w:tc>
        <w:tc>
          <w:tcPr>
            <w:tcW w:w="0" w:type="dxa"/>
            <w:vAlign w:val="bottom"/>
          </w:tcPr>
          <w:p>
            <w:pPr>
              <w:spacing w:after="0" w:line="20" w:lineRule="exact"/>
              <w:rPr>
                <w:sz w:val="1"/>
                <w:szCs w:val="1"/>
                <w:color w:val="auto"/>
              </w:rPr>
            </w:pPr>
          </w:p>
        </w:tc>
      </w:tr>
      <w:tr>
        <w:trPr>
          <w:trHeight w:val="121"/>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3.</w:t>
            </w:r>
          </w:p>
        </w:tc>
        <w:tc>
          <w:tcPr>
            <w:tcW w:w="4360" w:type="dxa"/>
            <w:vAlign w:val="bottom"/>
          </w:tcPr>
          <w:p>
            <w:pPr>
              <w:ind w:left="3680"/>
              <w:spacing w:after="0" w:line="121" w:lineRule="exact"/>
              <w:rPr>
                <w:sz w:val="20"/>
                <w:szCs w:val="20"/>
                <w:color w:val="auto"/>
              </w:rPr>
            </w:pPr>
            <w:r>
              <w:rPr>
                <w:rFonts w:ascii="Arial" w:cs="Arial" w:eastAsia="Arial" w:hAnsi="Arial"/>
                <w:sz w:val="12"/>
                <w:szCs w:val="12"/>
                <w:b w:val="1"/>
                <w:bCs w:val="1"/>
                <w:color w:val="auto"/>
              </w:rPr>
              <w:t>Code  V</w:t>
            </w:r>
          </w:p>
        </w:tc>
        <w:tc>
          <w:tcPr>
            <w:tcW w:w="1620" w:type="dxa"/>
            <w:vAlign w:val="bottom"/>
          </w:tcPr>
          <w:p>
            <w:pPr>
              <w:jc w:val="center"/>
              <w:ind w:left="61"/>
              <w:spacing w:after="0" w:line="121" w:lineRule="exact"/>
              <w:rPr>
                <w:sz w:val="20"/>
                <w:szCs w:val="20"/>
                <w:color w:val="auto"/>
              </w:rPr>
            </w:pPr>
            <w:r>
              <w:rPr>
                <w:rFonts w:ascii="Arial" w:cs="Arial" w:eastAsia="Arial" w:hAnsi="Arial"/>
                <w:sz w:val="12"/>
                <w:szCs w:val="12"/>
                <w:b w:val="1"/>
                <w:bCs w:val="1"/>
                <w:color w:val="auto"/>
              </w:rPr>
              <w:t>(A)   (D)   Exercisab e</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Date</w:t>
            </w:r>
          </w:p>
        </w:tc>
        <w:tc>
          <w:tcPr>
            <w:tcW w:w="37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 tle  Shares</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0420" w:type="dxa"/>
            <w:vAlign w:val="bottom"/>
            <w:gridSpan w:val="4"/>
          </w:tcPr>
          <w:p>
            <w:pPr>
              <w:jc w:val="center"/>
              <w:spacing w:after="0" w:line="68" w:lineRule="exact"/>
              <w:rPr>
                <w:sz w:val="20"/>
                <w:szCs w:val="20"/>
                <w:color w:val="auto"/>
              </w:rPr>
            </w:pPr>
            <w:r>
              <w:rPr>
                <w:rFonts w:ascii="Times New Roman" w:cs="Times New Roman" w:eastAsia="Times New Roman" w:hAnsi="Times New Roman"/>
                <w:sz w:val="7"/>
                <w:szCs w:val="7"/>
                <w:color w:val="008000"/>
              </w:rPr>
              <w:t>The reporting person is the managing member of (a) Hestia Partners GP, the general partner of Hestia Capital Partners, LP (Hestia Capital), and (b) Hestia LLC, the investment manager of Hestia</w:t>
            </w:r>
          </w:p>
        </w:tc>
        <w:tc>
          <w:tcPr>
            <w:tcW w:w="0" w:type="dxa"/>
            <w:vAlign w:val="bottom"/>
          </w:tcPr>
          <w:p>
            <w:pPr>
              <w:spacing w:after="0"/>
              <w:rPr>
                <w:sz w:val="1"/>
                <w:szCs w:val="1"/>
                <w:color w:val="auto"/>
              </w:rPr>
            </w:pPr>
          </w:p>
        </w:tc>
      </w:tr>
    </w:tbl>
    <w:p>
      <w:pPr>
        <w:ind w:left="40" w:right="380"/>
        <w:spacing w:after="0" w:line="250" w:lineRule="auto"/>
        <w:rPr>
          <w:sz w:val="20"/>
          <w:szCs w:val="20"/>
          <w:color w:val="auto"/>
        </w:rPr>
      </w:pPr>
      <w:r>
        <w:rPr>
          <w:rFonts w:ascii="Times New Roman" w:cs="Times New Roman" w:eastAsia="Times New Roman" w:hAnsi="Times New Roman"/>
          <w:sz w:val="13"/>
          <w:szCs w:val="13"/>
          <w:color w:val="008000"/>
        </w:rPr>
        <w:t>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p>
      <w:pPr>
        <w:spacing w:after="0" w:line="21" w:lineRule="exact"/>
        <w:rPr>
          <w:sz w:val="20"/>
          <w:szCs w:val="20"/>
          <w:color w:val="auto"/>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$14.90 to $15.07,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1"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$14.95 to $15.79,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1"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$15.53 to $15.93,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Elisabeth Weinberg,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Kurt</w:t>
      </w:r>
      <w:r>
        <w:rPr>
          <w:sz w:val="20"/>
          <w:szCs w:val="20"/>
          <w:color w:val="auto"/>
        </w:rPr>
        <w:tab/>
      </w: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James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3906" TargetMode="External"/><Relationship Id="rId14" Type="http://schemas.openxmlformats.org/officeDocument/2006/relationships/hyperlink" Target="http://www.sec.gov/cgi-bin/browse-edgar?action=getcompany&amp;CIK=0000078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2026-05-08T17:36:25Z</dcterms:created>
  <dcterms:modified xsi:type="dcterms:W3CDTF">2026-05-08T17:36:25Z</dcterms:modified>
</cp:coreProperties>
</file>